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7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4"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54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4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(State or Other Jurisdiction of</w:t>
            </w:r>
          </w:p>
        </w:tc>
        <w:tc>
          <w:tcPr>
            <w:tcW w:w="3080" w:type="dxa"/>
            <w:vAlign w:val="bottom"/>
          </w:tcPr>
          <w:p>
            <w:pPr>
              <w:jc w:val="center"/>
              <w:ind w:left="15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4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3"/>
              </w:rPr>
              <w:t>Incorporation or Organization)</w:t>
            </w:r>
          </w:p>
        </w:tc>
        <w:tc>
          <w:tcPr>
            <w:tcW w:w="308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Identification No.)</w:t>
            </w:r>
          </w:p>
        </w:tc>
      </w:tr>
      <w:tr>
        <w:trPr>
          <w:trHeight w:val="459"/>
        </w:trPr>
        <w:tc>
          <w:tcPr>
            <w:tcW w:w="54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08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432"/>
        </w:trPr>
        <w:tc>
          <w:tcPr>
            <w:tcW w:w="54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080" w:type="dxa"/>
            <w:vAlign w:val="bottom"/>
          </w:tcPr>
          <w:p>
            <w:pPr>
              <w:jc w:val="center"/>
              <w:ind w:left="1590"/>
              <w:spacing w:after="0"/>
              <w:rPr>
                <w:sz w:val="20"/>
                <w:szCs w:val="20"/>
                <w:color w:val="auto"/>
              </w:rPr>
            </w:pPr>
            <w:r>
              <w:rPr>
                <w:rFonts w:ascii="Arial" w:cs="Arial" w:eastAsia="Arial" w:hAnsi="Arial"/>
                <w:sz w:val="18"/>
                <w:szCs w:val="18"/>
                <w:b w:val="1"/>
                <w:bCs w:val="1"/>
                <w:color w:val="auto"/>
                <w:w w:val="94"/>
              </w:rPr>
              <w:t>(Zip Code)</w:t>
            </w:r>
          </w:p>
        </w:tc>
      </w:tr>
    </w:tbl>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0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91"/>
        </w:trPr>
        <w:tc>
          <w:tcPr>
            <w:tcW w:w="42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Common stock, par value $0.01 per share</w:t>
            </w:r>
          </w:p>
        </w:tc>
        <w:tc>
          <w:tcPr>
            <w:tcW w:w="214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SMHI</w:t>
            </w:r>
          </w:p>
        </w:tc>
        <w:tc>
          <w:tcPr>
            <w:tcW w:w="68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93"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Smaller reporting</w:t>
      </w:r>
    </w:p>
    <w:p>
      <w:pPr>
        <w:spacing w:after="0" w:line="46" w:lineRule="exact"/>
        <w:rPr>
          <w:sz w:val="24"/>
          <w:szCs w:val="24"/>
          <w:color w:val="auto"/>
        </w:rPr>
      </w:pPr>
    </w:p>
    <w:p>
      <w:pPr>
        <w:jc w:val="center"/>
        <w:ind w:right="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jc w:val="center"/>
        <w:ind w:right="4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7">
            <w:col w:w="1620" w:space="100"/>
            <w:col w:w="160" w:space="580"/>
            <w:col w:w="1200" w:space="100"/>
            <w:col w:w="260" w:space="720"/>
            <w:col w:w="1940" w:space="720"/>
            <w:col w:w="1460" w:space="720"/>
            <w:col w:w="1660"/>
          </w:cols>
          <w:pgMar w:left="320" w:top="593"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90" w:lineRule="exact"/>
        <w:rPr>
          <w:sz w:val="24"/>
          <w:szCs w:val="24"/>
          <w:color w:val="auto"/>
        </w:rPr>
      </w:pPr>
    </w:p>
    <w:p>
      <w:pPr>
        <w:ind w:firstLine="749"/>
        <w:spacing w:after="0" w:line="277" w:lineRule="auto"/>
        <w:rPr>
          <w:sz w:val="20"/>
          <w:szCs w:val="20"/>
          <w:color w:val="auto"/>
        </w:rPr>
      </w:pPr>
      <w:r>
        <w:rPr>
          <w:rFonts w:ascii="Arial" w:cs="Arial" w:eastAsia="Arial" w:hAnsi="Arial"/>
          <w:sz w:val="18"/>
          <w:szCs w:val="18"/>
          <w:color w:val="auto"/>
        </w:rPr>
        <w:t>The total number of shares of common stock, par value $.01 per share (“Common Stock”), outstanding as of July 31, 2020 was 23,096,914.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0" w:type="dxa"/>
            <w:vAlign w:val="bottom"/>
            <w:gridSpan w:val="6"/>
          </w:tcPr>
          <w:p>
            <w:pPr>
              <w:jc w:val="center"/>
              <w:ind w:right="2140"/>
              <w:spacing w:after="0"/>
              <w:rPr>
                <w:sz w:val="20"/>
                <w:szCs w:val="20"/>
                <w:color w:val="auto"/>
              </w:rPr>
            </w:pPr>
            <w:r>
              <w:rPr>
                <w:rFonts w:ascii="Arial" w:cs="Arial" w:eastAsia="Arial" w:hAnsi="Arial"/>
                <w:sz w:val="22"/>
                <w:szCs w:val="22"/>
                <w:b w:val="1"/>
                <w:bCs w:val="1"/>
                <w:color w:val="auto"/>
                <w:w w:val="99"/>
              </w:rPr>
              <w:t>SEACOR MARINE HOLDINGS INC.</w:t>
            </w:r>
          </w:p>
        </w:tc>
        <w:tc>
          <w:tcPr>
            <w:tcW w:w="540" w:type="dxa"/>
            <w:vAlign w:val="bottom"/>
          </w:tcPr>
          <w:p>
            <w:pPr>
              <w:spacing w:after="0"/>
              <w:rPr>
                <w:sz w:val="24"/>
                <w:szCs w:val="24"/>
                <w:color w:val="auto"/>
              </w:rPr>
            </w:pPr>
          </w:p>
        </w:tc>
      </w:tr>
      <w:tr>
        <w:trPr>
          <w:trHeight w:val="418"/>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gridSpan w:val="5"/>
          </w:tcPr>
          <w:p>
            <w:pPr>
              <w:jc w:val="center"/>
              <w:ind w:right="3400"/>
              <w:spacing w:after="0"/>
              <w:rPr>
                <w:sz w:val="20"/>
                <w:szCs w:val="20"/>
                <w:color w:val="auto"/>
              </w:rPr>
            </w:pPr>
            <w:r>
              <w:rPr>
                <w:rFonts w:ascii="Arial" w:cs="Arial" w:eastAsia="Arial" w:hAnsi="Arial"/>
                <w:sz w:val="22"/>
                <w:szCs w:val="22"/>
                <w:b w:val="1"/>
                <w:bCs w:val="1"/>
                <w:color w:val="auto"/>
                <w:w w:val="87"/>
              </w:rPr>
              <w:t>Table of Contents</w:t>
            </w:r>
          </w:p>
        </w:tc>
        <w:tc>
          <w:tcPr>
            <w:tcW w:w="540" w:type="dxa"/>
            <w:vAlign w:val="bottom"/>
          </w:tcPr>
          <w:p>
            <w:pPr>
              <w:spacing w:after="0"/>
              <w:rPr>
                <w:sz w:val="24"/>
                <w:szCs w:val="24"/>
                <w:color w:val="auto"/>
              </w:rPr>
            </w:pPr>
          </w:p>
        </w:tc>
      </w:tr>
      <w:tr>
        <w:trPr>
          <w:trHeight w:val="459"/>
        </w:trPr>
        <w:tc>
          <w:tcPr>
            <w:tcW w:w="760" w:type="dxa"/>
            <w:vAlign w:val="bottom"/>
          </w:tcPr>
          <w:p>
            <w:pPr>
              <w:spacing w:after="0"/>
              <w:rPr>
                <w:sz w:val="20"/>
                <w:szCs w:val="20"/>
                <w:color w:val="auto"/>
              </w:rPr>
            </w:pPr>
            <w:r>
              <w:rPr>
                <w:rFonts w:ascii="Arial" w:cs="Arial" w:eastAsia="Arial" w:hAnsi="Arial"/>
                <w:sz w:val="22"/>
                <w:szCs w:val="22"/>
                <w:color w:val="auto"/>
              </w:rPr>
              <w:t>Part I.</w:t>
            </w:r>
          </w:p>
        </w:tc>
        <w:tc>
          <w:tcPr>
            <w:tcW w:w="9940" w:type="dxa"/>
            <w:vAlign w:val="bottom"/>
            <w:gridSpan w:val="9"/>
          </w:tcPr>
          <w:p>
            <w:pPr>
              <w:ind w:left="16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w:t>
            </w:r>
          </w:p>
        </w:tc>
        <w:tc>
          <w:tcPr>
            <w:tcW w:w="8800" w:type="dxa"/>
            <w:vAlign w:val="bottom"/>
            <w:gridSpan w:val="8"/>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Financial Statements (Unaudited)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6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8"/>
          </w:tcPr>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Condensed Consolidated Balance Sheets as of June 30, 2020 and December 31, 2019</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41"/>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20" w:type="dxa"/>
            <w:vAlign w:val="bottom"/>
            <w:tcBorders>
              <w:bottom w:val="single" w:sz="8" w:color="0000EE"/>
            </w:tcBorders>
            <w:gridSpan w:val="5"/>
          </w:tcPr>
          <w:p>
            <w:pPr>
              <w:spacing w:after="0"/>
              <w:rPr>
                <w:rFonts w:ascii="Arial" w:cs="Arial" w:eastAsia="Arial" w:hAnsi="Arial"/>
                <w:sz w:val="22"/>
                <w:szCs w:val="22"/>
                <w:color w:val="0000EE"/>
                <w:w w:val="87"/>
              </w:rPr>
            </w:pPr>
            <w:hyperlink w:anchor="page4">
              <w:r>
                <w:rPr>
                  <w:rFonts w:ascii="Arial" w:cs="Arial" w:eastAsia="Arial" w:hAnsi="Arial"/>
                  <w:sz w:val="22"/>
                  <w:szCs w:val="22"/>
                  <w:color w:val="0000EE"/>
                  <w:w w:val="87"/>
                </w:rPr>
                <w:t>Condensed Consolidated Statements of Loss for the Three and Six Months Ended June 30, 2020</w:t>
              </w:r>
            </w:hyperlink>
          </w:p>
        </w:tc>
        <w:tc>
          <w:tcPr>
            <w:tcW w:w="4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Borders>
              <w:bottom w:val="single" w:sz="8" w:color="0000EE"/>
            </w:tcBorders>
            <w:gridSpan w:val="2"/>
          </w:tcPr>
          <w:p>
            <w:pPr>
              <w:spacing w:after="0" w:line="223" w:lineRule="exact"/>
              <w:rPr>
                <w:rFonts w:ascii="Arial" w:cs="Arial" w:eastAsia="Arial" w:hAnsi="Arial"/>
                <w:sz w:val="22"/>
                <w:szCs w:val="22"/>
                <w:color w:val="0000EE"/>
                <w:w w:val="84"/>
              </w:rPr>
            </w:pPr>
            <w:hyperlink w:anchor="page4">
              <w:r>
                <w:rPr>
                  <w:rFonts w:ascii="Arial" w:cs="Arial" w:eastAsia="Arial" w:hAnsi="Arial"/>
                  <w:sz w:val="22"/>
                  <w:szCs w:val="22"/>
                  <w:color w:val="0000EE"/>
                  <w:w w:val="84"/>
                </w:rPr>
                <w:t>and 2019</w:t>
              </w:r>
            </w:hyperlink>
          </w:p>
        </w:tc>
        <w:tc>
          <w:tcPr>
            <w:tcW w:w="8000" w:type="dxa"/>
            <w:vAlign w:val="bottom"/>
            <w:gridSpan w:val="6"/>
          </w:tcPr>
          <w:p>
            <w:pPr>
              <w:spacing w:after="0"/>
              <w:rPr>
                <w:sz w:val="19"/>
                <w:szCs w:val="19"/>
                <w:color w:val="auto"/>
              </w:rPr>
            </w:pPr>
          </w:p>
        </w:tc>
        <w:tc>
          <w:tcPr>
            <w:tcW w:w="540" w:type="dxa"/>
            <w:vAlign w:val="bottom"/>
          </w:tcPr>
          <w:p>
            <w:pPr>
              <w:spacing w:after="0"/>
              <w:rPr>
                <w:sz w:val="19"/>
                <w:szCs w:val="19"/>
                <w:color w:val="auto"/>
              </w:rPr>
            </w:pPr>
          </w:p>
        </w:tc>
      </w:tr>
      <w:tr>
        <w:trPr>
          <w:trHeight w:val="344"/>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8"/>
          </w:tcPr>
          <w:p>
            <w:pPr>
              <w:spacing w:after="0"/>
              <w:rPr>
                <w:rFonts w:ascii="Arial" w:cs="Arial" w:eastAsia="Arial" w:hAnsi="Arial"/>
                <w:sz w:val="22"/>
                <w:szCs w:val="22"/>
                <w:color w:val="0000EE"/>
                <w:w w:val="91"/>
              </w:rPr>
            </w:pPr>
            <w:hyperlink w:anchor="page5">
              <w:r>
                <w:rPr>
                  <w:rFonts w:ascii="Arial" w:cs="Arial" w:eastAsia="Arial" w:hAnsi="Arial"/>
                  <w:sz w:val="22"/>
                  <w:szCs w:val="22"/>
                  <w:color w:val="0000EE"/>
                  <w:w w:val="91"/>
                </w:rPr>
                <w:t>Condensed Consolidated Statements of Comprehensive Loss for the Three and Six Months Ended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3</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6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5"/>
              </w:rPr>
            </w:pPr>
            <w:hyperlink w:anchor="page5">
              <w:r>
                <w:rPr>
                  <w:rFonts w:ascii="Arial" w:cs="Arial" w:eastAsia="Arial" w:hAnsi="Arial"/>
                  <w:sz w:val="22"/>
                  <w:szCs w:val="22"/>
                  <w:color w:val="0000EE"/>
                  <w:w w:val="85"/>
                </w:rPr>
                <w:t>June 30, 2020 and 2019</w:t>
              </w:r>
            </w:hyperlink>
          </w:p>
        </w:tc>
        <w:tc>
          <w:tcPr>
            <w:tcW w:w="6400" w:type="dxa"/>
            <w:vAlign w:val="bottom"/>
            <w:tcBorders>
              <w:top w:val="single" w:sz="8" w:color="0000EE"/>
            </w:tcBorders>
            <w:gridSpan w:val="4"/>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44"/>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8"/>
          </w:tcPr>
          <w:p>
            <w:pPr>
              <w:spacing w:after="0"/>
              <w:rPr>
                <w:rFonts w:ascii="Arial" w:cs="Arial" w:eastAsia="Arial" w:hAnsi="Arial"/>
                <w:sz w:val="22"/>
                <w:szCs w:val="22"/>
                <w:color w:val="0000EE"/>
                <w:w w:val="94"/>
              </w:rPr>
            </w:pPr>
            <w:hyperlink w:anchor="page6">
              <w:r>
                <w:rPr>
                  <w:rFonts w:ascii="Arial" w:cs="Arial" w:eastAsia="Arial" w:hAnsi="Arial"/>
                  <w:sz w:val="22"/>
                  <w:szCs w:val="22"/>
                  <w:color w:val="0000EE"/>
                  <w:w w:val="94"/>
                </w:rPr>
                <w:t>Condensed Consolidated Statements of Changes in Equity for the Three and Six Months Ended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6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5"/>
              </w:rPr>
            </w:pPr>
            <w:hyperlink w:anchor="page6">
              <w:r>
                <w:rPr>
                  <w:rFonts w:ascii="Arial" w:cs="Arial" w:eastAsia="Arial" w:hAnsi="Arial"/>
                  <w:sz w:val="22"/>
                  <w:szCs w:val="22"/>
                  <w:color w:val="0000EE"/>
                  <w:w w:val="85"/>
                </w:rPr>
                <w:t>June 30, 2020 and 2019</w:t>
              </w:r>
            </w:hyperlink>
          </w:p>
        </w:tc>
        <w:tc>
          <w:tcPr>
            <w:tcW w:w="6180" w:type="dxa"/>
            <w:vAlign w:val="bottom"/>
            <w:tcBorders>
              <w:top w:val="single" w:sz="8" w:color="0000EE"/>
            </w:tcBorders>
          </w:tcPr>
          <w:p>
            <w:pPr>
              <w:spacing w:after="0"/>
              <w:rPr>
                <w:sz w:val="19"/>
                <w:szCs w:val="19"/>
                <w:color w:val="auto"/>
              </w:rPr>
            </w:pPr>
          </w:p>
        </w:tc>
        <w:tc>
          <w:tcPr>
            <w:tcW w:w="56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r>
      <w:tr>
        <w:trPr>
          <w:trHeight w:val="344"/>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8"/>
          </w:tcPr>
          <w:p>
            <w:pPr>
              <w:spacing w:after="0"/>
              <w:rPr>
                <w:rFonts w:ascii="Arial" w:cs="Arial" w:eastAsia="Arial" w:hAnsi="Arial"/>
                <w:sz w:val="22"/>
                <w:szCs w:val="22"/>
                <w:color w:val="0000EE"/>
                <w:w w:val="92"/>
              </w:rPr>
            </w:pPr>
            <w:hyperlink w:anchor="page8">
              <w:r>
                <w:rPr>
                  <w:rFonts w:ascii="Arial" w:cs="Arial" w:eastAsia="Arial" w:hAnsi="Arial"/>
                  <w:sz w:val="22"/>
                  <w:szCs w:val="22"/>
                  <w:color w:val="0000EE"/>
                  <w:w w:val="92"/>
                </w:rPr>
                <w:t>Condensed Consolidated Statements of Cash Flows for the Six Months Ended June 30, 2020 and</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223"/>
        </w:trPr>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5"/>
              </w:rPr>
            </w:pPr>
            <w:hyperlink w:anchor="page8">
              <w:r>
                <w:rPr>
                  <w:rFonts w:ascii="Arial" w:cs="Arial" w:eastAsia="Arial" w:hAnsi="Arial"/>
                  <w:sz w:val="22"/>
                  <w:szCs w:val="22"/>
                  <w:color w:val="0000EE"/>
                  <w:w w:val="85"/>
                </w:rPr>
                <w:t>2019</w:t>
              </w:r>
            </w:hyperlink>
          </w:p>
        </w:tc>
        <w:tc>
          <w:tcPr>
            <w:tcW w:w="3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61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95"/>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0" w:type="dxa"/>
            <w:vAlign w:val="bottom"/>
            <w:gridSpan w:val="8"/>
          </w:tcPr>
          <w:p>
            <w:pPr>
              <w:spacing w:after="0"/>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2.</w:t>
            </w:r>
          </w:p>
        </w:tc>
        <w:tc>
          <w:tcPr>
            <w:tcW w:w="8800" w:type="dxa"/>
            <w:vAlign w:val="bottom"/>
            <w:gridSpan w:val="8"/>
          </w:tcPr>
          <w:p>
            <w:pPr>
              <w:spacing w:after="0"/>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3.</w:t>
            </w:r>
          </w:p>
        </w:tc>
        <w:tc>
          <w:tcPr>
            <w:tcW w:w="8800" w:type="dxa"/>
            <w:vAlign w:val="bottom"/>
            <w:gridSpan w:val="8"/>
          </w:tcPr>
          <w:p>
            <w:pPr>
              <w:spacing w:after="0"/>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4.</w:t>
            </w:r>
          </w:p>
        </w:tc>
        <w:tc>
          <w:tcPr>
            <w:tcW w:w="8800" w:type="dxa"/>
            <w:vAlign w:val="bottom"/>
            <w:gridSpan w:val="8"/>
          </w:tcPr>
          <w:p>
            <w:pPr>
              <w:spacing w:after="0"/>
              <w:rPr>
                <w:rFonts w:ascii="Arial" w:cs="Arial" w:eastAsia="Arial" w:hAnsi="Arial"/>
                <w:sz w:val="22"/>
                <w:szCs w:val="22"/>
                <w:u w:val="single" w:color="auto"/>
                <w:color w:val="0000EE"/>
              </w:rPr>
            </w:pPr>
            <w:hyperlink w:anchor="page55">
              <w:r>
                <w:rPr>
                  <w:rFonts w:ascii="Arial" w:cs="Arial" w:eastAsia="Arial" w:hAnsi="Arial"/>
                  <w:sz w:val="22"/>
                  <w:szCs w:val="22"/>
                  <w:u w:val="single" w:color="auto"/>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65"/>
        </w:trPr>
        <w:tc>
          <w:tcPr>
            <w:tcW w:w="760" w:type="dxa"/>
            <w:vAlign w:val="bottom"/>
          </w:tcPr>
          <w:p>
            <w:pPr>
              <w:spacing w:after="0"/>
              <w:rPr>
                <w:sz w:val="20"/>
                <w:szCs w:val="20"/>
                <w:color w:val="auto"/>
              </w:rPr>
            </w:pPr>
            <w:r>
              <w:rPr>
                <w:rFonts w:ascii="Arial" w:cs="Arial" w:eastAsia="Arial" w:hAnsi="Arial"/>
                <w:sz w:val="22"/>
                <w:szCs w:val="22"/>
                <w:color w:val="auto"/>
              </w:rPr>
              <w:t>Part II.</w:t>
            </w:r>
          </w:p>
        </w:tc>
        <w:tc>
          <w:tcPr>
            <w:tcW w:w="9940" w:type="dxa"/>
            <w:vAlign w:val="bottom"/>
            <w:gridSpan w:val="9"/>
          </w:tcPr>
          <w:p>
            <w:pPr>
              <w:ind w:left="160"/>
              <w:spacing w:after="0"/>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w:t>
            </w:r>
          </w:p>
        </w:tc>
        <w:tc>
          <w:tcPr>
            <w:tcW w:w="8800" w:type="dxa"/>
            <w:vAlign w:val="bottom"/>
            <w:gridSpan w:val="8"/>
          </w:tcPr>
          <w:p>
            <w:pPr>
              <w:spacing w:after="0"/>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1A.</w:t>
            </w:r>
          </w:p>
        </w:tc>
        <w:tc>
          <w:tcPr>
            <w:tcW w:w="8800" w:type="dxa"/>
            <w:vAlign w:val="bottom"/>
            <w:gridSpan w:val="8"/>
          </w:tcPr>
          <w:p>
            <w:pPr>
              <w:spacing w:after="0"/>
              <w:rPr>
                <w:rFonts w:ascii="Arial" w:cs="Arial" w:eastAsia="Arial" w:hAnsi="Arial"/>
                <w:sz w:val="22"/>
                <w:szCs w:val="22"/>
                <w:u w:val="single" w:color="auto"/>
                <w:color w:val="0000EE"/>
              </w:rPr>
            </w:pPr>
            <w:hyperlink w:anchor="page58">
              <w:r>
                <w:rPr>
                  <w:rFonts w:ascii="Arial" w:cs="Arial" w:eastAsia="Arial" w:hAnsi="Arial"/>
                  <w:sz w:val="22"/>
                  <w:szCs w:val="22"/>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2.</w:t>
            </w:r>
          </w:p>
        </w:tc>
        <w:tc>
          <w:tcPr>
            <w:tcW w:w="8800" w:type="dxa"/>
            <w:vAlign w:val="bottom"/>
            <w:gridSpan w:val="8"/>
          </w:tcPr>
          <w:p>
            <w:pPr>
              <w:spacing w:after="0"/>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3.</w:t>
            </w:r>
          </w:p>
        </w:tc>
        <w:tc>
          <w:tcPr>
            <w:tcW w:w="8800" w:type="dxa"/>
            <w:vAlign w:val="bottom"/>
            <w:gridSpan w:val="8"/>
          </w:tcPr>
          <w:p>
            <w:pPr>
              <w:spacing w:after="0"/>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Default Upon Senior Securities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64"/>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4.</w:t>
            </w:r>
          </w:p>
        </w:tc>
        <w:tc>
          <w:tcPr>
            <w:tcW w:w="8800" w:type="dxa"/>
            <w:vAlign w:val="bottom"/>
            <w:gridSpan w:val="8"/>
          </w:tcPr>
          <w:p>
            <w:pPr>
              <w:spacing w:after="0"/>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5.</w:t>
            </w:r>
          </w:p>
        </w:tc>
        <w:tc>
          <w:tcPr>
            <w:tcW w:w="8800" w:type="dxa"/>
            <w:vAlign w:val="bottom"/>
            <w:gridSpan w:val="8"/>
          </w:tcPr>
          <w:p>
            <w:pPr>
              <w:spacing w:after="0"/>
              <w:rPr>
                <w:rFonts w:ascii="Arial" w:cs="Arial" w:eastAsia="Arial" w:hAnsi="Arial"/>
                <w:sz w:val="22"/>
                <w:szCs w:val="22"/>
                <w:u w:val="single" w:color="auto"/>
                <w:color w:val="0000EE"/>
              </w:rPr>
            </w:pPr>
            <w:hyperlink w:anchor="page61">
              <w:r>
                <w:rPr>
                  <w:rFonts w:ascii="Arial" w:cs="Arial" w:eastAsia="Arial" w:hAnsi="Arial"/>
                  <w:sz w:val="22"/>
                  <w:szCs w:val="22"/>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65"/>
        </w:trPr>
        <w:tc>
          <w:tcPr>
            <w:tcW w:w="760" w:type="dxa"/>
            <w:vAlign w:val="bottom"/>
          </w:tcPr>
          <w:p>
            <w:pPr>
              <w:spacing w:after="0"/>
              <w:rPr>
                <w:sz w:val="24"/>
                <w:szCs w:val="24"/>
                <w:color w:val="auto"/>
              </w:rPr>
            </w:pPr>
          </w:p>
        </w:tc>
        <w:tc>
          <w:tcPr>
            <w:tcW w:w="1140" w:type="dxa"/>
            <w:vAlign w:val="bottom"/>
          </w:tcPr>
          <w:p>
            <w:pPr>
              <w:ind w:left="160"/>
              <w:spacing w:after="0"/>
              <w:rPr>
                <w:sz w:val="20"/>
                <w:szCs w:val="20"/>
                <w:color w:val="auto"/>
              </w:rPr>
            </w:pPr>
            <w:r>
              <w:rPr>
                <w:rFonts w:ascii="Arial" w:cs="Arial" w:eastAsia="Arial" w:hAnsi="Arial"/>
                <w:sz w:val="22"/>
                <w:szCs w:val="22"/>
                <w:color w:val="auto"/>
              </w:rPr>
              <w:t>Item 6.</w:t>
            </w:r>
          </w:p>
        </w:tc>
        <w:tc>
          <w:tcPr>
            <w:tcW w:w="8800" w:type="dxa"/>
            <w:vAlign w:val="bottom"/>
            <w:gridSpan w:val="8"/>
          </w:tcPr>
          <w:p>
            <w:pPr>
              <w:spacing w:after="0"/>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Exhibits</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spacing w:after="0"/>
              <w:rPr>
                <w:sz w:val="20"/>
                <w:szCs w:val="20"/>
                <w:color w:val="auto"/>
              </w:rPr>
            </w:pPr>
            <w:r>
              <w:rPr>
                <w:rFonts w:ascii="Arial" w:cs="Arial" w:eastAsia="Arial" w:hAnsi="Arial"/>
                <w:sz w:val="14"/>
                <w:szCs w:val="14"/>
                <w:b w:val="1"/>
                <w:bCs w:val="1"/>
                <w:color w:val="auto"/>
              </w:rPr>
              <w:t>PART I—FINANCIAL INFORMATION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6"/>
        </w:trPr>
        <w:tc>
          <w:tcPr>
            <w:tcW w:w="11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6360" w:type="dxa"/>
            <w:vAlign w:val="bottom"/>
          </w:tcPr>
          <w:p>
            <w:pPr>
              <w:spacing w:after="0"/>
              <w:rPr>
                <w:sz w:val="20"/>
                <w:szCs w:val="20"/>
                <w:color w:val="auto"/>
              </w:rPr>
            </w:pPr>
            <w:r>
              <w:rPr>
                <w:rFonts w:ascii="Arial" w:cs="Arial" w:eastAsia="Arial" w:hAnsi="Arial"/>
                <w:sz w:val="14"/>
                <w:szCs w:val="14"/>
                <w:b w:val="1"/>
                <w:bCs w:val="1"/>
                <w:color w:val="auto"/>
              </w:rPr>
              <w:t>FINANCIAL STATEMENTS</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9"/>
        </w:trPr>
        <w:tc>
          <w:tcPr>
            <w:tcW w:w="1180" w:type="dxa"/>
            <w:vAlign w:val="bottom"/>
          </w:tcPr>
          <w:p>
            <w:pPr>
              <w:spacing w:after="0"/>
              <w:rPr>
                <w:sz w:val="19"/>
                <w:szCs w:val="19"/>
                <w:color w:val="auto"/>
              </w:rPr>
            </w:pPr>
          </w:p>
        </w:tc>
        <w:tc>
          <w:tcPr>
            <w:tcW w:w="6360" w:type="dxa"/>
            <w:vAlign w:val="bottom"/>
          </w:tcPr>
          <w:p>
            <w:pPr>
              <w:jc w:val="center"/>
              <w:ind w:left="2467"/>
              <w:spacing w:after="0"/>
              <w:rPr>
                <w:sz w:val="20"/>
                <w:szCs w:val="20"/>
                <w:color w:val="auto"/>
              </w:rPr>
            </w:pPr>
            <w:r>
              <w:rPr>
                <w:rFonts w:ascii="Arial" w:cs="Arial" w:eastAsia="Arial" w:hAnsi="Arial"/>
                <w:sz w:val="14"/>
                <w:szCs w:val="14"/>
                <w:b w:val="1"/>
                <w:bCs w:val="1"/>
                <w:color w:val="auto"/>
              </w:rPr>
              <w:t>SEACOR MARINE HOLDINGS INC.</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49"/>
        </w:trPr>
        <w:tc>
          <w:tcPr>
            <w:tcW w:w="1180" w:type="dxa"/>
            <w:vAlign w:val="bottom"/>
          </w:tcPr>
          <w:p>
            <w:pPr>
              <w:spacing w:after="0"/>
              <w:rPr>
                <w:sz w:val="12"/>
                <w:szCs w:val="12"/>
                <w:color w:val="auto"/>
              </w:rPr>
            </w:pPr>
          </w:p>
        </w:tc>
        <w:tc>
          <w:tcPr>
            <w:tcW w:w="67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UNAUDITED CONDENSED CONSOLIDATED BALANCE SHEETS</w:t>
            </w: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6"/>
        </w:trPr>
        <w:tc>
          <w:tcPr>
            <w:tcW w:w="1180" w:type="dxa"/>
            <w:vAlign w:val="bottom"/>
          </w:tcPr>
          <w:p>
            <w:pPr>
              <w:spacing w:after="0"/>
              <w:rPr>
                <w:sz w:val="16"/>
                <w:szCs w:val="16"/>
                <w:color w:val="auto"/>
              </w:rPr>
            </w:pPr>
          </w:p>
        </w:tc>
        <w:tc>
          <w:tcPr>
            <w:tcW w:w="6360" w:type="dxa"/>
            <w:vAlign w:val="bottom"/>
          </w:tcPr>
          <w:p>
            <w:pPr>
              <w:jc w:val="center"/>
              <w:ind w:left="2467"/>
              <w:spacing w:after="0"/>
              <w:rPr>
                <w:sz w:val="20"/>
                <w:szCs w:val="20"/>
                <w:color w:val="auto"/>
              </w:rPr>
            </w:pPr>
            <w:r>
              <w:rPr>
                <w:rFonts w:ascii="Arial" w:cs="Arial" w:eastAsia="Arial" w:hAnsi="Arial"/>
                <w:sz w:val="14"/>
                <w:szCs w:val="14"/>
                <w:b w:val="1"/>
                <w:bCs w:val="1"/>
                <w:color w:val="auto"/>
                <w:w w:val="90"/>
              </w:rPr>
              <w:t>(in thousands, except share data)</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23"/>
        </w:trPr>
        <w:tc>
          <w:tcPr>
            <w:tcW w:w="11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June 30, 2020</w:t>
            </w:r>
          </w:p>
        </w:tc>
        <w:tc>
          <w:tcPr>
            <w:tcW w:w="12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1"/>
              </w:rPr>
              <w:t>December 31, 2019</w:t>
            </w:r>
          </w:p>
        </w:tc>
      </w:tr>
      <w:tr>
        <w:trPr>
          <w:trHeight w:val="169"/>
        </w:trPr>
        <w:tc>
          <w:tcPr>
            <w:tcW w:w="1180" w:type="dxa"/>
            <w:vAlign w:val="bottom"/>
            <w:tcBorders>
              <w:top w:val="single" w:sz="8" w:color="CFF0FC"/>
            </w:tcBorders>
            <w:shd w:val="clear" w:color="auto" w:fill="CFF0FC"/>
          </w:tcPr>
          <w:p>
            <w:pPr>
              <w:spacing w:after="0"/>
              <w:rPr>
                <w:sz w:val="14"/>
                <w:szCs w:val="14"/>
                <w:color w:val="auto"/>
              </w:rPr>
            </w:pPr>
          </w:p>
        </w:tc>
        <w:tc>
          <w:tcPr>
            <w:tcW w:w="6360" w:type="dxa"/>
            <w:vAlign w:val="bottom"/>
            <w:tcBorders>
              <w:top w:val="single" w:sz="8" w:color="CFF0FC"/>
            </w:tcBorders>
            <w:shd w:val="clear" w:color="auto" w:fill="CFF0FC"/>
          </w:tcPr>
          <w:p>
            <w:pPr>
              <w:jc w:val="center"/>
              <w:ind w:right="1107"/>
              <w:spacing w:after="0" w:line="169" w:lineRule="exact"/>
              <w:rPr>
                <w:sz w:val="20"/>
                <w:szCs w:val="20"/>
                <w:color w:val="auto"/>
              </w:rPr>
            </w:pPr>
            <w:r>
              <w:rPr>
                <w:rFonts w:ascii="Arial" w:cs="Arial" w:eastAsia="Arial" w:hAnsi="Arial"/>
                <w:sz w:val="15"/>
                <w:szCs w:val="15"/>
                <w:b w:val="1"/>
                <w:bCs w:val="1"/>
                <w:color w:val="auto"/>
                <w:w w:val="96"/>
              </w:rPr>
              <w:t>ASSETS</w:t>
            </w:r>
          </w:p>
        </w:tc>
        <w:tc>
          <w:tcPr>
            <w:tcW w:w="1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1180" w:type="dxa"/>
            <w:vAlign w:val="bottom"/>
          </w:tcPr>
          <w:p>
            <w:pPr>
              <w:spacing w:after="0"/>
              <w:rPr>
                <w:sz w:val="20"/>
                <w:szCs w:val="20"/>
                <w:color w:val="auto"/>
              </w:rPr>
            </w:pPr>
            <w:r>
              <w:rPr>
                <w:rFonts w:ascii="Arial" w:cs="Arial" w:eastAsia="Arial" w:hAnsi="Arial"/>
                <w:sz w:val="15"/>
                <w:szCs w:val="15"/>
                <w:color w:val="auto"/>
              </w:rPr>
              <w:t>Current Assets:</w:t>
            </w:r>
          </w:p>
        </w:tc>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54,698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83,943</w:t>
            </w:r>
          </w:p>
        </w:tc>
        <w:tc>
          <w:tcPr>
            <w:tcW w:w="120" w:type="dxa"/>
            <w:vAlign w:val="bottom"/>
            <w:shd w:val="clear" w:color="auto" w:fill="CFF0FC"/>
          </w:tcPr>
          <w:p>
            <w:pPr>
              <w:spacing w:after="0"/>
              <w:rPr>
                <w:sz w:val="15"/>
                <w:szCs w:val="15"/>
                <w:color w:val="auto"/>
              </w:rPr>
            </w:pPr>
          </w:p>
        </w:tc>
      </w:tr>
      <w:tr>
        <w:trPr>
          <w:trHeight w:val="175"/>
        </w:trPr>
        <w:tc>
          <w:tcPr>
            <w:tcW w:w="1180" w:type="dxa"/>
            <w:vAlign w:val="bottom"/>
          </w:tcPr>
          <w:p>
            <w:pPr>
              <w:ind w:left="260"/>
              <w:spacing w:after="0"/>
              <w:rPr>
                <w:sz w:val="20"/>
                <w:szCs w:val="20"/>
                <w:color w:val="auto"/>
              </w:rPr>
            </w:pPr>
            <w:r>
              <w:rPr>
                <w:rFonts w:ascii="Arial" w:cs="Arial" w:eastAsia="Arial" w:hAnsi="Arial"/>
                <w:sz w:val="15"/>
                <w:szCs w:val="15"/>
                <w:color w:val="auto"/>
                <w:w w:val="87"/>
              </w:rPr>
              <w:t>Restricted cash</w:t>
            </w:r>
          </w:p>
        </w:tc>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3,352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3,104</w:t>
            </w: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Receivables:</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500"/>
              <w:spacing w:after="0"/>
              <w:rPr>
                <w:sz w:val="20"/>
                <w:szCs w:val="20"/>
                <w:color w:val="auto"/>
              </w:rPr>
            </w:pPr>
            <w:r>
              <w:rPr>
                <w:rFonts w:ascii="Arial" w:cs="Arial" w:eastAsia="Arial" w:hAnsi="Arial"/>
                <w:sz w:val="15"/>
                <w:szCs w:val="15"/>
                <w:color w:val="auto"/>
              </w:rPr>
              <w:t>Trade, net of allowance for credit loss accounts of $664 and $455 in 2020 and 2019, respectively</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57,892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49,128</w:t>
            </w:r>
          </w:p>
        </w:tc>
        <w:tc>
          <w:tcPr>
            <w:tcW w:w="120" w:type="dxa"/>
            <w:vAlign w:val="bottom"/>
          </w:tcPr>
          <w:p>
            <w:pPr>
              <w:spacing w:after="0"/>
              <w:rPr>
                <w:sz w:val="15"/>
                <w:szCs w:val="15"/>
                <w:color w:val="auto"/>
              </w:rPr>
            </w:pPr>
          </w:p>
        </w:tc>
      </w:tr>
      <w:tr>
        <w:trPr>
          <w:trHeight w:val="175"/>
        </w:trPr>
        <w:tc>
          <w:tcPr>
            <w:tcW w:w="11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14,362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18,531</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Receivable from SEACOR Holdings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14,394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5"/>
        </w:trPr>
        <w:tc>
          <w:tcPr>
            <w:tcW w:w="11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Inventories</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1,409</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1,228</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5"/>
                <w:szCs w:val="15"/>
                <w:color w:val="auto"/>
              </w:rPr>
              <w:t>Prepaid expenses and other</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3,218</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2,612</w:t>
            </w:r>
          </w:p>
        </w:tc>
        <w:tc>
          <w:tcPr>
            <w:tcW w:w="120" w:type="dxa"/>
            <w:vAlign w:val="bottom"/>
            <w:tcBorders>
              <w:bottom w:val="single" w:sz="8" w:color="CFF0FC"/>
            </w:tcBorders>
          </w:tcPr>
          <w:p>
            <w:pPr>
              <w:spacing w:after="0"/>
              <w:rPr>
                <w:sz w:val="15"/>
                <w:szCs w:val="15"/>
                <w:color w:val="auto"/>
              </w:rPr>
            </w:pPr>
          </w:p>
        </w:tc>
      </w:tr>
      <w:tr>
        <w:trPr>
          <w:trHeight w:val="169"/>
        </w:trPr>
        <w:tc>
          <w:tcPr>
            <w:tcW w:w="7540" w:type="dxa"/>
            <w:vAlign w:val="bottom"/>
            <w:gridSpan w:val="2"/>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149,325</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158,546</w:t>
            </w:r>
          </w:p>
        </w:tc>
        <w:tc>
          <w:tcPr>
            <w:tcW w:w="120" w:type="dxa"/>
            <w:vAlign w:val="bottom"/>
            <w:shd w:val="clear" w:color="auto" w:fill="CFF0FC"/>
          </w:tcPr>
          <w:p>
            <w:pPr>
              <w:spacing w:after="0"/>
              <w:rPr>
                <w:sz w:val="14"/>
                <w:szCs w:val="14"/>
                <w:color w:val="auto"/>
              </w:rPr>
            </w:pPr>
          </w:p>
        </w:tc>
      </w:tr>
      <w:tr>
        <w:trPr>
          <w:trHeight w:val="169"/>
        </w:trPr>
        <w:tc>
          <w:tcPr>
            <w:tcW w:w="7540" w:type="dxa"/>
            <w:vAlign w:val="bottom"/>
            <w:gridSpan w:val="2"/>
          </w:tcPr>
          <w:p>
            <w:pPr>
              <w:spacing w:after="0" w:line="169" w:lineRule="exact"/>
              <w:rPr>
                <w:sz w:val="20"/>
                <w:szCs w:val="20"/>
                <w:color w:val="auto"/>
              </w:rPr>
            </w:pPr>
            <w:r>
              <w:rPr>
                <w:rFonts w:ascii="Arial" w:cs="Arial" w:eastAsia="Arial" w:hAnsi="Arial"/>
                <w:sz w:val="15"/>
                <w:szCs w:val="15"/>
                <w:color w:val="auto"/>
              </w:rPr>
              <w:t>Property and Equipment: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18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6"/>
              </w:rPr>
              <w:t>Historical cost</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1,066,239</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976,978</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Accumulated depreciation</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(322,378)</w:t>
            </w:r>
          </w:p>
        </w:tc>
        <w:tc>
          <w:tcPr>
            <w:tcW w:w="12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5"/>
                <w:szCs w:val="15"/>
                <w:color w:val="auto"/>
              </w:rPr>
              <w:t>(358,962)</w:t>
            </w:r>
          </w:p>
        </w:tc>
      </w:tr>
      <w:tr>
        <w:trPr>
          <w:trHeight w:val="169"/>
        </w:trPr>
        <w:tc>
          <w:tcPr>
            <w:tcW w:w="1180" w:type="dxa"/>
            <w:vAlign w:val="bottom"/>
            <w:tcBorders>
              <w:top w:val="single" w:sz="8" w:color="CFF0FC"/>
            </w:tcBorders>
            <w:shd w:val="clear" w:color="auto" w:fill="CFF0FC"/>
          </w:tcPr>
          <w:p>
            <w:pPr>
              <w:spacing w:after="0"/>
              <w:rPr>
                <w:sz w:val="14"/>
                <w:szCs w:val="14"/>
                <w:color w:val="auto"/>
              </w:rPr>
            </w:pPr>
          </w:p>
        </w:tc>
        <w:tc>
          <w:tcPr>
            <w:tcW w:w="63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743,861</w:t>
            </w: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618,016</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5"/>
                <w:szCs w:val="15"/>
                <w:color w:val="auto"/>
              </w:rPr>
              <w:t>Construction in progress</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55,955</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74,344</w:t>
            </w:r>
          </w:p>
        </w:tc>
        <w:tc>
          <w:tcPr>
            <w:tcW w:w="120" w:type="dxa"/>
            <w:vAlign w:val="bottom"/>
            <w:tcBorders>
              <w:bottom w:val="single" w:sz="8" w:color="CFF0FC"/>
            </w:tcBorders>
          </w:tcPr>
          <w:p>
            <w:pPr>
              <w:spacing w:after="0"/>
              <w:rPr>
                <w:sz w:val="15"/>
                <w:szCs w:val="15"/>
                <w:color w:val="auto"/>
              </w:rPr>
            </w:pPr>
          </w:p>
        </w:tc>
      </w:tr>
      <w:tr>
        <w:trPr>
          <w:trHeight w:val="169"/>
        </w:trPr>
        <w:tc>
          <w:tcPr>
            <w:tcW w:w="7540" w:type="dxa"/>
            <w:vAlign w:val="bottom"/>
            <w:gridSpan w:val="2"/>
            <w:shd w:val="clear" w:color="auto" w:fill="CFF0FC"/>
          </w:tcPr>
          <w:p>
            <w:pPr>
              <w:ind w:left="260"/>
              <w:spacing w:after="0" w:line="169" w:lineRule="exact"/>
              <w:rPr>
                <w:sz w:val="20"/>
                <w:szCs w:val="20"/>
                <w:color w:val="auto"/>
              </w:rPr>
            </w:pPr>
            <w:r>
              <w:rPr>
                <w:rFonts w:ascii="Arial" w:cs="Arial" w:eastAsia="Arial" w:hAnsi="Arial"/>
                <w:sz w:val="15"/>
                <w:szCs w:val="15"/>
                <w:color w:val="auto"/>
              </w:rPr>
              <w:t>Net property and equipment</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799,816</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692,360</w:t>
            </w:r>
          </w:p>
        </w:tc>
        <w:tc>
          <w:tcPr>
            <w:tcW w:w="120" w:type="dxa"/>
            <w:vAlign w:val="bottom"/>
            <w:shd w:val="clear" w:color="auto" w:fill="CFF0FC"/>
          </w:tcPr>
          <w:p>
            <w:pPr>
              <w:spacing w:after="0"/>
              <w:rPr>
                <w:sz w:val="14"/>
                <w:szCs w:val="14"/>
                <w:color w:val="auto"/>
              </w:rPr>
            </w:pPr>
          </w:p>
        </w:tc>
      </w:tr>
      <w:tr>
        <w:trPr>
          <w:trHeight w:val="169"/>
        </w:trPr>
        <w:tc>
          <w:tcPr>
            <w:tcW w:w="7540" w:type="dxa"/>
            <w:vAlign w:val="bottom"/>
            <w:gridSpan w:val="2"/>
          </w:tcPr>
          <w:p>
            <w:pPr>
              <w:spacing w:after="0" w:line="169" w:lineRule="exact"/>
              <w:rPr>
                <w:sz w:val="20"/>
                <w:szCs w:val="20"/>
                <w:color w:val="auto"/>
              </w:rPr>
            </w:pPr>
            <w:r>
              <w:rPr>
                <w:rFonts w:ascii="Arial" w:cs="Arial" w:eastAsia="Arial" w:hAnsi="Arial"/>
                <w:sz w:val="15"/>
                <w:szCs w:val="15"/>
                <w:color w:val="auto"/>
              </w:rPr>
              <w:t>Right-of-Use Asset - Operating Leases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8,818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17,313</w:t>
            </w:r>
          </w:p>
        </w:tc>
        <w:tc>
          <w:tcPr>
            <w:tcW w:w="120" w:type="dxa"/>
            <w:vAlign w:val="bottom"/>
          </w:tcPr>
          <w:p>
            <w:pPr>
              <w:spacing w:after="0"/>
              <w:rPr>
                <w:sz w:val="14"/>
                <w:szCs w:val="14"/>
                <w:color w:val="auto"/>
              </w:rPr>
            </w:pPr>
          </w:p>
        </w:tc>
      </w:tr>
      <w:tr>
        <w:trPr>
          <w:trHeight w:val="175"/>
        </w:trPr>
        <w:tc>
          <w:tcPr>
            <w:tcW w:w="75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Investments, at Equity, and Advances to 50% or Less Owned Companies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90,900</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124,680</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spacing w:after="0"/>
              <w:rPr>
                <w:sz w:val="20"/>
                <w:szCs w:val="20"/>
                <w:color w:val="auto"/>
              </w:rPr>
            </w:pPr>
            <w:r>
              <w:rPr>
                <w:rFonts w:ascii="Arial" w:cs="Arial" w:eastAsia="Arial" w:hAnsi="Arial"/>
                <w:sz w:val="15"/>
                <w:szCs w:val="15"/>
                <w:color w:val="auto"/>
              </w:rPr>
              <w:t>Construction Reserve Funds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12,893</w:t>
            </w:r>
          </w:p>
        </w:tc>
        <w:tc>
          <w:tcPr>
            <w:tcW w:w="120" w:type="dxa"/>
            <w:vAlign w:val="bottom"/>
          </w:tcPr>
          <w:p>
            <w:pPr>
              <w:spacing w:after="0"/>
              <w:rPr>
                <w:sz w:val="15"/>
                <w:szCs w:val="15"/>
                <w:color w:val="auto"/>
              </w:rPr>
            </w:pPr>
          </w:p>
        </w:tc>
      </w:tr>
      <w:tr>
        <w:trPr>
          <w:trHeight w:val="175"/>
        </w:trPr>
        <w:tc>
          <w:tcPr>
            <w:tcW w:w="118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3,243</w:t>
            </w:r>
          </w:p>
        </w:tc>
        <w:tc>
          <w:tcPr>
            <w:tcW w:w="30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3,401</w:t>
            </w:r>
          </w:p>
        </w:tc>
        <w:tc>
          <w:tcPr>
            <w:tcW w:w="120" w:type="dxa"/>
            <w:vAlign w:val="bottom"/>
            <w:shd w:val="clear" w:color="auto" w:fill="CFF0FC"/>
          </w:tcPr>
          <w:p>
            <w:pPr>
              <w:spacing w:after="0"/>
              <w:rPr>
                <w:sz w:val="15"/>
                <w:szCs w:val="15"/>
                <w:color w:val="auto"/>
              </w:rPr>
            </w:pPr>
          </w:p>
        </w:tc>
      </w:tr>
      <w:tr>
        <w:trPr>
          <w:trHeight w:val="209"/>
        </w:trPr>
        <w:tc>
          <w:tcPr>
            <w:tcW w:w="11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1,052,102</w:t>
            </w:r>
          </w:p>
        </w:tc>
        <w:tc>
          <w:tcPr>
            <w:tcW w:w="300" w:type="dxa"/>
            <w:vAlign w:val="bottom"/>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1,009,193</w:t>
            </w:r>
          </w:p>
        </w:tc>
        <w:tc>
          <w:tcPr>
            <w:tcW w:w="120" w:type="dxa"/>
            <w:vAlign w:val="bottom"/>
          </w:tcPr>
          <w:p>
            <w:pPr>
              <w:spacing w:after="0"/>
              <w:rPr>
                <w:sz w:val="18"/>
                <w:szCs w:val="18"/>
                <w:color w:val="auto"/>
              </w:rPr>
            </w:pPr>
          </w:p>
        </w:tc>
      </w:tr>
      <w:tr>
        <w:trPr>
          <w:trHeight w:val="156"/>
        </w:trPr>
        <w:tc>
          <w:tcPr>
            <w:tcW w:w="1180" w:type="dxa"/>
            <w:vAlign w:val="bottom"/>
            <w:tcBorders>
              <w:top w:val="single" w:sz="8" w:color="CFF0FC"/>
            </w:tcBorders>
            <w:shd w:val="clear" w:color="auto" w:fill="CFF0FC"/>
          </w:tcPr>
          <w:p>
            <w:pPr>
              <w:spacing w:after="0"/>
              <w:rPr>
                <w:sz w:val="13"/>
                <w:szCs w:val="13"/>
                <w:color w:val="auto"/>
              </w:rPr>
            </w:pPr>
          </w:p>
        </w:tc>
        <w:tc>
          <w:tcPr>
            <w:tcW w:w="6360" w:type="dxa"/>
            <w:vAlign w:val="bottom"/>
            <w:tcBorders>
              <w:top w:val="single" w:sz="8" w:color="CFF0FC"/>
            </w:tcBorders>
            <w:shd w:val="clear" w:color="auto" w:fill="CFF0FC"/>
          </w:tcPr>
          <w:p>
            <w:pPr>
              <w:jc w:val="center"/>
              <w:ind w:right="1107"/>
              <w:spacing w:after="0" w:line="156" w:lineRule="exact"/>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6"/>
        </w:trPr>
        <w:tc>
          <w:tcPr>
            <w:tcW w:w="1180" w:type="dxa"/>
            <w:vAlign w:val="bottom"/>
          </w:tcPr>
          <w:p>
            <w:pPr>
              <w:spacing w:after="0"/>
              <w:rPr>
                <w:sz w:val="20"/>
                <w:szCs w:val="20"/>
                <w:color w:val="auto"/>
              </w:rPr>
            </w:pPr>
            <w:r>
              <w:rPr>
                <w:rFonts w:ascii="Arial" w:cs="Arial" w:eastAsia="Arial" w:hAnsi="Arial"/>
                <w:sz w:val="15"/>
                <w:szCs w:val="15"/>
                <w:color w:val="auto"/>
                <w:w w:val="96"/>
              </w:rPr>
              <w:t>Current Liabilities:</w:t>
            </w:r>
          </w:p>
        </w:tc>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Current portion of operating lease liabilities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11,765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15,099</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Current portion of long-term debt: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Recourse</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48,568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17,802</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gridSpan w:val="2"/>
          </w:tcPr>
          <w:p>
            <w:pPr>
              <w:ind w:left="500"/>
              <w:spacing w:after="0"/>
              <w:rPr>
                <w:sz w:val="20"/>
                <w:szCs w:val="20"/>
                <w:color w:val="auto"/>
              </w:rPr>
            </w:pPr>
            <w:r>
              <w:rPr>
                <w:rFonts w:ascii="Arial" w:cs="Arial" w:eastAsia="Arial" w:hAnsi="Arial"/>
                <w:sz w:val="15"/>
                <w:szCs w:val="15"/>
                <w:color w:val="auto"/>
              </w:rPr>
              <w:t>Non-recourse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3,225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Accounts payable and accrued expenses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22,382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25,691</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Due to SEACOR Holdings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5"/>
                <w:szCs w:val="15"/>
                <w:color w:val="auto"/>
              </w:rPr>
            </w:pPr>
          </w:p>
        </w:tc>
      </w:tr>
      <w:tr>
        <w:trPr>
          <w:trHeight w:val="175"/>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Accrued wages and benefits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1,832</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Accrued interest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2,502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731</w:t>
            </w:r>
          </w:p>
        </w:tc>
        <w:tc>
          <w:tcPr>
            <w:tcW w:w="120" w:type="dxa"/>
            <w:vAlign w:val="bottom"/>
          </w:tcPr>
          <w:p>
            <w:pPr>
              <w:spacing w:after="0"/>
              <w:rPr>
                <w:sz w:val="15"/>
                <w:szCs w:val="15"/>
                <w:color w:val="auto"/>
              </w:rPr>
            </w:pPr>
          </w:p>
        </w:tc>
      </w:tr>
      <w:tr>
        <w:trPr>
          <w:trHeight w:val="175"/>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Deferred revenue and unearned revenue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4,004</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5,327</w:t>
            </w:r>
          </w:p>
        </w:tc>
        <w:tc>
          <w:tcPr>
            <w:tcW w:w="120" w:type="dxa"/>
            <w:vAlign w:val="bottom"/>
          </w:tcPr>
          <w:p>
            <w:pPr>
              <w:spacing w:after="0"/>
              <w:rPr>
                <w:sz w:val="15"/>
                <w:szCs w:val="15"/>
                <w:color w:val="auto"/>
              </w:rPr>
            </w:pPr>
          </w:p>
        </w:tc>
      </w:tr>
      <w:tr>
        <w:trPr>
          <w:trHeight w:val="175"/>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Accrued capital, repair and maintenance expenditures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10,552</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15,997</w:t>
            </w:r>
          </w:p>
        </w:tc>
        <w:tc>
          <w:tcPr>
            <w:tcW w:w="120" w:type="dxa"/>
            <w:vAlign w:val="bottom"/>
            <w:shd w:val="clear" w:color="auto" w:fill="CFF0FC"/>
          </w:tcPr>
          <w:p>
            <w:pPr>
              <w:spacing w:after="0"/>
              <w:rPr>
                <w:sz w:val="15"/>
                <w:szCs w:val="15"/>
                <w:color w:val="auto"/>
              </w:rPr>
            </w:pPr>
          </w:p>
        </w:tc>
      </w:tr>
      <w:tr>
        <w:trPr>
          <w:trHeight w:val="176"/>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Accrued insurance deductibles and premiums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2,413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3,564</w:t>
            </w:r>
          </w:p>
        </w:tc>
        <w:tc>
          <w:tcPr>
            <w:tcW w:w="120" w:type="dxa"/>
            <w:vAlign w:val="bottom"/>
          </w:tcPr>
          <w:p>
            <w:pPr>
              <w:spacing w:after="0"/>
              <w:rPr>
                <w:sz w:val="15"/>
                <w:szCs w:val="15"/>
                <w:color w:val="auto"/>
              </w:rPr>
            </w:pPr>
          </w:p>
        </w:tc>
      </w:tr>
      <w:tr>
        <w:trPr>
          <w:trHeight w:val="175"/>
        </w:trPr>
        <w:tc>
          <w:tcPr>
            <w:tcW w:w="11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Derivatives</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4,448</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3,009</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tcBorders>
              <w:bottom w:val="single" w:sz="8" w:color="CFF0FC"/>
            </w:tcBorders>
            <w:gridSpan w:val="2"/>
          </w:tcPr>
          <w:p>
            <w:pPr>
              <w:ind w:left="260"/>
              <w:spacing w:after="0"/>
              <w:rPr>
                <w:sz w:val="20"/>
                <w:szCs w:val="20"/>
                <w:color w:val="auto"/>
              </w:rPr>
            </w:pPr>
            <w:r>
              <w:rPr>
                <w:rFonts w:ascii="Arial" w:cs="Arial" w:eastAsia="Arial" w:hAnsi="Arial"/>
                <w:sz w:val="15"/>
                <w:szCs w:val="15"/>
                <w:color w:val="auto"/>
              </w:rPr>
              <w:t>Other current liabilities</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4,651</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5,691</w:t>
            </w:r>
          </w:p>
        </w:tc>
        <w:tc>
          <w:tcPr>
            <w:tcW w:w="120" w:type="dxa"/>
            <w:vAlign w:val="bottom"/>
            <w:tcBorders>
              <w:bottom w:val="single" w:sz="8" w:color="CFF0FC"/>
            </w:tcBorders>
          </w:tcPr>
          <w:p>
            <w:pPr>
              <w:spacing w:after="0"/>
              <w:rPr>
                <w:sz w:val="15"/>
                <w:szCs w:val="15"/>
                <w:color w:val="auto"/>
              </w:rPr>
            </w:pPr>
          </w:p>
        </w:tc>
      </w:tr>
      <w:tr>
        <w:trPr>
          <w:trHeight w:val="169"/>
        </w:trPr>
        <w:tc>
          <w:tcPr>
            <w:tcW w:w="7540" w:type="dxa"/>
            <w:vAlign w:val="bottom"/>
            <w:gridSpan w:val="2"/>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116,102</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94,817</w:t>
            </w:r>
          </w:p>
        </w:tc>
        <w:tc>
          <w:tcPr>
            <w:tcW w:w="120" w:type="dxa"/>
            <w:vAlign w:val="bottom"/>
            <w:shd w:val="clear" w:color="auto" w:fill="CFF0FC"/>
          </w:tcPr>
          <w:p>
            <w:pPr>
              <w:spacing w:after="0"/>
              <w:rPr>
                <w:sz w:val="14"/>
                <w:szCs w:val="14"/>
                <w:color w:val="auto"/>
              </w:rPr>
            </w:pPr>
          </w:p>
        </w:tc>
      </w:tr>
      <w:tr>
        <w:trPr>
          <w:trHeight w:val="169"/>
        </w:trPr>
        <w:tc>
          <w:tcPr>
            <w:tcW w:w="7540" w:type="dxa"/>
            <w:vAlign w:val="bottom"/>
            <w:gridSpan w:val="2"/>
          </w:tcPr>
          <w:p>
            <w:pPr>
              <w:spacing w:after="0" w:line="169" w:lineRule="exact"/>
              <w:rPr>
                <w:sz w:val="20"/>
                <w:szCs w:val="20"/>
                <w:color w:val="auto"/>
              </w:rPr>
            </w:pPr>
            <w:r>
              <w:rPr>
                <w:rFonts w:ascii="Arial" w:cs="Arial" w:eastAsia="Arial" w:hAnsi="Arial"/>
                <w:sz w:val="15"/>
                <w:szCs w:val="15"/>
                <w:color w:val="auto"/>
              </w:rPr>
              <w:t>Long-Term Operating Lease Liabilities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6,545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9,822</w:t>
            </w:r>
          </w:p>
        </w:tc>
        <w:tc>
          <w:tcPr>
            <w:tcW w:w="120" w:type="dxa"/>
            <w:vAlign w:val="bottom"/>
          </w:tcPr>
          <w:p>
            <w:pPr>
              <w:spacing w:after="0"/>
              <w:rPr>
                <w:sz w:val="14"/>
                <w:szCs w:val="14"/>
                <w:color w:val="auto"/>
              </w:rPr>
            </w:pPr>
          </w:p>
        </w:tc>
      </w:tr>
      <w:tr>
        <w:trPr>
          <w:trHeight w:val="175"/>
        </w:trPr>
        <w:tc>
          <w:tcPr>
            <w:tcW w:w="1180" w:type="dxa"/>
            <w:vAlign w:val="bottom"/>
            <w:shd w:val="clear" w:color="auto" w:fill="CFF0FC"/>
          </w:tcPr>
          <w:p>
            <w:pPr>
              <w:spacing w:after="0"/>
              <w:rPr>
                <w:sz w:val="20"/>
                <w:szCs w:val="20"/>
                <w:color w:val="auto"/>
              </w:rPr>
            </w:pPr>
            <w:r>
              <w:rPr>
                <w:rFonts w:ascii="Arial" w:cs="Arial" w:eastAsia="Arial" w:hAnsi="Arial"/>
                <w:sz w:val="15"/>
                <w:szCs w:val="15"/>
                <w:color w:val="auto"/>
              </w:rPr>
              <w:t>Long-Term Debt:</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1180" w:type="dxa"/>
            <w:vAlign w:val="bottom"/>
          </w:tcPr>
          <w:p>
            <w:pPr>
              <w:ind w:left="260"/>
              <w:spacing w:after="0"/>
              <w:rPr>
                <w:sz w:val="20"/>
                <w:szCs w:val="20"/>
                <w:color w:val="auto"/>
              </w:rPr>
            </w:pPr>
            <w:r>
              <w:rPr>
                <w:rFonts w:ascii="Arial" w:cs="Arial" w:eastAsia="Arial" w:hAnsi="Arial"/>
                <w:sz w:val="15"/>
                <w:szCs w:val="15"/>
                <w:color w:val="auto"/>
              </w:rPr>
              <w:t>Recourse</w:t>
            </w:r>
          </w:p>
        </w:tc>
        <w:tc>
          <w:tcPr>
            <w:tcW w:w="6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309,187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239,939</w:t>
            </w: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ind w:left="260"/>
              <w:spacing w:after="0"/>
              <w:rPr>
                <w:sz w:val="20"/>
                <w:szCs w:val="20"/>
                <w:color w:val="auto"/>
              </w:rPr>
            </w:pPr>
            <w:r>
              <w:rPr>
                <w:rFonts w:ascii="Arial" w:cs="Arial" w:eastAsia="Arial" w:hAnsi="Arial"/>
                <w:sz w:val="15"/>
                <w:szCs w:val="15"/>
                <w:color w:val="auto"/>
                <w:w w:val="99"/>
              </w:rPr>
              <w:t>Non-recourse</w:t>
            </w:r>
          </w:p>
        </w:tc>
        <w:tc>
          <w:tcPr>
            <w:tcW w:w="6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138,476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140,312</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gridSpan w:val="2"/>
          </w:tcPr>
          <w:p>
            <w:pPr>
              <w:spacing w:after="0"/>
              <w:rPr>
                <w:sz w:val="20"/>
                <w:szCs w:val="20"/>
                <w:color w:val="auto"/>
              </w:rPr>
            </w:pPr>
            <w:r>
              <w:rPr>
                <w:rFonts w:ascii="Arial" w:cs="Arial" w:eastAsia="Arial" w:hAnsi="Arial"/>
                <w:sz w:val="15"/>
                <w:szCs w:val="15"/>
                <w:color w:val="auto"/>
              </w:rPr>
              <w:t>Conversion Option Liability on Convertible Senior Notes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5,205</w:t>
            </w:r>
          </w:p>
        </w:tc>
        <w:tc>
          <w:tcPr>
            <w:tcW w:w="120" w:type="dxa"/>
            <w:vAlign w:val="bottom"/>
          </w:tcPr>
          <w:p>
            <w:pPr>
              <w:spacing w:after="0"/>
              <w:rPr>
                <w:sz w:val="15"/>
                <w:szCs w:val="15"/>
                <w:color w:val="auto"/>
              </w:rPr>
            </w:pPr>
          </w:p>
        </w:tc>
      </w:tr>
      <w:tr>
        <w:trPr>
          <w:trHeight w:val="175"/>
        </w:trPr>
        <w:tc>
          <w:tcPr>
            <w:tcW w:w="75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Deferred Income Taxes</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24,101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33,905</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Deferred Gains and Other Liabilities</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6,321</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6,269</w:t>
            </w:r>
          </w:p>
        </w:tc>
        <w:tc>
          <w:tcPr>
            <w:tcW w:w="120" w:type="dxa"/>
            <w:vAlign w:val="bottom"/>
            <w:tcBorders>
              <w:bottom w:val="single" w:sz="8" w:color="CFF0FC"/>
            </w:tcBorders>
          </w:tcPr>
          <w:p>
            <w:pPr>
              <w:spacing w:after="0"/>
              <w:rPr>
                <w:sz w:val="15"/>
                <w:szCs w:val="15"/>
                <w:color w:val="auto"/>
              </w:rPr>
            </w:pPr>
          </w:p>
        </w:tc>
      </w:tr>
      <w:tr>
        <w:trPr>
          <w:trHeight w:val="169"/>
        </w:trPr>
        <w:tc>
          <w:tcPr>
            <w:tcW w:w="7540" w:type="dxa"/>
            <w:vAlign w:val="bottom"/>
            <w:gridSpan w:val="2"/>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600,738</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530,269</w:t>
            </w:r>
          </w:p>
        </w:tc>
        <w:tc>
          <w:tcPr>
            <w:tcW w:w="120" w:type="dxa"/>
            <w:vAlign w:val="bottom"/>
            <w:shd w:val="clear" w:color="auto" w:fill="CFF0FC"/>
          </w:tcPr>
          <w:p>
            <w:pPr>
              <w:spacing w:after="0"/>
              <w:rPr>
                <w:sz w:val="14"/>
                <w:szCs w:val="14"/>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5"/>
                <w:szCs w:val="15"/>
                <w:color w:val="auto"/>
              </w:rPr>
              <w:t>Equity:</w:t>
            </w:r>
          </w:p>
        </w:tc>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SEACOR Marine Holdings Inc. stockholders’ equity:</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2"/>
        </w:trPr>
        <w:tc>
          <w:tcPr>
            <w:tcW w:w="7540" w:type="dxa"/>
            <w:vAlign w:val="bottom"/>
            <w:gridSpan w:val="2"/>
          </w:tcPr>
          <w:p>
            <w:pPr>
              <w:ind w:left="260"/>
              <w:spacing w:after="0" w:line="162" w:lineRule="exact"/>
              <w:rPr>
                <w:sz w:val="20"/>
                <w:szCs w:val="20"/>
                <w:color w:val="auto"/>
              </w:rPr>
            </w:pPr>
            <w:r>
              <w:rPr>
                <w:rFonts w:ascii="Arial" w:cs="Arial" w:eastAsia="Arial" w:hAnsi="Arial"/>
                <w:sz w:val="15"/>
                <w:szCs w:val="15"/>
                <w:color w:val="auto"/>
                <w:w w:val="92"/>
              </w:rPr>
              <w:t>Common stock, $.01 par value, 60,000,000 shares authorized; 23,096,914 and 21,928,674 shares issued in 2020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2019, respectively</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232</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219</w:t>
            </w:r>
          </w:p>
        </w:tc>
        <w:tc>
          <w:tcPr>
            <w:tcW w:w="120" w:type="dxa"/>
            <w:vAlign w:val="bottom"/>
          </w:tcPr>
          <w:p>
            <w:pPr>
              <w:spacing w:after="0"/>
              <w:rPr>
                <w:sz w:val="15"/>
                <w:szCs w:val="15"/>
                <w:color w:val="auto"/>
              </w:rPr>
            </w:pPr>
          </w:p>
        </w:tc>
      </w:tr>
      <w:tr>
        <w:trPr>
          <w:trHeight w:val="176"/>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449,116</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429,318</w:t>
            </w:r>
          </w:p>
        </w:tc>
        <w:tc>
          <w:tcPr>
            <w:tcW w:w="120" w:type="dxa"/>
            <w:vAlign w:val="bottom"/>
            <w:shd w:val="clear" w:color="auto" w:fill="CFF0FC"/>
          </w:tcPr>
          <w:p>
            <w:pPr>
              <w:spacing w:after="0"/>
              <w:rPr>
                <w:sz w:val="15"/>
                <w:szCs w:val="15"/>
                <w:color w:val="auto"/>
              </w:rPr>
            </w:pPr>
          </w:p>
        </w:tc>
      </w:tr>
      <w:tr>
        <w:trPr>
          <w:trHeight w:val="175"/>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Retained earnings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5,058</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27,076</w:t>
            </w:r>
          </w:p>
        </w:tc>
        <w:tc>
          <w:tcPr>
            <w:tcW w:w="120" w:type="dxa"/>
            <w:vAlign w:val="bottom"/>
          </w:tcPr>
          <w:p>
            <w:pPr>
              <w:spacing w:after="0"/>
              <w:rPr>
                <w:sz w:val="15"/>
                <w:szCs w:val="15"/>
                <w:color w:val="auto"/>
              </w:rPr>
            </w:pPr>
          </w:p>
        </w:tc>
      </w:tr>
      <w:tr>
        <w:trPr>
          <w:trHeight w:val="175"/>
        </w:trPr>
        <w:tc>
          <w:tcPr>
            <w:tcW w:w="754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Shares held in treasury of 72,930 and 47,185, respectively, at cost</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(847)</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(669)</w:t>
            </w:r>
          </w:p>
        </w:tc>
      </w:tr>
      <w:tr>
        <w:trPr>
          <w:trHeight w:val="175"/>
        </w:trPr>
        <w:tc>
          <w:tcPr>
            <w:tcW w:w="7540" w:type="dxa"/>
            <w:vAlign w:val="bottom"/>
            <w:gridSpan w:val="2"/>
          </w:tcPr>
          <w:p>
            <w:pPr>
              <w:ind w:left="260"/>
              <w:spacing w:after="0"/>
              <w:rPr>
                <w:sz w:val="20"/>
                <w:szCs w:val="20"/>
                <w:color w:val="auto"/>
              </w:rPr>
            </w:pPr>
            <w:r>
              <w:rPr>
                <w:rFonts w:ascii="Arial" w:cs="Arial" w:eastAsia="Arial" w:hAnsi="Arial"/>
                <w:sz w:val="15"/>
                <w:szCs w:val="15"/>
                <w:color w:val="auto"/>
              </w:rPr>
              <w:t>Accumulated other comprehensive gain (loss), net of tax</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5"/>
                <w:szCs w:val="15"/>
                <w:color w:val="auto"/>
              </w:rPr>
              <w:t>(2,541)</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1,548</w:t>
            </w:r>
          </w:p>
        </w:tc>
        <w:tc>
          <w:tcPr>
            <w:tcW w:w="120" w:type="dxa"/>
            <w:vAlign w:val="bottom"/>
          </w:tcPr>
          <w:p>
            <w:pPr>
              <w:spacing w:after="0"/>
              <w:rPr>
                <w:sz w:val="15"/>
                <w:szCs w:val="15"/>
                <w:color w:val="auto"/>
              </w:rPr>
            </w:pPr>
          </w:p>
        </w:tc>
      </w:tr>
      <w:tr>
        <w:trPr>
          <w:trHeight w:val="169"/>
        </w:trPr>
        <w:tc>
          <w:tcPr>
            <w:tcW w:w="1180" w:type="dxa"/>
            <w:vAlign w:val="bottom"/>
            <w:tcBorders>
              <w:top w:val="single" w:sz="8" w:color="CFF0FC"/>
            </w:tcBorders>
            <w:shd w:val="clear" w:color="auto" w:fill="CFF0FC"/>
          </w:tcPr>
          <w:p>
            <w:pPr>
              <w:spacing w:after="0"/>
              <w:rPr>
                <w:sz w:val="14"/>
                <w:szCs w:val="14"/>
                <w:color w:val="auto"/>
              </w:rPr>
            </w:pPr>
          </w:p>
        </w:tc>
        <w:tc>
          <w:tcPr>
            <w:tcW w:w="636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451,018</w:t>
            </w:r>
          </w:p>
        </w:tc>
        <w:tc>
          <w:tcPr>
            <w:tcW w:w="3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457,492</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540" w:type="dxa"/>
            <w:vAlign w:val="bottom"/>
            <w:tcBorders>
              <w:bottom w:val="single" w:sz="8" w:color="CFF0FC"/>
            </w:tcBorders>
            <w:gridSpan w:val="2"/>
          </w:tcPr>
          <w:p>
            <w:pPr>
              <w:spacing w:after="0"/>
              <w:rPr>
                <w:sz w:val="20"/>
                <w:szCs w:val="20"/>
                <w:color w:val="auto"/>
              </w:rPr>
            </w:pPr>
            <w:r>
              <w:rPr>
                <w:rFonts w:ascii="Arial" w:cs="Arial" w:eastAsia="Arial" w:hAnsi="Arial"/>
                <w:sz w:val="15"/>
                <w:szCs w:val="15"/>
                <w:color w:val="auto"/>
              </w:rPr>
              <w:t>Noncontrolling interests in subsidiaries</w:t>
            </w: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346</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21,432</w:t>
            </w:r>
          </w:p>
        </w:tc>
        <w:tc>
          <w:tcPr>
            <w:tcW w:w="120" w:type="dxa"/>
            <w:vAlign w:val="bottom"/>
            <w:tcBorders>
              <w:bottom w:val="single" w:sz="8" w:color="CFF0FC"/>
            </w:tcBorders>
          </w:tcPr>
          <w:p>
            <w:pPr>
              <w:spacing w:after="0"/>
              <w:rPr>
                <w:sz w:val="15"/>
                <w:szCs w:val="15"/>
                <w:color w:val="auto"/>
              </w:rPr>
            </w:pPr>
          </w:p>
        </w:tc>
      </w:tr>
      <w:tr>
        <w:trPr>
          <w:trHeight w:val="169"/>
        </w:trPr>
        <w:tc>
          <w:tcPr>
            <w:tcW w:w="7540" w:type="dxa"/>
            <w:vAlign w:val="bottom"/>
            <w:gridSpan w:val="2"/>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equity</w:t>
            </w: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451,364</w:t>
            </w:r>
          </w:p>
        </w:tc>
        <w:tc>
          <w:tcPr>
            <w:tcW w:w="3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478,924</w:t>
            </w:r>
          </w:p>
        </w:tc>
        <w:tc>
          <w:tcPr>
            <w:tcW w:w="120" w:type="dxa"/>
            <w:vAlign w:val="bottom"/>
            <w:shd w:val="clear" w:color="auto" w:fill="CFF0FC"/>
          </w:tcPr>
          <w:p>
            <w:pPr>
              <w:spacing w:after="0"/>
              <w:rPr>
                <w:sz w:val="14"/>
                <w:szCs w:val="14"/>
                <w:color w:val="auto"/>
              </w:rPr>
            </w:pPr>
          </w:p>
        </w:tc>
      </w:tr>
      <w:tr>
        <w:trPr>
          <w:trHeight w:val="169"/>
        </w:trPr>
        <w:tc>
          <w:tcPr>
            <w:tcW w:w="11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340" w:type="dxa"/>
            <w:vAlign w:val="bottom"/>
          </w:tcPr>
          <w:p>
            <w:pPr>
              <w:jc w:val="right"/>
              <w:spacing w:after="0" w:line="169" w:lineRule="exact"/>
              <w:rPr>
                <w:sz w:val="20"/>
                <w:szCs w:val="20"/>
                <w:color w:val="auto"/>
              </w:rPr>
            </w:pPr>
            <w:r>
              <w:rPr>
                <w:rFonts w:ascii="Arial" w:cs="Arial" w:eastAsia="Arial" w:hAnsi="Arial"/>
                <w:sz w:val="15"/>
                <w:szCs w:val="15"/>
                <w:color w:val="auto"/>
              </w:rPr>
              <w:t>1,052,102</w:t>
            </w:r>
          </w:p>
        </w:tc>
        <w:tc>
          <w:tcPr>
            <w:tcW w:w="3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1,009,193</w:t>
            </w:r>
          </w:p>
        </w:tc>
        <w:tc>
          <w:tcPr>
            <w:tcW w:w="1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STATEMENTS OF LOSS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c>
          <w:tcPr>
            <w:tcW w:w="0" w:type="dxa"/>
            <w:vAlign w:val="bottom"/>
          </w:tcPr>
          <w:p>
            <w:pPr>
              <w:spacing w:after="0"/>
              <w:rPr>
                <w:sz w:val="1"/>
                <w:szCs w:val="1"/>
                <w:color w:val="auto"/>
              </w:rPr>
            </w:pPr>
          </w:p>
        </w:tc>
      </w:tr>
      <w:tr>
        <w:trPr>
          <w:trHeight w:val="236"/>
        </w:trPr>
        <w:tc>
          <w:tcPr>
            <w:tcW w:w="58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FF0FC"/>
            </w:tcBorders>
          </w:tcPr>
          <w:p>
            <w:pPr>
              <w:spacing w:after="0"/>
              <w:rPr>
                <w:sz w:val="20"/>
                <w:szCs w:val="20"/>
                <w:color w:val="auto"/>
              </w:rPr>
            </w:pPr>
          </w:p>
        </w:tc>
        <w:tc>
          <w:tcPr>
            <w:tcW w:w="1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41,878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52,812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83,621</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40" w:type="dxa"/>
            <w:vAlign w:val="bottom"/>
          </w:tcPr>
          <w:p>
            <w:pPr>
              <w:spacing w:after="0"/>
              <w:rPr>
                <w:sz w:val="20"/>
                <w:szCs w:val="20"/>
                <w:color w:val="auto"/>
              </w:rPr>
            </w:pPr>
            <w:r>
              <w:rPr>
                <w:rFonts w:ascii="Arial" w:cs="Arial" w:eastAsia="Arial" w:hAnsi="Arial"/>
                <w:sz w:val="16"/>
                <w:szCs w:val="16"/>
                <w:color w:val="auto"/>
              </w:rPr>
              <w:t>Costs and Expenses: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23,913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35,370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14,560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16,412</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4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55,141</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66,604</w:t>
            </w:r>
          </w:p>
        </w:tc>
        <w:tc>
          <w:tcPr>
            <w:tcW w:w="2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108,934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40" w:type="dxa"/>
            <w:vAlign w:val="bottom"/>
          </w:tcPr>
          <w:p>
            <w:pPr>
              <w:spacing w:after="0"/>
              <w:rPr>
                <w:sz w:val="20"/>
                <w:szCs w:val="20"/>
                <w:color w:val="auto"/>
              </w:rPr>
            </w:pPr>
            <w:r>
              <w:rPr>
                <w:rFonts w:ascii="Arial" w:cs="Arial" w:eastAsia="Arial" w:hAnsi="Arial"/>
                <w:sz w:val="16"/>
                <w:szCs w:val="16"/>
                <w:color w:val="auto"/>
              </w:rPr>
              <w:t>Losses on Asset Dispositions and Impairments, Net</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(3,453)</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(3,848)</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(16,716)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(17,640)</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(41,338)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(38,674)</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(6,995)</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(7,633)</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(14,633)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(15,297)</w:t>
            </w:r>
          </w:p>
        </w:tc>
        <w:tc>
          <w:tcPr>
            <w:tcW w:w="0" w:type="dxa"/>
            <w:vAlign w:val="bottom"/>
          </w:tcPr>
          <w:p>
            <w:pPr>
              <w:spacing w:after="0"/>
              <w:rPr>
                <w:sz w:val="1"/>
                <w:szCs w:val="1"/>
                <w:color w:val="auto"/>
              </w:rPr>
            </w:pPr>
          </w:p>
        </w:tc>
      </w:tr>
      <w:tr>
        <w:trPr>
          <w:trHeight w:val="24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(losses), net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(1,398)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(2,323)</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losses, net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(171)</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(924)</w:t>
            </w: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(6,561)</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(9,772)</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(8,360)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(17,366)</w:t>
            </w:r>
          </w:p>
        </w:tc>
        <w:tc>
          <w:tcPr>
            <w:tcW w:w="0" w:type="dxa"/>
            <w:vAlign w:val="bottom"/>
          </w:tcPr>
          <w:p>
            <w:pPr>
              <w:spacing w:after="0"/>
              <w:rPr>
                <w:sz w:val="1"/>
                <w:szCs w:val="1"/>
                <w:color w:val="auto"/>
              </w:rPr>
            </w:pPr>
          </w:p>
        </w:tc>
      </w:tr>
      <w:tr>
        <w:trPr>
          <w:trHeight w:val="20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8"/>
              </w:rPr>
              <w:t>Loss from Continuing Operations Before Income Tax Benefit and Equity in Earnings</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of 50% or Less Owned Companies</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(23,277)</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(27,412)</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(49,698)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(56,040)</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(15,081)</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(3,052)</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(21,749)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(6,883)</w:t>
            </w:r>
          </w:p>
        </w:tc>
        <w:tc>
          <w:tcPr>
            <w:tcW w:w="0" w:type="dxa"/>
            <w:vAlign w:val="bottom"/>
          </w:tcPr>
          <w:p>
            <w:pPr>
              <w:spacing w:after="0"/>
              <w:rPr>
                <w:sz w:val="1"/>
                <w:szCs w:val="1"/>
                <w:color w:val="auto"/>
              </w:rPr>
            </w:pPr>
          </w:p>
        </w:tc>
      </w:tr>
      <w:tr>
        <w:trPr>
          <w:trHeight w:val="20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9"/>
              </w:rPr>
              <w:t>Loss from Continuing Operations Before Equity in Earnings of 50% or Less Owned</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(8,196)</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(24,360)</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(27,949)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(49,157)</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6"/>
                <w:szCs w:val="16"/>
                <w:color w:val="auto"/>
              </w:rPr>
              <w:t>Equity in Earnings gains (Losses) of 50% or Less Owned Companies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(7,078)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(10,554)</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(6,066)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(31,438)</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(26,058)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(59,711)</w:t>
            </w:r>
          </w:p>
        </w:tc>
        <w:tc>
          <w:tcPr>
            <w:tcW w:w="0" w:type="dxa"/>
            <w:vAlign w:val="bottom"/>
          </w:tcPr>
          <w:p>
            <w:pPr>
              <w:spacing w:after="0"/>
              <w:rPr>
                <w:sz w:val="1"/>
                <w:szCs w:val="1"/>
                <w:color w:val="auto"/>
              </w:rPr>
            </w:pPr>
          </w:p>
        </w:tc>
      </w:tr>
      <w:tr>
        <w:trPr>
          <w:trHeight w:val="240"/>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on Discontinued Operations, Net of Tax (see Note 15)</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(6,066)</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(30,264)</w:t>
            </w:r>
          </w:p>
        </w:tc>
        <w:tc>
          <w:tcPr>
            <w:tcW w:w="2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(26,058)</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(58,537)</w:t>
            </w: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in Subsidiaries</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(1,875)</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(4,040)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(4,599)</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(6,073)</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(28,389)</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(22,018)</w:t>
            </w:r>
          </w:p>
        </w:tc>
        <w:tc>
          <w:tcPr>
            <w:tcW w:w="34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(53,938)</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Common Share and Warrants of SEACOR Marine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Holdings Inc.</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840" w:type="dxa"/>
            <w:vAlign w:val="bottom"/>
          </w:tcPr>
          <w:p>
            <w:pPr>
              <w:ind w:left="260"/>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(0.24)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(0.90)</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(0.24)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(0.90)</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26"/>
        </w:trPr>
        <w:tc>
          <w:tcPr>
            <w:tcW w:w="5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 shares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24,851,834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23,382,272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24,420,432</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23,237,012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(6,066)</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(30,264)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(26,058)</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(58,537)</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gains (losses)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(1,151)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(2,453)</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(losses) on cash flows hedges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(1,224)</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(1,946)</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w w:val="97"/>
              </w:rPr>
              <w:t>Reclassification of derivative losses on cash flow hedges to equity in earnings of</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60"/>
              <w:spacing w:after="0"/>
              <w:rPr>
                <w:sz w:val="20"/>
                <w:szCs w:val="20"/>
                <w:color w:val="auto"/>
              </w:rPr>
            </w:pPr>
            <w:r>
              <w:rPr>
                <w:rFonts w:ascii="Arial" w:cs="Arial" w:eastAsia="Arial" w:hAnsi="Arial"/>
                <w:sz w:val="16"/>
                <w:szCs w:val="16"/>
                <w:color w:val="auto"/>
              </w:rPr>
              <w:t>50% or less owned companies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(270)</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(197)</w:t>
            </w:r>
          </w:p>
        </w:tc>
        <w:tc>
          <w:tcPr>
            <w:tcW w:w="2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(2,517)</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(4,089)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(2,344)</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(4,089)</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(5,636)</w:t>
            </w:r>
          </w:p>
        </w:tc>
        <w:tc>
          <w:tcPr>
            <w:tcW w:w="28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(32,608)</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(30,147)</w:t>
            </w:r>
          </w:p>
        </w:tc>
        <w:tc>
          <w:tcPr>
            <w:tcW w:w="2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(60,905)</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Loss attributable to Noncontrolling Interests in Subsidiaries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(1,875)</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(4,040)</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4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(5,643)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(30,733)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(26,107)</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(56,306)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4"/>
              </w:rPr>
              <w:t>Shares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i w:val="1"/>
                <w:iCs w:val="1"/>
                <w:color w:val="auto"/>
                <w:w w:val="87"/>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7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93"/>
              </w:rPr>
              <w:t>Other</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7"/>
              </w:rPr>
              <w:t>Stock</w:t>
            </w:r>
          </w:p>
        </w:tc>
        <w:tc>
          <w:tcPr>
            <w:tcW w:w="8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i w:val="1"/>
                <w:iCs w:val="1"/>
                <w:color w:val="auto"/>
                <w:w w:val="89"/>
              </w:rPr>
              <w:t>Common</w:t>
            </w:r>
          </w:p>
        </w:tc>
        <w:tc>
          <w:tcPr>
            <w:tcW w:w="10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Paid-In</w:t>
            </w:r>
          </w:p>
        </w:tc>
        <w:tc>
          <w:tcPr>
            <w:tcW w:w="7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3"/>
              </w:rPr>
              <w:t>Held in</w:t>
            </w:r>
          </w:p>
        </w:tc>
        <w:tc>
          <w:tcPr>
            <w:tcW w:w="1040" w:type="dxa"/>
            <w:vAlign w:val="bottom"/>
            <w:gridSpan w:val="4"/>
          </w:tcPr>
          <w:p>
            <w:pPr>
              <w:ind w:left="220"/>
              <w:spacing w:after="0"/>
              <w:rPr>
                <w:sz w:val="20"/>
                <w:szCs w:val="20"/>
                <w:color w:val="auto"/>
              </w:rPr>
            </w:pPr>
            <w:r>
              <w:rPr>
                <w:rFonts w:ascii="Arial" w:cs="Arial" w:eastAsia="Arial" w:hAnsi="Arial"/>
                <w:sz w:val="16"/>
                <w:szCs w:val="16"/>
                <w:b w:val="1"/>
                <w:bCs w:val="1"/>
                <w:i w:val="1"/>
                <w:iCs w:val="1"/>
                <w:color w:val="auto"/>
              </w:rPr>
              <w:t>Treasury</w:t>
            </w:r>
          </w:p>
        </w:tc>
        <w:tc>
          <w:tcPr>
            <w:tcW w:w="10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91"/>
              </w:rPr>
              <w:t>Retained</w:t>
            </w:r>
          </w:p>
        </w:tc>
        <w:tc>
          <w:tcPr>
            <w:tcW w:w="1180" w:type="dxa"/>
            <w:vAlign w:val="bottom"/>
            <w:gridSpan w:val="3"/>
          </w:tcPr>
          <w:p>
            <w:pPr>
              <w:jc w:val="center"/>
              <w:ind w:right="140"/>
              <w:spacing w:after="0"/>
              <w:rPr>
                <w:sz w:val="20"/>
                <w:szCs w:val="20"/>
                <w:color w:val="auto"/>
              </w:rPr>
            </w:pPr>
            <w:r>
              <w:rPr>
                <w:rFonts w:ascii="Arial" w:cs="Arial" w:eastAsia="Arial" w:hAnsi="Arial"/>
                <w:sz w:val="16"/>
                <w:szCs w:val="16"/>
                <w:b w:val="1"/>
                <w:bCs w:val="1"/>
                <w:i w:val="1"/>
                <w:iCs w:val="1"/>
                <w:color w:val="auto"/>
                <w:w w:val="86"/>
              </w:rPr>
              <w:t>Comprehensive</w:t>
            </w:r>
          </w:p>
        </w:tc>
        <w:tc>
          <w:tcPr>
            <w:tcW w:w="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99"/>
              </w:rPr>
              <w:t>Total</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6"/>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7"/>
              </w:rPr>
              <w:t>Stock</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Capital</w:t>
            </w:r>
          </w:p>
        </w:tc>
        <w:tc>
          <w:tcPr>
            <w:tcW w:w="7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Treasury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82"/>
              </w:rPr>
              <w:t>Stock</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90"/>
              </w:rPr>
              <w:t>Earnings</w:t>
            </w:r>
          </w:p>
        </w:tc>
        <w:tc>
          <w:tcPr>
            <w:tcW w:w="20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5"/>
              </w:rPr>
              <w:t>Loss</w:t>
            </w:r>
          </w:p>
        </w:tc>
        <w:tc>
          <w:tcPr>
            <w:tcW w:w="1120" w:type="dxa"/>
            <w:vAlign w:val="bottom"/>
            <w:gridSpan w:val="4"/>
          </w:tcPr>
          <w:p>
            <w:pPr>
              <w:ind w:left="80"/>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89"/>
              </w:rPr>
              <w:t>Equity</w:t>
            </w:r>
          </w:p>
        </w:tc>
        <w:tc>
          <w:tcPr>
            <w:tcW w:w="0" w:type="dxa"/>
            <w:vAlign w:val="bottom"/>
          </w:tcPr>
          <w:p>
            <w:pPr>
              <w:spacing w:after="0"/>
              <w:rPr>
                <w:sz w:val="1"/>
                <w:szCs w:val="1"/>
                <w:color w:val="auto"/>
              </w:rPr>
            </w:pPr>
          </w:p>
        </w:tc>
      </w:tr>
      <w:tr>
        <w:trPr>
          <w:trHeight w:val="199"/>
        </w:trPr>
        <w:tc>
          <w:tcPr>
            <w:tcW w:w="22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1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21,881,487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429,318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47,187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 of Common Stock</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3,349</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260"/>
              <w:spacing w:after="0"/>
              <w:rPr>
                <w:sz w:val="20"/>
                <w:szCs w:val="20"/>
                <w:color w:val="auto"/>
              </w:rPr>
            </w:pPr>
            <w:r>
              <w:rPr>
                <w:rFonts w:ascii="Arial" w:cs="Arial" w:eastAsia="Arial" w:hAnsi="Arial"/>
                <w:sz w:val="16"/>
                <w:szCs w:val="16"/>
                <w:color w:val="auto"/>
                <w:w w:val="94"/>
              </w:rPr>
              <w:t>Forfeiture of employee share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60"/>
              <w:spacing w:after="0"/>
              <w:rPr>
                <w:sz w:val="20"/>
                <w:szCs w:val="20"/>
                <w:color w:val="auto"/>
              </w:rPr>
            </w:pPr>
            <w:r>
              <w:rPr>
                <w:rFonts w:ascii="Arial" w:cs="Arial" w:eastAsia="Arial" w:hAnsi="Arial"/>
                <w:sz w:val="16"/>
                <w:szCs w:val="16"/>
                <w:color w:val="auto"/>
              </w:rPr>
              <w:t>awards</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(8,182)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289,452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(25,743)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25,743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59,900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consolidated</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joint venture</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900,000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13,689</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(17,046)</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(22,018)</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(26,058)</w:t>
            </w:r>
          </w:p>
        </w:tc>
        <w:tc>
          <w:tcPr>
            <w:tcW w:w="0" w:type="dxa"/>
            <w:vAlign w:val="bottom"/>
          </w:tcPr>
          <w:p>
            <w:pPr>
              <w:spacing w:after="0"/>
              <w:rPr>
                <w:sz w:val="1"/>
                <w:szCs w:val="1"/>
                <w:color w:val="auto"/>
              </w:rPr>
            </w:pPr>
          </w:p>
        </w:tc>
      </w:tr>
      <w:tr>
        <w:trPr>
          <w:trHeight w:val="21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23,096,914</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232</w:t>
            </w:r>
          </w:p>
        </w:tc>
        <w:tc>
          <w:tcPr>
            <w:tcW w:w="2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449,116</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72,930</w:t>
            </w:r>
          </w:p>
        </w:tc>
        <w:tc>
          <w:tcPr>
            <w:tcW w:w="320" w:type="dxa"/>
            <w:vAlign w:val="bottom"/>
            <w:gridSpan w:val="2"/>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(847)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5,058</w:t>
            </w:r>
          </w:p>
        </w:tc>
        <w:tc>
          <w:tcPr>
            <w:tcW w:w="200" w:type="dxa"/>
            <w:vAlign w:val="bottom"/>
          </w:tcPr>
          <w:p>
            <w:pPr>
              <w:spacing w:after="0"/>
              <w:rPr>
                <w:sz w:val="21"/>
                <w:szCs w:val="21"/>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(2,541)</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451,364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20" w:type="dxa"/>
            <w:vAlign w:val="bottom"/>
          </w:tcPr>
          <w:p>
            <w:pPr>
              <w:ind w:left="140"/>
              <w:spacing w:after="0"/>
              <w:rPr>
                <w:sz w:val="20"/>
                <w:szCs w:val="20"/>
                <w:color w:val="auto"/>
              </w:rPr>
            </w:pPr>
            <w:r>
              <w:rPr>
                <w:rFonts w:ascii="Arial" w:cs="Arial" w:eastAsia="Arial" w:hAnsi="Arial"/>
                <w:sz w:val="16"/>
                <w:szCs w:val="16"/>
                <w:b w:val="1"/>
                <w:bCs w:val="1"/>
                <w:color w:val="auto"/>
                <w:w w:val="94"/>
              </w:rPr>
              <w:t>For the Three Months Ended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14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23,027,225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447,425</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(2,971)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auto"/>
                <w:w w:val="99"/>
              </w:rPr>
              <w:t>Issuance of Common Stock</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4"/>
              </w:rPr>
              <w:t>Forfeiture of employee share</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(6,685)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59,900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(6,073)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(6,066)</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w w:val="92"/>
              </w:rPr>
              <w:t>Other comprehensive income</w:t>
            </w: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23,096,914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449,116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72,930</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(2,541)</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87"/>
              </w:rPr>
              <w:t>Shares of</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6"/>
                <w:szCs w:val="16"/>
                <w:b w:val="1"/>
                <w:bCs w:val="1"/>
                <w:i w:val="1"/>
                <w:iCs w:val="1"/>
                <w:color w:val="auto"/>
                <w:w w:val="87"/>
              </w:rPr>
              <w:t>Accumulated</w:t>
            </w:r>
          </w:p>
        </w:tc>
        <w:tc>
          <w:tcPr>
            <w:tcW w:w="160" w:type="dxa"/>
            <w:vAlign w:val="bottom"/>
          </w:tcPr>
          <w:p>
            <w:pPr>
              <w:spacing w:after="0"/>
              <w:rPr>
                <w:sz w:val="17"/>
                <w:szCs w:val="17"/>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6"/>
                <w:szCs w:val="16"/>
                <w:b w:val="1"/>
                <w:bCs w:val="1"/>
                <w:i w:val="1"/>
                <w:iCs w:val="1"/>
                <w:color w:val="auto"/>
              </w:rPr>
              <w:t>Non-</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86"/>
              </w:rPr>
              <w:t>Common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Additional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86"/>
              </w:rPr>
              <w:t>Shares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6"/>
                <w:szCs w:val="16"/>
                <w:b w:val="1"/>
                <w:bCs w:val="1"/>
                <w:i w:val="1"/>
                <w:iCs w:val="1"/>
                <w:color w:val="auto"/>
                <w:w w:val="88"/>
              </w:rPr>
              <w:t>Other</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Controlling</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82"/>
              </w:rPr>
              <w:t>Stock</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i w:val="1"/>
                <w:iCs w:val="1"/>
                <w:color w:val="auto"/>
                <w:w w:val="92"/>
              </w:rPr>
              <w:t>Common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93"/>
              </w:rPr>
              <w:t>Paid-In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3"/>
              </w:rPr>
              <w:t>Held in</w:t>
            </w:r>
          </w:p>
        </w:tc>
        <w:tc>
          <w:tcPr>
            <w:tcW w:w="8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Treasury</w:t>
            </w:r>
          </w:p>
        </w:tc>
        <w:tc>
          <w:tcPr>
            <w:tcW w:w="10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b w:val="1"/>
                <w:bCs w:val="1"/>
                <w:i w:val="1"/>
                <w:iCs w:val="1"/>
                <w:color w:val="auto"/>
                <w:w w:val="88"/>
              </w:rPr>
              <w:t>Retained</w:t>
            </w:r>
          </w:p>
        </w:tc>
        <w:tc>
          <w:tcPr>
            <w:tcW w:w="1240" w:type="dxa"/>
            <w:vAlign w:val="bottom"/>
            <w:gridSpan w:val="3"/>
          </w:tcPr>
          <w:p>
            <w:pPr>
              <w:jc w:val="center"/>
              <w:ind w:right="200"/>
              <w:spacing w:after="0"/>
              <w:rPr>
                <w:sz w:val="20"/>
                <w:szCs w:val="20"/>
                <w:color w:val="auto"/>
              </w:rPr>
            </w:pPr>
            <w:r>
              <w:rPr>
                <w:rFonts w:ascii="Arial" w:cs="Arial" w:eastAsia="Arial" w:hAnsi="Arial"/>
                <w:sz w:val="16"/>
                <w:szCs w:val="16"/>
                <w:b w:val="1"/>
                <w:bCs w:val="1"/>
                <w:i w:val="1"/>
                <w:iCs w:val="1"/>
                <w:color w:val="auto"/>
                <w:w w:val="86"/>
              </w:rPr>
              <w:t>Comprehensive</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rPr>
              <w:t>Interests In</w:t>
            </w:r>
          </w:p>
        </w:tc>
        <w:tc>
          <w:tcPr>
            <w:tcW w:w="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99"/>
              </w:rPr>
              <w:t>Total</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89"/>
              </w:rPr>
              <w:t>Outstanding</w:t>
            </w:r>
          </w:p>
        </w:tc>
        <w:tc>
          <w:tcPr>
            <w:tcW w:w="1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w w:val="91"/>
              </w:rPr>
              <w:t>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93"/>
              </w:rPr>
              <w:t>Capital</w:t>
            </w:r>
          </w:p>
        </w:tc>
        <w:tc>
          <w:tcPr>
            <w:tcW w:w="6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i w:val="1"/>
                <w:iCs w:val="1"/>
                <w:color w:val="auto"/>
                <w:w w:val="88"/>
              </w:rPr>
              <w:t>Treasury</w:t>
            </w: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87"/>
              </w:rPr>
              <w:t>Stock</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b w:val="1"/>
                <w:bCs w:val="1"/>
                <w:i w:val="1"/>
                <w:iCs w:val="1"/>
                <w:color w:val="auto"/>
                <w:w w:val="90"/>
              </w:rPr>
              <w:t>Earnings</w:t>
            </w: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6"/>
                <w:szCs w:val="16"/>
                <w:b w:val="1"/>
                <w:bCs w:val="1"/>
                <w:i w:val="1"/>
                <w:iCs w:val="1"/>
                <w:color w:val="auto"/>
                <w:w w:val="80"/>
              </w:rPr>
              <w:t>Loss</w:t>
            </w:r>
          </w:p>
        </w:tc>
        <w:tc>
          <w:tcPr>
            <w:tcW w:w="10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Subsidiaries</w:t>
            </w: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i w:val="1"/>
                <w:iCs w:val="1"/>
                <w:color w:val="auto"/>
                <w:w w:val="89"/>
              </w:rPr>
              <w:t>Equity</w:t>
            </w:r>
          </w:p>
        </w:tc>
        <w:tc>
          <w:tcPr>
            <w:tcW w:w="0" w:type="dxa"/>
            <w:vAlign w:val="bottom"/>
          </w:tcPr>
          <w:p>
            <w:pPr>
              <w:spacing w:after="0"/>
              <w:rPr>
                <w:sz w:val="1"/>
                <w:szCs w:val="1"/>
                <w:color w:val="auto"/>
              </w:rPr>
            </w:pPr>
          </w:p>
        </w:tc>
      </w:tr>
      <w:tr>
        <w:trPr>
          <w:trHeight w:val="199"/>
        </w:trPr>
        <w:tc>
          <w:tcPr>
            <w:tcW w:w="2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Six Months Ended</w:t>
            </w: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44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20,439,208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415,372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126,834</w:t>
            </w:r>
          </w:p>
        </w:tc>
        <w:tc>
          <w:tcPr>
            <w:tcW w:w="200" w:type="dxa"/>
            <w:vAlign w:val="bottom"/>
          </w:tcPr>
          <w:p>
            <w:pPr>
              <w:spacing w:after="0"/>
              <w:rPr>
                <w:sz w:val="20"/>
                <w:szCs w:val="20"/>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(16,788)</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554,935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adoption of new</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accounting standard for</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20"/>
                <w:szCs w:val="20"/>
                <w:color w:val="auto"/>
              </w:rPr>
            </w:pPr>
            <w:r>
              <w:rPr>
                <w:rFonts w:ascii="Arial" w:cs="Arial" w:eastAsia="Arial" w:hAnsi="Arial"/>
                <w:sz w:val="16"/>
                <w:szCs w:val="16"/>
                <w:b w:val="1"/>
                <w:bCs w:val="1"/>
                <w:color w:val="auto"/>
              </w:rPr>
              <w:t>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20,439,208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415,372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4,007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137,250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(16,788)</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29,404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565,351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653,872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211,500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Exercise of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8,750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444,391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(21,587)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21,587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260"/>
              <w:spacing w:after="0"/>
              <w:rPr>
                <w:sz w:val="20"/>
                <w:szCs w:val="20"/>
                <w:color w:val="auto"/>
              </w:rPr>
            </w:pPr>
            <w:r>
              <w:rPr>
                <w:rFonts w:ascii="Arial" w:cs="Arial" w:eastAsia="Arial" w:hAnsi="Arial"/>
                <w:sz w:val="16"/>
                <w:szCs w:val="16"/>
                <w:color w:val="auto"/>
              </w:rPr>
              <w:t>Forfeiture of employee</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consolidated</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joint venture</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(2,114)</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(53,938)</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(4,599)</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(58,537)</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(2,368)</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4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21,765,331</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424,549</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25,643</w:t>
            </w:r>
          </w:p>
        </w:tc>
        <w:tc>
          <w:tcPr>
            <w:tcW w:w="2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83,312</w:t>
            </w:r>
          </w:p>
        </w:tc>
        <w:tc>
          <w:tcPr>
            <w:tcW w:w="200" w:type="dxa"/>
            <w:vAlign w:val="bottom"/>
          </w:tcPr>
          <w:p>
            <w:pPr>
              <w:spacing w:after="0"/>
              <w:rPr>
                <w:sz w:val="21"/>
                <w:szCs w:val="21"/>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(19,156)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22,691</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511,240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4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40" w:type="dxa"/>
            <w:vAlign w:val="bottom"/>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140"/>
              <w:spacing w:after="0"/>
              <w:rPr>
                <w:sz w:val="20"/>
                <w:szCs w:val="20"/>
                <w:color w:val="auto"/>
              </w:rPr>
            </w:pPr>
            <w:r>
              <w:rPr>
                <w:rFonts w:ascii="Arial" w:cs="Arial" w:eastAsia="Arial" w:hAnsi="Arial"/>
                <w:sz w:val="16"/>
                <w:szCs w:val="16"/>
                <w:b w:val="1"/>
                <w:bCs w:val="1"/>
                <w:color w:val="auto"/>
              </w:rPr>
              <w:t>June 30, 2019</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2019</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21,079,279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422,830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111,701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(16,812)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542,123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80" w:type="dxa"/>
            <w:vAlign w:val="bottom"/>
          </w:tcPr>
          <w:p>
            <w:pPr>
              <w:jc w:val="right"/>
              <w:spacing w:after="0"/>
              <w:rPr>
                <w:sz w:val="20"/>
                <w:szCs w:val="20"/>
                <w:color w:val="auto"/>
              </w:rPr>
            </w:pPr>
            <w:r>
              <w:rPr>
                <w:rFonts w:ascii="Arial" w:cs="Arial" w:eastAsia="Arial" w:hAnsi="Arial"/>
                <w:sz w:val="16"/>
                <w:szCs w:val="16"/>
                <w:color w:val="auto"/>
              </w:rPr>
              <w:t>211,500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Exercise of Warrants</w:t>
            </w:r>
          </w:p>
        </w:tc>
        <w:tc>
          <w:tcPr>
            <w:tcW w:w="880" w:type="dxa"/>
            <w:vAlign w:val="bottom"/>
          </w:tcPr>
          <w:p>
            <w:pPr>
              <w:jc w:val="right"/>
              <w:spacing w:after="0"/>
              <w:rPr>
                <w:sz w:val="20"/>
                <w:szCs w:val="20"/>
                <w:color w:val="auto"/>
              </w:rPr>
            </w:pPr>
            <w:r>
              <w:rPr>
                <w:rFonts w:ascii="Arial" w:cs="Arial" w:eastAsia="Arial" w:hAnsi="Arial"/>
                <w:sz w:val="16"/>
                <w:szCs w:val="16"/>
                <w:color w:val="auto"/>
              </w:rPr>
              <w:t>444,391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80" w:type="dxa"/>
            <w:vAlign w:val="bottom"/>
          </w:tcPr>
          <w:p>
            <w:pPr>
              <w:jc w:val="right"/>
              <w:spacing w:after="0"/>
              <w:rPr>
                <w:sz w:val="20"/>
                <w:szCs w:val="20"/>
                <w:color w:val="auto"/>
              </w:rPr>
            </w:pPr>
            <w:r>
              <w:rPr>
                <w:rFonts w:ascii="Arial" w:cs="Arial" w:eastAsia="Arial" w:hAnsi="Arial"/>
                <w:sz w:val="16"/>
                <w:szCs w:val="16"/>
                <w:color w:val="auto"/>
              </w:rPr>
              <w:t>30,197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w:t>
            </w: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(28,389)</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(30,264)</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(2,344)</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6"/>
                <w:szCs w:val="16"/>
                <w:b w:val="1"/>
                <w:bCs w:val="1"/>
                <w:color w:val="auto"/>
              </w:rPr>
              <w:t>June 30, 2019</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4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21,765,331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424,549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25,643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83,312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(19,156)</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22,691</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511,240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Continuing Operating Activities:</w:t>
            </w:r>
          </w:p>
        </w:tc>
        <w:tc>
          <w:tcPr>
            <w:tcW w:w="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Net Loss</w:t>
            </w:r>
          </w:p>
        </w:tc>
        <w:tc>
          <w:tcPr>
            <w:tcW w:w="1640" w:type="dxa"/>
            <w:vAlign w:val="bottom"/>
            <w:gridSpan w:val="2"/>
          </w:tcPr>
          <w:p>
            <w:pPr>
              <w:jc w:val="right"/>
              <w:ind w:right="79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(26,058)</w:t>
            </w:r>
          </w:p>
        </w:tc>
        <w:tc>
          <w:tcPr>
            <w:tcW w:w="960" w:type="dxa"/>
            <w:vAlign w:val="bottom"/>
          </w:tcPr>
          <w:p>
            <w:pPr>
              <w:jc w:val="right"/>
              <w:ind w:right="802"/>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(59,711)</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30,314</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costs amortization</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Amortization of employee share awards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2,006</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(178)</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755</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Debt discount amortization</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2,958</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Bad debt recoveries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191</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from equipment sales, retirements or impairments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16,025</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Derivative (gains) losses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(5,199)</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settlement (payments) on derivative transactions, net</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(493)</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Currency losses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(9,845)</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(9,726)</w:t>
            </w: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Equity losses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(1,891)</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 received from equity investees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(19,763)</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(6,180)</w:t>
            </w: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Other assets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5,530</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(15,227)</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500"/>
              <w:spacing w:after="0"/>
              <w:rPr>
                <w:sz w:val="20"/>
                <w:szCs w:val="20"/>
                <w:color w:val="auto"/>
              </w:rPr>
            </w:pPr>
            <w:r>
              <w:rPr>
                <w:rFonts w:ascii="Arial" w:cs="Arial" w:eastAsia="Arial" w:hAnsi="Arial"/>
                <w:sz w:val="16"/>
                <w:szCs w:val="16"/>
                <w:color w:val="auto"/>
              </w:rPr>
              <w:t>Net cash used in operating activities</w:t>
            </w: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(20,138)</w:t>
            </w:r>
          </w:p>
        </w:tc>
        <w:tc>
          <w:tcPr>
            <w:tcW w:w="9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(1,693)</w:t>
            </w:r>
          </w:p>
        </w:tc>
        <w:tc>
          <w:tcPr>
            <w:tcW w:w="0" w:type="dxa"/>
            <w:vAlign w:val="bottom"/>
          </w:tcPr>
          <w:p>
            <w:pPr>
              <w:spacing w:after="0"/>
              <w:rPr>
                <w:sz w:val="1"/>
                <w:szCs w:val="1"/>
                <w:color w:val="auto"/>
              </w:rPr>
            </w:pPr>
          </w:p>
        </w:tc>
      </w:tr>
      <w:tr>
        <w:trPr>
          <w:trHeight w:val="213"/>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Continuing Investing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Purchases of property and equipment</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(19,774)</w:t>
            </w: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(40,019)</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disposition of property and equipment</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17,135</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Construction reserve funds utilized</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9,148</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Construction reserve funds transferred to short-term cash</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3,745</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Purchase of subsidiary from joint venture</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(8,445)</w:t>
            </w: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Investments in and advances to 50% or less owned companies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(301)</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1,508</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(25,093)</w:t>
            </w:r>
          </w:p>
        </w:tc>
        <w:tc>
          <w:tcPr>
            <w:tcW w:w="0" w:type="dxa"/>
            <w:vAlign w:val="bottom"/>
          </w:tcPr>
          <w:p>
            <w:pPr>
              <w:spacing w:after="0"/>
              <w:rPr>
                <w:sz w:val="1"/>
                <w:szCs w:val="1"/>
                <w:color w:val="auto"/>
              </w:rPr>
            </w:pPr>
          </w:p>
        </w:tc>
      </w:tr>
      <w:tr>
        <w:trPr>
          <w:trHeight w:val="213"/>
        </w:trPr>
        <w:tc>
          <w:tcPr>
            <w:tcW w:w="6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Continuing Financing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Payments on long-term debt</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(8,724)</w:t>
            </w: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(8,099)</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subsidiary shares from noncontrolling interests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exercise of stock options and Warrants</w:t>
            </w:r>
          </w:p>
        </w:tc>
        <w:tc>
          <w:tcPr>
            <w:tcW w:w="6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(8,724)</w:t>
            </w: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(11,380)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6"/>
                <w:szCs w:val="16"/>
                <w:color w:val="auto"/>
              </w:rPr>
              <w:t>(1,643)</w:t>
            </w: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Restricted Cash and Cash Equivalents</w:t>
            </w:r>
          </w:p>
        </w:tc>
        <w:tc>
          <w:tcPr>
            <w:tcW w:w="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6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(28,997)</w:t>
            </w: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(36,098)</w:t>
            </w: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Cash Flows from Discontinued Operations: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Activities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Investing Activities</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6"/>
        </w:trPr>
        <w:tc>
          <w:tcPr>
            <w:tcW w:w="69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Decrease in Cash, Restricted Cash and Cash Equivalents on Discontinued Operations</w:t>
            </w:r>
          </w:p>
        </w:tc>
        <w:tc>
          <w:tcPr>
            <w:tcW w:w="680" w:type="dxa"/>
            <w:vAlign w:val="bottom"/>
            <w:tcBorders>
              <w:bottom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FF0FC"/>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 Cash, Restricted Cash and Cash Equivalents</w:t>
            </w:r>
          </w:p>
        </w:tc>
        <w:tc>
          <w:tcPr>
            <w:tcW w:w="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(28,997)</w:t>
            </w: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(35,840)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Restricted Cash and Cash Equivalents, Beginning of Period</w:t>
            </w:r>
          </w:p>
        </w:tc>
        <w:tc>
          <w:tcPr>
            <w:tcW w:w="6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87,047</w:t>
            </w:r>
          </w:p>
        </w:tc>
        <w:tc>
          <w:tcPr>
            <w:tcW w:w="4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Cash, Restricted Cash and Cash Equivalents, End of Period</w:t>
            </w:r>
          </w:p>
        </w:tc>
        <w:tc>
          <w:tcPr>
            <w:tcW w:w="1640" w:type="dxa"/>
            <w:vAlign w:val="bottom"/>
            <w:gridSpan w:val="2"/>
            <w:shd w:val="clear" w:color="auto" w:fill="CFF0FC"/>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58,050</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80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w:t>
            </w:r>
          </w:p>
        </w:tc>
        <w:tc>
          <w:tcPr>
            <w:tcW w:w="6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6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6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10,503</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Taxes Paid</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Noncash Investing and Financing Activities: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500"/>
              <w:spacing w:after="0"/>
              <w:rPr>
                <w:sz w:val="20"/>
                <w:szCs w:val="20"/>
                <w:color w:val="auto"/>
              </w:rPr>
            </w:pPr>
            <w:r>
              <w:rPr>
                <w:rFonts w:ascii="Arial" w:cs="Arial" w:eastAsia="Arial" w:hAnsi="Arial"/>
                <w:sz w:val="16"/>
                <w:szCs w:val="16"/>
                <w:color w:val="auto"/>
              </w:rPr>
              <w:t>Increase in property, plant and equipment related to an acquisition</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142,282</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Decrease in joint venture investments related to an acquisition</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22,222</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500"/>
              <w:spacing w:after="0"/>
              <w:rPr>
                <w:sz w:val="20"/>
                <w:szCs w:val="20"/>
                <w:color w:val="auto"/>
              </w:rPr>
            </w:pPr>
            <w:r>
              <w:rPr>
                <w:rFonts w:ascii="Arial" w:cs="Arial" w:eastAsia="Arial" w:hAnsi="Arial"/>
                <w:sz w:val="16"/>
                <w:szCs w:val="16"/>
                <w:color w:val="auto"/>
              </w:rPr>
              <w:t>Increase in long-term debt related to an acquisition</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75,569</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Increase in long-term debt related to asset purchases</w:t>
            </w: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10,626</w:t>
            </w: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60" w:type="dxa"/>
            <w:vAlign w:val="bottom"/>
          </w:tcPr>
          <w:p>
            <w:pPr>
              <w:ind w:left="500"/>
              <w:spacing w:after="0"/>
              <w:rPr>
                <w:sz w:val="20"/>
                <w:szCs w:val="20"/>
                <w:color w:val="auto"/>
              </w:rPr>
            </w:pPr>
            <w:r>
              <w:rPr>
                <w:rFonts w:ascii="Arial" w:cs="Arial" w:eastAsia="Arial" w:hAnsi="Arial"/>
                <w:sz w:val="16"/>
                <w:szCs w:val="16"/>
                <w:color w:val="auto"/>
              </w:rPr>
              <w:t>Increase in capital expenditures in accounts payable and accrued liabilities</w:t>
            </w: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1,695</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ectPr>
          <w:pgSz w:w="11900" w:h="16838" w:orient="portrait"/>
          <w:cols w:equalWidth="0" w:num="1">
            <w:col w:w="11240"/>
          </w:cols>
          <w:pgMar w:left="320" w:top="111" w:right="339" w:bottom="1440" w:gutter="0" w:footer="0" w:header="0"/>
        </w:sectPr>
      </w:pP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jc w:val="center"/>
        <w:spacing w:after="0" w:line="245"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89" w:lineRule="exact"/>
        <w:rPr>
          <w:sz w:val="20"/>
          <w:szCs w:val="20"/>
          <w:color w:val="auto"/>
        </w:rPr>
      </w:pPr>
    </w:p>
    <w:p>
      <w:pPr>
        <w:ind w:left="760" w:hanging="752"/>
        <w:spacing w:after="0"/>
        <w:tabs>
          <w:tab w:leader="none" w:pos="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have been condensed or omitted. These condensed consolidated financial statements should be read in conjunction with the Company’s financial statements and related notes thereto included in the Company’s Annual Report on Form 10-K for the year ended December 31, 2019 (the “2019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outbreak of the novel coronavirus (“COVID-19”) and related significant disruptions and volatility in the global economy and marketplace during the first and second quarters of 2020 have caused decreases in commodity prices resulting from oversupply and demand weakness. While the global marketplace has shown signs of stabilizing, there remains continuing uncertainty regarding the length and severity of the impact of COVID-19 on the energy industry and the outlook for our business. The decrease in oil and natural gas prices has led to a decrease in the demand for our products and services, and a prolonged period of severely depressed oil and natural gas prices compared to historic averages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6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On June 30, 2016, the Financial Accounting Standards Board (“FASB”) issued Accounting Standards Update (“ASU”) No. 2016-13, Financial Instruments-Credit Losses (Topic 326). This ASU represents a significant change in the Accounting for Credit Losses model. This ASU introduced the Current Expected Credit Losses (“CECL”) model, which requires earlier recognition of credit losses and additional disclosures related to credit risk. The CECL model utilizes a lifetime expected credit loss measurement objective for the recognition of credit losses for loans and other receivables at the time the financial asset is originated or acquired. The expected credit losses are adjusted each period for changes in expected lifetime credit losses. The CECL model replaces the multiple existing impairment models in current U.S. generally accepted accounting principles (“GAAP”), which generally require that a loss be incurred before it is recognized. The standard applies to financial assets arising from revenue transactions such as contract assets and accounts receivables and was effective for fiscal years beginning after December 15, 2019. The adoption of the standard by the Company did not have a material impact on its consolidated financial position nor on its results of operations and cash flows.</w:t>
      </w:r>
    </w:p>
    <w:p>
      <w:pPr>
        <w:spacing w:after="0" w:line="36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August 29, 2018, the FASB issued ASU No. 2018-15, which requires implementation costs incurred by customers in cloud computing arrangements to be deferred and recognized over the term of the arrangement, if those costs would be capitalized by the customers in a software licensing arrangement. The guidance was effective for fiscal years, and interim periods within those fiscal years, beginning after December 15, 2019, with early adoption permitted. The adoption of the standard by the Company did not have a material impact on its consolidated financial position nor on its results of operations and cash flows.</w:t>
      </w:r>
    </w:p>
    <w:p>
      <w:pPr>
        <w:spacing w:after="0" w:line="12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In August 2018, the FASB issued ASU 2018-13, Fair Value Measurement (Topic 820). The ASU eliminates certain disclosures as to the amount of and reasons for transfers between Level 1 and Level 2 of the fair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38" w:lineRule="auto"/>
        <w:rPr>
          <w:sz w:val="20"/>
          <w:szCs w:val="20"/>
          <w:color w:val="auto"/>
        </w:rPr>
      </w:pPr>
      <w:r>
        <w:rPr>
          <w:rFonts w:ascii="Arial" w:cs="Arial" w:eastAsia="Arial" w:hAnsi="Arial"/>
          <w:sz w:val="22"/>
          <w:szCs w:val="22"/>
          <w:color w:val="auto"/>
        </w:rPr>
        <w:t>value hierarchy. The ASU also adds disclosure requirements for Level 3 measurements. This ASU was effective for fiscal years beginning after December 15, 2019, and interim periods within those fiscal years, with early adoption permitted for any eliminated or modified disclosures. The adoption of the standard by the Company did not have a material impact on the Company’s disclosures.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noncontrolled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5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0"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Company employs the cost method of accounting for investments in 50% or less owned companies it does not control or exercise significant influence. These investments in private companies are carried at cost and are adjusted only for capital distributions and other-than-temporary declines in fair value.</w:t>
      </w:r>
    </w:p>
    <w:p>
      <w:pPr>
        <w:spacing w:after="0" w:line="146"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4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doubtful accounts, useful lives of property and equipment, impairments, income tax provisions and certain accrued liabilities. Actual results could differ from estimates and those differences may be material.</w:t>
      </w:r>
    </w:p>
    <w:p>
      <w:pPr>
        <w:spacing w:after="0" w:line="110"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auto"/>
        </w:rPr>
        <w:t>Revenue Recognition</w:t>
      </w:r>
      <w:r>
        <w:rPr>
          <w:rFonts w:ascii="Arial" w:cs="Arial" w:eastAsia="Arial" w:hAnsi="Arial"/>
          <w:sz w:val="21"/>
          <w:szCs w:val="21"/>
          <w:color w:val="auto"/>
        </w:rPr>
        <w:t>. Revenue is recognized when (or as) the Company transfers promised goods or services to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Costs to obtain or fulfill a contract are expensed as incurred.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jc w:val="both"/>
        <w:ind w:firstLine="749"/>
        <w:spacing w:after="0" w:line="279"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2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recognized revenue over the term of the contract while related costs are expensed as incurred.</w:t>
      </w:r>
    </w:p>
    <w:p>
      <w:pPr>
        <w:spacing w:after="0" w:line="12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Revenue that does not meet these criteria is deferred until the criteria is met and such revenue is considered a contract liability and is recognized as such. Contract liabilities, which are included in other current liabilities in the accompanying consolidated balance sheets, for the six months ended June 30, 2020 and June 30, 2019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4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4,786</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(2,162)</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Balance at end of period</w:t>
            </w:r>
          </w:p>
        </w:tc>
        <w:tc>
          <w:tcPr>
            <w:tcW w:w="2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vMerge w:val="continue"/>
          </w:tcPr>
          <w:p>
            <w:pPr>
              <w:spacing w:after="0"/>
              <w:rPr>
                <w:sz w:val="17"/>
                <w:szCs w:val="17"/>
                <w:color w:val="auto"/>
              </w:rPr>
            </w:pPr>
          </w:p>
        </w:tc>
        <w:tc>
          <w:tcPr>
            <w:tcW w:w="348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2,629</w:t>
            </w:r>
          </w:p>
        </w:tc>
        <w:tc>
          <w:tcPr>
            <w:tcW w:w="3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3,171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June 30, 2020, the Company had deferred revenues of $2.6 million primarily related to $1.7 million of prepaid vessel management fees, and $0.9 million related to the time charter of offshore support vessels to customers from which collections were not reasonably assured.</w:t>
      </w:r>
    </w:p>
    <w:p>
      <w:pPr>
        <w:spacing w:after="0" w:line="15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Cash and Cash Equivalents. </w:t>
      </w:r>
      <w:r>
        <w:rPr>
          <w:rFonts w:ascii="Arial" w:cs="Arial" w:eastAsia="Arial" w:hAnsi="Arial"/>
          <w:sz w:val="21"/>
          <w:szCs w:val="21"/>
          <w:color w:val="auto"/>
        </w:rPr>
        <w:t>The Company considers all highly liquid investments, with an original maturity of three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months or less, when purchased, to be cash equivalents. Cash from current construction reserve funds (“CRF”) is also classified as cash and cash equivalents. The balance in the current CRF funds at June 30, 2020 was $4.2 million.</w:t>
      </w:r>
    </w:p>
    <w:p>
      <w:pPr>
        <w:spacing w:after="0" w:line="12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 w:name="page12"/>
    <w:bookmarkEnd w:id="11"/>
    <w:p>
      <w:pPr>
        <w:jc w:val="both"/>
        <w:ind w:right="20" w:firstLine="749"/>
        <w:spacing w:after="0" w:line="250" w:lineRule="auto"/>
        <w:rPr>
          <w:sz w:val="20"/>
          <w:szCs w:val="20"/>
          <w:color w:val="auto"/>
        </w:rPr>
      </w:pPr>
      <w:r>
        <w:rPr>
          <w:rFonts w:ascii="Arial" w:cs="Arial" w:eastAsia="Arial" w:hAnsi="Arial"/>
          <w:sz w:val="22"/>
          <w:szCs w:val="22"/>
          <w:color w:val="auto"/>
        </w:rPr>
        <w:t>As of June 30, 2020, the estimated useful life (in years) of each of the Company’s major categories of new equipment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Offshore Support Vessels:</w:t>
            </w:r>
          </w:p>
        </w:tc>
        <w:tc>
          <w:tcPr>
            <w:tcW w:w="356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Crew transfer vessels</w:t>
            </w:r>
          </w:p>
        </w:tc>
        <w:tc>
          <w:tcPr>
            <w:tcW w:w="3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All other offshore support vessels (excluding crew transfer)</w:t>
            </w:r>
          </w:p>
        </w:tc>
        <w:tc>
          <w:tcPr>
            <w:tcW w:w="3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three and six months ended June 30, 2020, capitalized interest totaled $0.2 million and $0.5 million, respectively.</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3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Market conditions caused by COVID-19, including the decrease in oil and natural gas prices as well as the affect the pandemic has had on our stock price, caused a triggering event to occur requiring us to test our assets for impairment. For the six months ended June 30, 2020, the Company impaired the right-to-use assets on two of its leased liftboats. Based on the current market environment, it was determined that neither of these two vessels would return to active service during their remaining lease terms. Therefore, the Company recorded an impairment of $7.4 million in total for two leased-in vessels. The Company also recorded a partial impairment on four liftboats for an aggregate of $3.9 million based on outside valuations of its remaining liftboat fleet. Estimated fair values for the Company’s owned vessels were established by independent appraisers based on researched market information, replacement cost information, and other data. If market conditions further decline from the depressed utilization and rates per day worked experienced over the last three years, fair values based on future appraisals could decline significantly. In addition, the Company further impaired one specialty vessel for $1.2 million due to a reduced sales price for the vessel. There were no other impairments of right-to-use assets or any other assets for the six months ended June 30, 2020.</w:t>
      </w:r>
    </w:p>
    <w:p>
      <w:pPr>
        <w:spacing w:after="0" w:line="11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Company’s other vessel classes and other individual vessels in active service and cold-stacked status, for which no impairment was deemed necessary, have generally experienced a less severe decline in utilization and rates per day worked based on specific market factors. The market factors include vessels with more general utility to a broad range of customers (e.g., fast support vessels (“FSVs”)), vessels required for customers to meet regulatory mandates and operating under multiple year contracts and vessels that serve customers outside of the offshore oil and natural gas market (e.g., crew transfer vessels (“CTVs”)).</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For vessel classes and individual vessels with indicators of impairment but not recently impaired as of June 30, 2020, the Company has estimated that their future undiscounted cash flows exceed their current carrying values. The Company’s estimates of future undiscounted cash flows are highly subjective as utilization and rates per day worked are uncertain, especially in light of the affect COVID-19 has had on the timing of an estimated market recovery in the offshore oil and natural gas markets and the timing and cost of reactivating cold-stacked vessels. If market conditions decline further, changes in the Company’s expectations on future cash flows may result in recognizing additional impairment charges related to its long-lived assets in future periods.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 w:name="page13"/>
    <w:bookmarkEnd w:id="12"/>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six months ended June 30, 2020 and 2019, the Company did not recognize any impairment charges related to its 50% or less owned companies.</w:t>
      </w:r>
    </w:p>
    <w:p>
      <w:pPr>
        <w:spacing w:after="0" w:line="37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six months ended June 30, 2020, the Company’s effective income tax rate of 43.8%</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was primarily due to taxes on income attributable to noncontrolling interests, foreign sourced income not subject to U.S. income taxes, foreign taxes not creditable against U.S. income taxes, and an adjustment for the acquisition of the remaining minority membership interest in Falcon Global Holdings LLC (“Falcon Global Holdings”) (see “Note 10. Stockholder’s Equity”).</w:t>
      </w:r>
    </w:p>
    <w:p>
      <w:pPr>
        <w:spacing w:after="0" w:line="10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5"/>
              </w:rPr>
              <w:t>SEACOR Marine Holdings Inc.</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1"/>
              </w:rPr>
              <w:t>Stockholders’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Derivative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Foreign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Currency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3"/>
              </w:rPr>
              <w:t>Losses on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Currency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(Losses) on</w:t>
            </w:r>
          </w:p>
        </w:tc>
        <w:tc>
          <w:tcPr>
            <w:tcW w:w="220" w:type="dxa"/>
            <w:vAlign w:val="bottom"/>
          </w:tcPr>
          <w:p>
            <w:pPr>
              <w:spacing w:after="0"/>
              <w:rPr>
                <w:sz w:val="17"/>
                <w:szCs w:val="17"/>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Cash Flow</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Cash Flow</w:t>
            </w: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Comprehensive</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Loss</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2019</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4,685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(3,137)</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8"/>
                <w:szCs w:val="18"/>
                <w:color w:val="auto"/>
              </w:rPr>
            </w:pPr>
          </w:p>
        </w:tc>
        <w:tc>
          <w:tcPr>
            <w:tcW w:w="1160" w:type="dxa"/>
            <w:vAlign w:val="bottom"/>
            <w:gridSpan w:val="2"/>
          </w:tcPr>
          <w:p>
            <w:pPr>
              <w:jc w:val="right"/>
              <w:ind w:right="99"/>
              <w:spacing w:after="0"/>
              <w:rPr>
                <w:sz w:val="20"/>
                <w:szCs w:val="20"/>
                <w:color w:val="auto"/>
              </w:rPr>
            </w:pPr>
            <w:r>
              <w:rPr>
                <w:rFonts w:ascii="Arial" w:cs="Arial" w:eastAsia="Arial" w:hAnsi="Arial"/>
                <w:sz w:val="16"/>
                <w:szCs w:val="16"/>
                <w:color w:val="auto"/>
              </w:rPr>
              <w:t>(2,453)</w:t>
            </w: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(1,636)</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(4,089)</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Six Months Ended June 30, 2020</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(4,773)</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(1,445)</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loss per common share of the Company is computed based on the weighted average number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common shares and warrants to purchase common shares at an exercise price of $0.01 per share (“Warrants”) issued and outstanding during the relevant periods. The Warrants are included in the basic loss per common share because the shares issuable upon exercise of the Warrants are issuable for de minimis cash consideration and therefore not anti-dilutive. Diluted loss per common share of the Company is computed based on the weighted average number of common shares and Warrants issued and outstanding plus the effect of other potentially dilutive securities through the application of the treasury stock method and the if-converted method that assumes all common shares have been issued and outstanding during the relevant periods pursuant to the conversion of the Convertible Senior Notes unless anti-dilutive. For both the six months ended June 30, 2020 and 2019, diluted earnings per common share of the Company excluded 2,183,708 common shares, respectively, issuable pursuant to the Company’s Convertible Senior Notes (see “Note 5. Long-Term Debt”) as the effect of their inclusion in the computation would be anti-dilutive. In addition, for the six months ended June 30, 2020 and 2019, diluted loss per common share of the Company excluded 469,694 and 340,459 shares of restricted stock, respectively, and 1,145,541 and 705,078 shares of stock, respectively, issuable upon exercise of outstanding stock options as the effect of their inclusion in the computation would be anti-dilutive.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3" w:name="page14"/>
    <w:bookmarkEnd w:id="13"/>
    <w:p>
      <w:pPr>
        <w:ind w:left="820" w:hanging="812"/>
        <w:spacing w:after="0"/>
        <w:tabs>
          <w:tab w:leader="none" w:pos="8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TRANSFORMATION, FACILITY RESTRUCTURING AND SEVERANCE CHARGES</w:t>
      </w:r>
    </w:p>
    <w:p>
      <w:pPr>
        <w:spacing w:after="0" w:line="21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Due to the highly competitive nature of the Company’s business and the continuing losses incurred over the last few years, the Company continues to reduce its overall cost structure and workforce to better align with current activity levels. The ongoing transformation plan, which began in the third quarter of 2019 and is expected to extend through the third quarter of 2020 (the “Transformation Plan”), includes a workforce reduction, organization restructuring, facility consolidations and other cost reduction measures and efficiency initiatives across the Company’s geographic regions. The Transformation Plan was initiated due to activity levels of oil and gas exploration and production, and the Company continues to evaluate additional opportunities for further cost reductions to adapt to changing conditions caused by COVID-19.</w:t>
      </w:r>
    </w:p>
    <w:p>
      <w:pPr>
        <w:spacing w:after="0" w:line="15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In connection with the Transformation Plan, the Company recognized restructuring and transformation charges of $0.9 million for the six months ended June 30, 2020, which include severance charges of $0.7 million and other restructuring charges of $0.2 million. Other restructuring charges included contract termination costs, relocation costs and other associated costs. The restructuring and transformation charges are reflected in the Company’s general and administration expense.</w:t>
      </w:r>
    </w:p>
    <w:p>
      <w:pPr>
        <w:spacing w:after="0" w:line="14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components of restructuring charges by segment for the three and six months ended June 30, 2020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3"/>
              </w:rPr>
              <w:t>States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Europe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(primarily</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Gulf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Latin</w:t>
            </w: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North</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Sea)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2"/>
        </w:trPr>
        <w:tc>
          <w:tcPr>
            <w:tcW w:w="3340" w:type="dxa"/>
            <w:vAlign w:val="bottom"/>
          </w:tcPr>
          <w:p>
            <w:pPr>
              <w:spacing w:after="0"/>
              <w:rPr>
                <w:sz w:val="20"/>
                <w:szCs w:val="20"/>
                <w:color w:val="auto"/>
              </w:rPr>
            </w:pPr>
            <w:r>
              <w:rPr>
                <w:rFonts w:ascii="Arial" w:cs="Arial" w:eastAsia="Arial" w:hAnsi="Arial"/>
                <w:sz w:val="16"/>
                <w:szCs w:val="16"/>
                <w:b w:val="1"/>
                <w:bCs w:val="1"/>
                <w:color w:val="auto"/>
              </w:rPr>
              <w:t>For the Three Months Ended June 30, 2020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Transformation Plan</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Severance Charges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Charges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19"/>
                <w:szCs w:val="19"/>
                <w:color w:val="auto"/>
              </w:rPr>
            </w:pPr>
          </w:p>
        </w:tc>
      </w:tr>
      <w:tr>
        <w:trPr>
          <w:trHeight w:val="233"/>
        </w:trPr>
        <w:tc>
          <w:tcPr>
            <w:tcW w:w="3340" w:type="dxa"/>
            <w:vAlign w:val="bottom"/>
          </w:tcPr>
          <w:p>
            <w:pPr>
              <w:ind w:left="500"/>
              <w:spacing w:after="0"/>
              <w:rPr>
                <w:sz w:val="20"/>
                <w:szCs w:val="20"/>
                <w:color w:val="auto"/>
              </w:rPr>
            </w:pPr>
            <w:r>
              <w:rPr>
                <w:rFonts w:ascii="Arial" w:cs="Arial" w:eastAsia="Arial" w:hAnsi="Arial"/>
                <w:sz w:val="16"/>
                <w:szCs w:val="16"/>
                <w:color w:val="auto"/>
              </w:rPr>
              <w:t>Total Charges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0"/>
                <w:szCs w:val="20"/>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2"/>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United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83"/>
              </w:rPr>
              <w:t>States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Europe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(primarily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(primarily</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Middle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(primarily</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Gulf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West</w:t>
            </w:r>
          </w:p>
        </w:tc>
        <w:tc>
          <w:tcPr>
            <w:tcW w:w="14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East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Latin</w:t>
            </w:r>
          </w:p>
        </w:tc>
        <w:tc>
          <w:tcPr>
            <w:tcW w:w="120" w:type="dxa"/>
            <w:vAlign w:val="bottom"/>
          </w:tcPr>
          <w:p>
            <w:pPr>
              <w:spacing w:after="0"/>
              <w:rPr>
                <w:sz w:val="17"/>
                <w:szCs w:val="17"/>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North</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Mexico)</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Africa)</w:t>
            </w:r>
          </w:p>
        </w:tc>
        <w:tc>
          <w:tcPr>
            <w:tcW w:w="14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and Asia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America</w:t>
            </w:r>
          </w:p>
        </w:tc>
        <w:tc>
          <w:tcPr>
            <w:tcW w:w="120" w:type="dxa"/>
            <w:vAlign w:val="bottom"/>
          </w:tcPr>
          <w:p>
            <w:pPr>
              <w:spacing w:after="0"/>
              <w:rPr>
                <w:sz w:val="18"/>
                <w:szCs w:val="18"/>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Sea)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3"/>
        </w:trPr>
        <w:tc>
          <w:tcPr>
            <w:tcW w:w="3340" w:type="dxa"/>
            <w:vAlign w:val="bottom"/>
          </w:tcPr>
          <w:p>
            <w:pPr>
              <w:spacing w:after="0"/>
              <w:rPr>
                <w:sz w:val="20"/>
                <w:szCs w:val="20"/>
                <w:color w:val="auto"/>
              </w:rPr>
            </w:pPr>
            <w:r>
              <w:rPr>
                <w:rFonts w:ascii="Arial" w:cs="Arial" w:eastAsia="Arial" w:hAnsi="Arial"/>
                <w:sz w:val="16"/>
                <w:szCs w:val="16"/>
                <w:b w:val="1"/>
                <w:bCs w:val="1"/>
                <w:color w:val="auto"/>
              </w:rPr>
              <w:t>For the Six Months Ended June 30, 2020</w:t>
            </w: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Transformation Plan</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340" w:type="dxa"/>
            <w:vAlign w:val="bottom"/>
          </w:tcPr>
          <w:p>
            <w:pPr>
              <w:ind w:left="260"/>
              <w:spacing w:after="0"/>
              <w:rPr>
                <w:sz w:val="20"/>
                <w:szCs w:val="20"/>
                <w:color w:val="auto"/>
              </w:rPr>
            </w:pPr>
            <w:r>
              <w:rPr>
                <w:rFonts w:ascii="Arial" w:cs="Arial" w:eastAsia="Arial" w:hAnsi="Arial"/>
                <w:sz w:val="16"/>
                <w:szCs w:val="16"/>
                <w:color w:val="auto"/>
              </w:rPr>
              <w:t>Severance Charges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304</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185</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18"/>
                <w:szCs w:val="18"/>
                <w:color w:val="auto"/>
              </w:rPr>
            </w:pPr>
          </w:p>
        </w:tc>
      </w:tr>
      <w:tr>
        <w:trPr>
          <w:trHeight w:val="219"/>
        </w:trPr>
        <w:tc>
          <w:tcPr>
            <w:tcW w:w="3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Charges</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19"/>
                <w:szCs w:val="19"/>
                <w:color w:val="auto"/>
              </w:rPr>
            </w:pPr>
          </w:p>
        </w:tc>
      </w:tr>
      <w:tr>
        <w:trPr>
          <w:trHeight w:val="233"/>
        </w:trPr>
        <w:tc>
          <w:tcPr>
            <w:tcW w:w="3340" w:type="dxa"/>
            <w:vAlign w:val="bottom"/>
          </w:tcPr>
          <w:p>
            <w:pPr>
              <w:ind w:left="500"/>
              <w:spacing w:after="0"/>
              <w:rPr>
                <w:sz w:val="20"/>
                <w:szCs w:val="20"/>
                <w:color w:val="auto"/>
              </w:rPr>
            </w:pPr>
            <w:r>
              <w:rPr>
                <w:rFonts w:ascii="Arial" w:cs="Arial" w:eastAsia="Arial" w:hAnsi="Arial"/>
                <w:sz w:val="16"/>
                <w:szCs w:val="16"/>
                <w:color w:val="auto"/>
              </w:rPr>
              <w:t>Total Charges</w:t>
            </w:r>
          </w:p>
        </w:tc>
        <w:tc>
          <w:tcPr>
            <w:tcW w:w="4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185</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20"/>
                <w:szCs w:val="20"/>
                <w:color w:val="auto"/>
              </w:rPr>
            </w:pPr>
          </w:p>
        </w:tc>
      </w:tr>
      <w:tr>
        <w:trPr>
          <w:trHeight w:val="20"/>
        </w:trPr>
        <w:tc>
          <w:tcPr>
            <w:tcW w:w="3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severance and other restructuring charges gave rise to certain liabilities primarily related to liabilities accrued as part of the Transformation Plan. For the six months ended June 30, 2020, all related liabilities associated with the Transformation Plan have been recognized.</w:t>
      </w:r>
    </w:p>
    <w:p>
      <w:pPr>
        <w:spacing w:after="0" w:line="159"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following table is a summary of the cumulative restructuring and reorganization cost incurred to date in operating charges and the estimated remaining restructuring and reorganization costs to be incurred as of June 30, 2020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Borders>
              <w:bottom w:val="single" w:sz="8" w:color="CFF0FC"/>
            </w:tcBorders>
          </w:tcPr>
          <w:p>
            <w:pPr>
              <w:spacing w:after="0"/>
              <w:rPr>
                <w:sz w:val="18"/>
                <w:szCs w:val="18"/>
                <w:color w:val="auto"/>
              </w:rPr>
            </w:pP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Transformation Plan</w:t>
            </w:r>
          </w:p>
        </w:tc>
        <w:tc>
          <w:tcPr>
            <w:tcW w:w="120" w:type="dxa"/>
            <w:vAlign w:val="bottom"/>
            <w:tcBorders>
              <w:bottom w:val="single" w:sz="8" w:color="CFF0FC"/>
            </w:tcBorders>
          </w:tcPr>
          <w:p>
            <w:pPr>
              <w:spacing w:after="0"/>
              <w:rPr>
                <w:sz w:val="18"/>
                <w:szCs w:val="18"/>
                <w:color w:val="auto"/>
              </w:rPr>
            </w:pPr>
          </w:p>
        </w:tc>
      </w:tr>
      <w:tr>
        <w:trPr>
          <w:trHeight w:val="213"/>
        </w:trPr>
        <w:tc>
          <w:tcPr>
            <w:tcW w:w="6820" w:type="dxa"/>
            <w:vAlign w:val="bottom"/>
            <w:shd w:val="clear" w:color="auto" w:fill="CFF0FC"/>
          </w:tcPr>
          <w:p>
            <w:pPr>
              <w:spacing w:after="0"/>
              <w:rPr>
                <w:sz w:val="20"/>
                <w:szCs w:val="20"/>
                <w:color w:val="auto"/>
              </w:rPr>
            </w:pPr>
            <w:r>
              <w:rPr>
                <w:rFonts w:ascii="Arial" w:cs="Arial" w:eastAsia="Arial" w:hAnsi="Arial"/>
                <w:sz w:val="16"/>
                <w:szCs w:val="16"/>
                <w:color w:val="auto"/>
              </w:rPr>
              <w:t>Cumulative restructuring costs incurred to date in operating charges</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4,654</w:t>
            </w:r>
          </w:p>
        </w:tc>
        <w:tc>
          <w:tcPr>
            <w:tcW w:w="120" w:type="dxa"/>
            <w:vAlign w:val="bottom"/>
            <w:shd w:val="clear" w:color="auto" w:fill="CFF0FC"/>
          </w:tcPr>
          <w:p>
            <w:pPr>
              <w:spacing w:after="0"/>
              <w:rPr>
                <w:sz w:val="18"/>
                <w:szCs w:val="18"/>
                <w:color w:val="auto"/>
              </w:rPr>
            </w:pPr>
          </w:p>
        </w:tc>
      </w:tr>
      <w:tr>
        <w:trPr>
          <w:trHeight w:val="213"/>
        </w:trPr>
        <w:tc>
          <w:tcPr>
            <w:tcW w:w="6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Estimated additional restructuring costs to be incurred</w:t>
            </w:r>
          </w:p>
        </w:tc>
        <w:tc>
          <w:tcPr>
            <w:tcW w:w="17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Borders>
              <w:bottom w:val="single" w:sz="8" w:color="CFF0FC"/>
            </w:tcBorders>
          </w:tcPr>
          <w:p>
            <w:pPr>
              <w:spacing w:after="0"/>
              <w:rPr>
                <w:sz w:val="18"/>
                <w:szCs w:val="18"/>
                <w:color w:val="auto"/>
              </w:rPr>
            </w:pPr>
          </w:p>
        </w:tc>
      </w:tr>
      <w:tr>
        <w:trPr>
          <w:trHeight w:val="236"/>
        </w:trPr>
        <w:tc>
          <w:tcPr>
            <w:tcW w:w="6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restructuring and reorganization costs incurred and to be incurred</w:t>
            </w:r>
          </w:p>
        </w:tc>
        <w:tc>
          <w:tcPr>
            <w:tcW w:w="20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5,744</w:t>
            </w:r>
          </w:p>
        </w:tc>
        <w:tc>
          <w:tcPr>
            <w:tcW w:w="120" w:type="dxa"/>
            <w:vAlign w:val="bottom"/>
            <w:shd w:val="clear" w:color="auto" w:fill="CFF0FC"/>
          </w:tcPr>
          <w:p>
            <w:pPr>
              <w:spacing w:after="0"/>
              <w:rPr>
                <w:sz w:val="20"/>
                <w:szCs w:val="20"/>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ind w:left="760" w:hanging="752"/>
        <w:spacing w:after="0"/>
        <w:tabs>
          <w:tab w:leader="none" w:pos="7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SEACOSCO ACQUISITION</w:t>
      </w:r>
    </w:p>
    <w:p>
      <w:pPr>
        <w:spacing w:after="0" w:line="17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On May 31, 2020, SEACOR Offshore Asia LLC (“SEACOR Offshore Asia”), an indirect wholly-owned subsidiary of SEACOR Marine, entered into a Sale and Purchase Agreement (“SEACOSCO SPA”) with China Shipping Fan Tai Limited, a company incorporated under the laws of the British Virgin Islands, and China Shipping Industry (Hong Kong) Co., Limited, a company incorporated under the laws of the Hong Kong Special Administrative Region (together, the “SEACOSCO Sellers”), pursuant to which SEACOR Offshore Asia agreed to acquire the 50% membership interest in SEACOSCO Offshore LLC (such remaining interest, the “SEACOSCO Interests”) held by the SEACOSCO Sellers that the Company did not already own.</w:t>
      </w:r>
    </w:p>
    <w:p>
      <w:pPr>
        <w:spacing w:after="0" w:line="12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On June 30, 2020, SEACOR Offshore Asia completed the acquisition of the SEACOSCO Interests from the SEACOSCO Sellers (the “SEACOSCO Acquisition”). As a result of the completion of the acquisition, the Company owns 100% of the membership interests in SEACOSCO Offshore LLC. In accordance with the SEACOSCO SPA, on July 14, 2020, the name of SEACOSCO Offshore LLC was changed to SEACOR Offshore Delta LLC (“SEACOR Offshore Delta”).</w:t>
      </w:r>
    </w:p>
    <w:p>
      <w:pPr>
        <w:spacing w:after="0" w:line="10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price payable by SEACOR Offshore Asia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due four years after such signing date. The deferred portion of the SEACOSCO Purchase Price accrues interest at a fixed rate of 1.5%, 7.0%, 7.5% and 8.0% for the first through fourth years after the SEACOSCO SPA Signing Date, respectively.</w:t>
      </w:r>
    </w:p>
    <w:p>
      <w:pPr>
        <w:spacing w:after="0" w:line="13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SEACOR Offshore Delta is the owner of eight platform supply vessels (“PSVs”) built by COSCO Shipping Heavy Industry (Guangdong) Co., Ltd. (the “COSCO (Guangdong) Shipyard” and such PSVs, the “SEACOR Delta PSVs”).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w:t>
      </w:r>
    </w:p>
    <w:p>
      <w:pPr>
        <w:spacing w:after="0" w:line="12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SEACOR Delta PSVs were initially acquired by vessel owning subsidiaries (“SEACOR Delta SPVs”) of SEACOR Offshore Delta pursuant to existing deferred purchase agreements with the COSCO (Guangdong) Shipyard (“Guangdong DPAs”) under which an aggregate of approximately $100.8 million was outstanding as of June 30, 2020 (the “SEACOR Delta Shipyard Financing”). The Guangdong DPAs provide for amortization of the purchase price for each vessel over a period of 10 years from delivery bearing floating interest rate of three-month LIBOR plus 4.0%. SEACOR Offshore Delta has taken delivery of seven of the eight SEACOR Delta PSVs, each with a 2018 or 2019 year of build, and expects to take delivery of the final SEACOR Delta PSV in 2020. The payment obligations of the SEACOR Delta SPVs under the Guangdong DPAs for each vessel is secured by a first lien mortgage on the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Purchase Price Allocation. </w:t>
      </w:r>
      <w:r>
        <w:rPr>
          <w:rFonts w:ascii="Arial" w:cs="Arial" w:eastAsia="Arial" w:hAnsi="Arial"/>
          <w:sz w:val="19"/>
          <w:szCs w:val="19"/>
          <w:color w:val="auto"/>
        </w:rPr>
        <w:t>The eight SEACOR Delta PSVs are all based on plans from the same designer, have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similar age of construction (2018-2020) and were constructed at the same shipyard. Two of the vessels are high specification diesel/electric powered PSVs. The other six vessels are all “sister” vessels with identical specifications. These six vessels are high specification diesel/electric/hybrid powered vessels. In accordance with ASU No. 2017-01-Business Combinations (Topic 805): Clarifying the Definition of a Business, due to the fact that the assets acquired have substantially all of their fair value concentrated as a group of similar assets, this acquisition qualified as an asset purchase. The allocation of the purchase price for the Company’s acquired assets for the six months ended June 30 was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Assets Acquired (In Thousands):</w:t>
            </w:r>
          </w:p>
        </w:tc>
        <w:tc>
          <w:tcPr>
            <w:tcW w:w="16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Borders>
              <w:bottom w:val="single" w:sz="8" w:color="CFF0FC"/>
            </w:tcBorders>
          </w:tcPr>
          <w:p>
            <w:pPr>
              <w:spacing w:after="0"/>
              <w:rPr>
                <w:sz w:val="18"/>
                <w:szCs w:val="18"/>
                <w:color w:val="auto"/>
              </w:rPr>
            </w:pPr>
          </w:p>
        </w:tc>
      </w:tr>
      <w:tr>
        <w:trPr>
          <w:trHeight w:val="212"/>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Assets</w:t>
            </w:r>
          </w:p>
        </w:tc>
        <w:tc>
          <w:tcPr>
            <w:tcW w:w="3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7,700</w:t>
            </w:r>
          </w:p>
        </w:tc>
        <w:tc>
          <w:tcPr>
            <w:tcW w:w="100" w:type="dxa"/>
            <w:vAlign w:val="bottom"/>
            <w:shd w:val="clear" w:color="auto" w:fill="CFF0FC"/>
          </w:tcPr>
          <w:p>
            <w:pPr>
              <w:spacing w:after="0"/>
              <w:rPr>
                <w:sz w:val="18"/>
                <w:szCs w:val="18"/>
                <w:color w:val="auto"/>
              </w:rPr>
            </w:pPr>
          </w:p>
        </w:tc>
      </w:tr>
      <w:tr>
        <w:trPr>
          <w:trHeight w:val="213"/>
        </w:trPr>
        <w:tc>
          <w:tcPr>
            <w:tcW w:w="7820" w:type="dxa"/>
            <w:vAlign w:val="bottom"/>
          </w:tcPr>
          <w:p>
            <w:pPr>
              <w:ind w:left="260"/>
              <w:spacing w:after="0"/>
              <w:rPr>
                <w:sz w:val="20"/>
                <w:szCs w:val="20"/>
                <w:color w:val="auto"/>
              </w:rPr>
            </w:pPr>
            <w:r>
              <w:rPr>
                <w:rFonts w:ascii="Arial" w:cs="Arial" w:eastAsia="Arial" w:hAnsi="Arial"/>
                <w:sz w:val="16"/>
                <w:szCs w:val="16"/>
                <w:color w:val="auto"/>
              </w:rPr>
              <w:t>Fixed Assets</w:t>
            </w:r>
          </w:p>
        </w:tc>
        <w:tc>
          <w:tcPr>
            <w:tcW w:w="3320" w:type="dxa"/>
            <w:vAlign w:val="bottom"/>
            <w:gridSpan w:val="3"/>
          </w:tcPr>
          <w:p>
            <w:pPr>
              <w:jc w:val="right"/>
              <w:spacing w:after="0"/>
              <w:rPr>
                <w:sz w:val="20"/>
                <w:szCs w:val="20"/>
                <w:color w:val="auto"/>
              </w:rPr>
            </w:pPr>
            <w:r>
              <w:rPr>
                <w:rFonts w:ascii="Arial" w:cs="Arial" w:eastAsia="Arial" w:hAnsi="Arial"/>
                <w:sz w:val="16"/>
                <w:szCs w:val="16"/>
                <w:color w:val="auto"/>
              </w:rPr>
              <w:t>142,282</w:t>
            </w:r>
          </w:p>
        </w:tc>
        <w:tc>
          <w:tcPr>
            <w:tcW w:w="100" w:type="dxa"/>
            <w:vAlign w:val="bottom"/>
          </w:tcPr>
          <w:p>
            <w:pPr>
              <w:spacing w:after="0"/>
              <w:rPr>
                <w:sz w:val="18"/>
                <w:szCs w:val="18"/>
                <w:color w:val="auto"/>
              </w:rPr>
            </w:pPr>
          </w:p>
        </w:tc>
      </w:tr>
      <w:tr>
        <w:trPr>
          <w:trHeight w:val="219"/>
        </w:trPr>
        <w:tc>
          <w:tcPr>
            <w:tcW w:w="7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Liabilities</w:t>
            </w:r>
          </w:p>
        </w:tc>
        <w:tc>
          <w:tcPr>
            <w:tcW w:w="342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(23,929)</w:t>
            </w:r>
          </w:p>
        </w:tc>
      </w:tr>
      <w:tr>
        <w:trPr>
          <w:trHeight w:val="213"/>
        </w:trPr>
        <w:tc>
          <w:tcPr>
            <w:tcW w:w="7820" w:type="dxa"/>
            <w:vAlign w:val="bottom"/>
          </w:tcPr>
          <w:p>
            <w:pPr>
              <w:ind w:left="500"/>
              <w:spacing w:after="0"/>
              <w:rPr>
                <w:sz w:val="20"/>
                <w:szCs w:val="20"/>
                <w:color w:val="auto"/>
              </w:rPr>
            </w:pPr>
            <w:r>
              <w:rPr>
                <w:rFonts w:ascii="Arial" w:cs="Arial" w:eastAsia="Arial" w:hAnsi="Arial"/>
                <w:sz w:val="16"/>
                <w:szCs w:val="16"/>
                <w:color w:val="auto"/>
              </w:rPr>
              <w:t>Book Value of Debt Acquired</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(100,759)</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78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Discount on Debt Acquired</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25,190</w:t>
            </w:r>
          </w:p>
        </w:tc>
        <w:tc>
          <w:tcPr>
            <w:tcW w:w="1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7820" w:type="dxa"/>
            <w:vAlign w:val="bottom"/>
          </w:tcPr>
          <w:p>
            <w:pPr>
              <w:ind w:left="260"/>
              <w:spacing w:after="0"/>
              <w:rPr>
                <w:sz w:val="20"/>
                <w:szCs w:val="20"/>
                <w:color w:val="auto"/>
              </w:rPr>
            </w:pPr>
            <w:r>
              <w:rPr>
                <w:rFonts w:ascii="Arial" w:cs="Arial" w:eastAsia="Arial" w:hAnsi="Arial"/>
                <w:sz w:val="16"/>
                <w:szCs w:val="16"/>
                <w:color w:val="auto"/>
              </w:rPr>
              <w:t>Fair Value of Debt Acquired</w:t>
            </w:r>
          </w:p>
        </w:tc>
        <w:tc>
          <w:tcPr>
            <w:tcW w:w="3420" w:type="dxa"/>
            <w:vAlign w:val="bottom"/>
            <w:gridSpan w:val="4"/>
          </w:tcPr>
          <w:p>
            <w:pPr>
              <w:jc w:val="right"/>
              <w:ind w:right="60"/>
              <w:spacing w:after="0"/>
              <w:rPr>
                <w:sz w:val="20"/>
                <w:szCs w:val="20"/>
                <w:color w:val="auto"/>
              </w:rPr>
            </w:pPr>
            <w:r>
              <w:rPr>
                <w:rFonts w:ascii="Arial" w:cs="Arial" w:eastAsia="Arial" w:hAnsi="Arial"/>
                <w:sz w:val="16"/>
                <w:szCs w:val="16"/>
                <w:color w:val="auto"/>
              </w:rPr>
              <w:t>(75,569)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Cost Basis for Purchase</w:t>
            </w:r>
          </w:p>
        </w:tc>
        <w:tc>
          <w:tcPr>
            <w:tcW w:w="24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50,484</w:t>
            </w:r>
          </w:p>
        </w:tc>
        <w:tc>
          <w:tcPr>
            <w:tcW w:w="100" w:type="dxa"/>
            <w:vAlign w:val="bottom"/>
            <w:tcBorders>
              <w:top w:val="single" w:sz="8" w:color="CFF0FC"/>
            </w:tcBorders>
            <w:shd w:val="clear" w:color="auto" w:fill="CFF0FC"/>
          </w:tcPr>
          <w:p>
            <w:pPr>
              <w:spacing w:after="0"/>
              <w:rPr>
                <w:sz w:val="18"/>
                <w:szCs w:val="18"/>
                <w:color w:val="auto"/>
              </w:rPr>
            </w:pPr>
          </w:p>
        </w:tc>
      </w:tr>
      <w:tr>
        <w:trPr>
          <w:trHeight w:val="207"/>
        </w:trPr>
        <w:tc>
          <w:tcPr>
            <w:tcW w:w="7080" w:type="dxa"/>
            <w:vAlign w:val="bottom"/>
          </w:tcPr>
          <w:p>
            <w:pPr>
              <w:ind w:left="260"/>
              <w:spacing w:after="0"/>
              <w:rPr>
                <w:sz w:val="20"/>
                <w:szCs w:val="20"/>
                <w:color w:val="auto"/>
              </w:rPr>
            </w:pPr>
            <w:r>
              <w:rPr>
                <w:rFonts w:ascii="Arial" w:cs="Arial" w:eastAsia="Arial" w:hAnsi="Arial"/>
                <w:sz w:val="16"/>
                <w:szCs w:val="16"/>
                <w:color w:val="auto"/>
              </w:rPr>
              <w:t>Purchase Price</w:t>
            </w:r>
          </w:p>
        </w:tc>
        <w:tc>
          <w:tcPr>
            <w:tcW w:w="30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(28,150)</w:t>
            </w:r>
          </w:p>
        </w:tc>
      </w:tr>
      <w:tr>
        <w:trPr>
          <w:trHeight w:val="219"/>
        </w:trPr>
        <w:tc>
          <w:tcPr>
            <w:tcW w:w="7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costs</w:t>
            </w:r>
          </w:p>
        </w:tc>
        <w:tc>
          <w:tcPr>
            <w:tcW w:w="24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(112)</w:t>
            </w:r>
          </w:p>
        </w:tc>
      </w:tr>
      <w:tr>
        <w:trPr>
          <w:trHeight w:val="213"/>
        </w:trPr>
        <w:tc>
          <w:tcPr>
            <w:tcW w:w="7080" w:type="dxa"/>
            <w:vAlign w:val="bottom"/>
          </w:tcPr>
          <w:p>
            <w:pPr>
              <w:ind w:left="260"/>
              <w:spacing w:after="0"/>
              <w:rPr>
                <w:sz w:val="20"/>
                <w:szCs w:val="20"/>
                <w:color w:val="auto"/>
              </w:rPr>
            </w:pPr>
            <w:r>
              <w:rPr>
                <w:rFonts w:ascii="Arial" w:cs="Arial" w:eastAsia="Arial" w:hAnsi="Arial"/>
                <w:sz w:val="16"/>
                <w:szCs w:val="16"/>
                <w:color w:val="auto"/>
              </w:rPr>
              <w:t>Equity Investment In SEACOR Offshore Delta (f/k/a SEACOSCO)</w:t>
            </w:r>
          </w:p>
        </w:tc>
        <w:tc>
          <w:tcPr>
            <w:tcW w:w="2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(22,222)</w:t>
            </w:r>
          </w:p>
        </w:tc>
      </w:tr>
      <w:tr>
        <w:trPr>
          <w:trHeight w:val="210"/>
        </w:trPr>
        <w:tc>
          <w:tcPr>
            <w:tcW w:w="7080" w:type="dxa"/>
            <w:vAlign w:val="bottom"/>
            <w:tcBorders>
              <w:top w:val="single" w:sz="8" w:color="CFF0FC"/>
              <w:bottom w:val="single" w:sz="8" w:color="CFF0FC"/>
            </w:tcBorders>
            <w:shd w:val="clear" w:color="auto" w:fill="CFF0FC"/>
          </w:tcPr>
          <w:p>
            <w:pPr>
              <w:spacing w:after="0"/>
              <w:rPr>
                <w:sz w:val="18"/>
                <w:szCs w:val="18"/>
                <w:color w:val="auto"/>
              </w:rPr>
            </w:pPr>
          </w:p>
        </w:tc>
        <w:tc>
          <w:tcPr>
            <w:tcW w:w="2440" w:type="dxa"/>
            <w:vAlign w:val="bottom"/>
            <w:tcBorders>
              <w:top w:val="single" w:sz="8" w:color="CFF0FC"/>
              <w:bottom w:val="single" w:sz="8" w:color="CFF0FC"/>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(50,484)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hanging="812"/>
        <w:spacing w:after="0"/>
        <w:tabs>
          <w:tab w:leader="none" w:pos="820" w:val="left"/>
        </w:tabs>
        <w:numPr>
          <w:ilvl w:val="0"/>
          <w:numId w:val="6"/>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222222"/>
        </w:rPr>
        <w:t xml:space="preserve">During the six months ended June 30, 2020, capital acquisitions were $19.8 million. Equipment deliveries during the six months ended June 30, 2020 include </w:t>
      </w:r>
      <w:r>
        <w:rPr>
          <w:rFonts w:ascii="Arial" w:cs="Arial" w:eastAsia="Arial" w:hAnsi="Arial"/>
          <w:sz w:val="22"/>
          <w:szCs w:val="22"/>
          <w:color w:val="000000"/>
        </w:rPr>
        <w:t>two</w:t>
      </w:r>
      <w:r>
        <w:rPr>
          <w:rFonts w:ascii="Arial" w:cs="Arial" w:eastAsia="Arial" w:hAnsi="Arial"/>
          <w:sz w:val="22"/>
          <w:szCs w:val="22"/>
          <w:color w:val="222222"/>
        </w:rPr>
        <w:t xml:space="preserve"> PSVs and one CTV.</w:t>
      </w:r>
    </w:p>
    <w:p>
      <w:pPr>
        <w:spacing w:after="0" w:line="17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222222"/>
        </w:rPr>
        <w:t>During the six months ended June 30, 2020, the Company sold two anchor handling towing supply (“AHTS”) vessels and one specialty vessel previously removed from service, four FSVs, one vessel under construction and other equipment for $18.6 million ($17.7 million cash and $0.9 million in previously received deposits) and gains of $0.9 million. In addition, the Company received $0.6 million in deposits for future sales.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222222"/>
        </w:rPr>
        <w:t>As part of the completion of the SEACOSCO Acquisition, seven SEACOR Delta PSVs, which were previously included in the Company’s Joint Ventured fleet, and one SEACOR Delta PSV under construction, were acquired (See Note 3. SEACOSCO Acquisition).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6" w:name="page17"/>
    <w:bookmarkEnd w:id="16"/>
    <w:p>
      <w:pPr>
        <w:ind w:left="760" w:hanging="752"/>
        <w:spacing w:after="0"/>
        <w:tabs>
          <w:tab w:leader="none" w:pos="7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19"/>
          <w:szCs w:val="19"/>
          <w:color w:val="auto"/>
        </w:rPr>
        <w:t>The Company’s long-term debt obligations as of June 30, 2020 and December 31, 2019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w w:val="97"/>
              </w:rPr>
              <w:t>June 30, 2020</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2019</w:t>
            </w:r>
          </w:p>
        </w:tc>
      </w:tr>
      <w:tr>
        <w:trPr>
          <w:trHeight w:val="213"/>
        </w:trPr>
        <w:tc>
          <w:tcPr>
            <w:tcW w:w="7720" w:type="dxa"/>
            <w:vAlign w:val="bottom"/>
            <w:tcBorders>
              <w:top w:val="single" w:sz="8" w:color="CFF0FC"/>
            </w:tcBorders>
            <w:shd w:val="clear" w:color="auto" w:fill="CFF0FC"/>
          </w:tcPr>
          <w:p>
            <w:pPr>
              <w:spacing w:after="0" w:line="212"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Convertible Senior Notes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Marine Foreign Holdings Syndicated Credit Facility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113,750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Sea-Cat Crewzer III Term Loan Facility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22,891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24,128</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tcPr>
          <w:p>
            <w:pPr>
              <w:ind w:left="260"/>
              <w:spacing w:after="0" w:line="216" w:lineRule="exact"/>
              <w:rPr>
                <w:sz w:val="20"/>
                <w:szCs w:val="20"/>
                <w:color w:val="auto"/>
              </w:rPr>
            </w:pPr>
            <w:r>
              <w:rPr>
                <w:rFonts w:ascii="Arial" w:cs="Arial" w:eastAsia="Arial" w:hAnsi="Arial"/>
                <w:sz w:val="15"/>
                <w:szCs w:val="15"/>
                <w:color w:val="auto"/>
              </w:rPr>
              <w:t>SEACOR Delta (f/k/a SEACOSCO) Shipyard Financing</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100,759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6"/>
        </w:trPr>
        <w:tc>
          <w:tcPr>
            <w:tcW w:w="772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SEACOR Alpine Shipyard Financing</w:t>
            </w:r>
            <w:r>
              <w:rPr>
                <w:rFonts w:ascii="Arial" w:cs="Arial" w:eastAsia="Arial" w:hAnsi="Arial"/>
                <w:sz w:val="25"/>
                <w:szCs w:val="25"/>
                <w:color w:val="auto"/>
                <w:vertAlign w:val="superscript"/>
              </w:rPr>
              <w:t>(3)</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20,972</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88/888 Term Loan</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BNDES Equipment Construction Finance Notes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2,682</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3,332</w:t>
            </w:r>
          </w:p>
        </w:tc>
        <w:tc>
          <w:tcPr>
            <w:tcW w:w="120" w:type="dxa"/>
            <w:vAlign w:val="bottom"/>
            <w:shd w:val="clear" w:color="auto" w:fill="CFF0FC"/>
          </w:tcPr>
          <w:p>
            <w:pPr>
              <w:spacing w:after="0"/>
              <w:rPr>
                <w:sz w:val="19"/>
                <w:szCs w:val="19"/>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Total recourse Long-term debt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404,759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282,244</w:t>
            </w:r>
          </w:p>
        </w:tc>
        <w:tc>
          <w:tcPr>
            <w:tcW w:w="120" w:type="dxa"/>
            <w:vAlign w:val="bottom"/>
          </w:tcPr>
          <w:p>
            <w:pPr>
              <w:spacing w:after="0"/>
              <w:rPr>
                <w:sz w:val="17"/>
                <w:szCs w:val="17"/>
                <w:color w:val="auto"/>
              </w:rPr>
            </w:pPr>
          </w:p>
        </w:tc>
      </w:tr>
      <w:tr>
        <w:trPr>
          <w:trHeight w:val="219"/>
        </w:trPr>
        <w:tc>
          <w:tcPr>
            <w:tcW w:w="7720" w:type="dxa"/>
            <w:vAlign w:val="bottom"/>
            <w:shd w:val="clear" w:color="auto" w:fill="CFF0FC"/>
          </w:tcPr>
          <w:p>
            <w:pPr>
              <w:spacing w:after="0" w:line="218"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5"/>
                <w:szCs w:val="25"/>
                <w:i w:val="1"/>
                <w:iCs w:val="1"/>
                <w:color w:val="auto"/>
                <w:vertAlign w:val="superscript"/>
              </w:rPr>
              <w:t>(4)</w:t>
            </w:r>
            <w:r>
              <w:rPr>
                <w:rFonts w:ascii="Arial" w:cs="Arial" w:eastAsia="Arial" w:hAnsi="Arial"/>
                <w:sz w:val="15"/>
                <w:szCs w:val="15"/>
                <w:i w:val="1"/>
                <w:iCs w:val="1"/>
                <w:color w:val="auto"/>
              </w:rPr>
              <w: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Falcon Global USA Term Loan Facility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102,349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Revolver</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Windcat Workboats Facilities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24,730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non-recourse Long-term debt</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148,208</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147,579</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principal due for long-term debt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552,967</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429,823</w:t>
            </w:r>
          </w:p>
        </w:tc>
        <w:tc>
          <w:tcPr>
            <w:tcW w:w="120" w:type="dxa"/>
            <w:vAlign w:val="bottom"/>
            <w:shd w:val="clear" w:color="auto" w:fill="CFF0FC"/>
          </w:tcPr>
          <w:p>
            <w:pPr>
              <w:spacing w:after="0"/>
              <w:rPr>
                <w:sz w:val="18"/>
                <w:szCs w:val="18"/>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Current portion due within one year</w:t>
            </w:r>
          </w:p>
        </w:tc>
        <w:tc>
          <w:tcPr>
            <w:tcW w:w="200" w:type="dxa"/>
            <w:vAlign w:val="bottom"/>
          </w:tcPr>
          <w:p>
            <w:pPr>
              <w:spacing w:after="0"/>
              <w:rPr>
                <w:sz w:val="17"/>
                <w:szCs w:val="17"/>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(51,793)</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(17,802)</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Unamortized debt discount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(48,575)</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(26,343)</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(5,427)</w:t>
            </w:r>
          </w:p>
        </w:tc>
      </w:tr>
      <w:tr>
        <w:trPr>
          <w:trHeight w:val="210"/>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447,663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380,251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Recourse debt represents debt issued by SEACOR Marine and/or its subsidiaries and guaranteed by SEACOR Marine as defined in the relevant debt agreements.</w:t>
      </w:r>
    </w:p>
    <w:p>
      <w:pPr>
        <w:spacing w:after="0" w:line="33" w:lineRule="exact"/>
        <w:rPr>
          <w:rFonts w:ascii="Arial" w:cs="Arial" w:eastAsia="Arial" w:hAnsi="Arial"/>
          <w:sz w:val="15"/>
          <w:szCs w:val="15"/>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SEACOR Delta Shipyard Financing includes vessel financing on the eight vessels acquired in the SEACOSCO Acquisition (see Note 3).</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SEACOR Alpine Shipyard Financing includes the SEACOR Alps and Andes vessels.</w:t>
      </w:r>
    </w:p>
    <w:p>
      <w:pPr>
        <w:spacing w:after="0" w:line="18" w:lineRule="exact"/>
        <w:rPr>
          <w:rFonts w:ascii="Arial" w:cs="Arial" w:eastAsia="Arial" w:hAnsi="Arial"/>
          <w:sz w:val="16"/>
          <w:szCs w:val="16"/>
          <w:color w:val="auto"/>
        </w:rPr>
      </w:pPr>
    </w:p>
    <w:p>
      <w:pPr>
        <w:jc w:val="both"/>
        <w:ind w:left="380" w:hanging="372"/>
        <w:spacing w:after="0" w:line="276"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Non-recourse debt represents debt issued by the Company’s Consolidated Subsidiaries with no recourse to SEACOR Marine or its other non-debtor subsidiaries, other than certain limited support obligations as defined in the respective debt agreements, which in aggregate are not considered to be material to the Company’s business and financial condition.</w:t>
      </w:r>
    </w:p>
    <w:p>
      <w:pPr>
        <w:spacing w:after="0" w:line="146"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As of June 30, 2020, the Company was in compliance with all debt covenants except for a covenant included in the Sea-Cat Crewzer III Term Loan Facility, which is guaranteed by SEACOR Marine. Under the facility, SEACOR Marine is required to maintain a net financial debt to equity ratio of 70%. As of June 30, 2020, SEACOR Marine’s net financial debt to equity ratio was 98%. The Company and the lenders under this facility are in discussions to waive or otherwise modify the terms of this covenant. Sea-Cat Crewzer III LLC, an indirect wholly-owned subsidiary of SEACOR Marine and the borrower under the Sea-Cat Crewzer III Term Loan Facility, is otherwise in compliance with all financial covenants and payment obligations under this facility, as is SEACOR Marine. The aforementioned non-compliance does not cause any cross defaults under the Company’s other credit facilities or the immediate acceleration of the Sea-Cat Crewzer III Term Loan Facility. Until a waiver or modification of the terms of this guarantor covenant is received from the lenders under this facility, the Company has classified the balance of this debt as current.</w:t>
      </w:r>
    </w:p>
    <w:p>
      <w:pPr>
        <w:spacing w:after="0" w:line="14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i w:val="1"/>
          <w:iCs w:val="1"/>
          <w:color w:val="auto"/>
        </w:rPr>
        <w:t xml:space="preserve">Falcon Global. </w:t>
      </w:r>
      <w:r>
        <w:rPr>
          <w:rFonts w:ascii="Arial" w:cs="Arial" w:eastAsia="Arial" w:hAnsi="Arial"/>
          <w:sz w:val="19"/>
          <w:szCs w:val="19"/>
          <w:color w:val="auto"/>
        </w:rPr>
        <w:t>On February 7, 2020, SEACOR Marine, Falcon Global USA LLC, an indirect wholly-owned subsidiary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SEACOR Marine (“FGUSA”), and certain subsidiaries of FGUSA, entered into a consent, agreement and an omnibus amendment (the “FGUSA Omnibus Amendment”) to that certain (i) $131.1 million term and revolving loan facility, dated as of February 8, 2018, with a syndicate of lenders administered by JP Morgan Chase Bank, N.A. (the “FGUSA Credit Facility”) and</w:t>
      </w:r>
    </w:p>
    <w:p>
      <w:pPr>
        <w:spacing w:after="0" w:line="3" w:lineRule="exact"/>
        <w:rPr>
          <w:sz w:val="20"/>
          <w:szCs w:val="20"/>
          <w:color w:val="auto"/>
        </w:rPr>
      </w:pPr>
    </w:p>
    <w:p>
      <w:pPr>
        <w:jc w:val="both"/>
        <w:ind w:firstLine="8"/>
        <w:spacing w:after="0" w:line="232" w:lineRule="auto"/>
        <w:tabs>
          <w:tab w:leader="none" w:pos="346" w:val="left"/>
        </w:tabs>
        <w:numPr>
          <w:ilvl w:val="0"/>
          <w:numId w:val="9"/>
        </w:numPr>
        <w:rPr>
          <w:rFonts w:ascii="Arial" w:cs="Arial" w:eastAsia="Arial" w:hAnsi="Arial"/>
          <w:sz w:val="22"/>
          <w:szCs w:val="22"/>
          <w:color w:val="auto"/>
        </w:rPr>
      </w:pPr>
      <w:r>
        <w:rPr>
          <w:rFonts w:ascii="Arial" w:cs="Arial" w:eastAsia="Arial" w:hAnsi="Arial"/>
          <w:sz w:val="22"/>
          <w:szCs w:val="22"/>
          <w:color w:val="auto"/>
        </w:rPr>
        <w:t>obligation guaranty issued by SEACOR Marine, dated February 8, 2018, pursuant to which SEACOR Marine guarantees certain limited obligations of FGUSA under the FGUSA Credit Facility (the “FGUSA Guaranty”). The FGUSA Omnibus Amendment provides for, among other things, (i) the extension from March 2020 to March 2021 of the commencement of monthly amortization of the term loan, with payments being the lesser of (a) $0.8 million per month and (b) the amount outstanding under the term loan and (ii) the extension of the term of the FGUSA Guaranty for an additional one year from February 8, 2020 to February 8,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ind w:firstLine="749"/>
        <w:spacing w:after="0" w:line="279" w:lineRule="auto"/>
        <w:rPr>
          <w:sz w:val="20"/>
          <w:szCs w:val="20"/>
          <w:color w:val="auto"/>
        </w:rPr>
      </w:pPr>
      <w:r>
        <w:rPr>
          <w:rFonts w:ascii="Arial" w:cs="Arial" w:eastAsia="Arial" w:hAnsi="Arial"/>
          <w:sz w:val="19"/>
          <w:szCs w:val="19"/>
          <w:color w:val="auto"/>
        </w:rPr>
        <w:t>On April 29, 2020, FGUSA and certain subsidiaries of FGUSA, entered into a sixth consent and agreement (the “FGUSA Sixth Consent and Agreement”) to the FGUSA Credit Facility, which provides that, among other things, (i) the deadline for delivery of the audited financial statements of FGUSA and its consolidated subsidiaries for the fiscal year ended December 31, 2019 (“FGUSA 2019 Audited Financial Statements”) was extended from April 29, 2020 to May 31, 2020, (ii) the FGUSA 2019 Audited Financial Statements are not required to be delivered without a “going concern” or like qualification, commentary or exception, and (iii) the deadline for delivery of certain physical vessel appraisals was extended to December 31, 2020.</w:t>
      </w:r>
    </w:p>
    <w:p>
      <w:pPr>
        <w:spacing w:after="0" w:line="12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SEACOR Alpine. </w:t>
      </w:r>
      <w:r>
        <w:rPr>
          <w:rFonts w:ascii="Arial" w:cs="Arial" w:eastAsia="Arial" w:hAnsi="Arial"/>
          <w:sz w:val="19"/>
          <w:szCs w:val="19"/>
          <w:color w:val="auto"/>
        </w:rPr>
        <w:t>In 2019, the Company committed to take possession of three Rolls Royce UT1771 CDL designed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diesel electric powered PSVs of 3,800 tons delivered deadweight capacity with dynamic position class 2 and firefighting class 1 notations. As part of this transaction, the shipbuilder, COSCO Shipping Heavy Industry (Zhoushan) Co. Ltd., agreed to finance 70% of the cost of each of these vessels pursuant to a deferred payment agreement. The deferred payment agreement calls for increasing quarterly payments of principal and interest payments that bear interest at an annual rate of 5% over a four-year term from delivery. The Company took delivery of one of the vessels, the SEACOR Alps, on September 20, 2019, and took delivery of the second vessel, the SEACOR Andes, on April 20, 2020. The Company is scheduled to take delivery of the third vessel, the SEACOR Atlas, in the late third quarter to early fourth quarter of 2020.</w:t>
      </w:r>
    </w:p>
    <w:p>
      <w:pPr>
        <w:spacing w:after="0" w:line="11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Windcat Workboats. </w:t>
      </w:r>
      <w:r>
        <w:rPr>
          <w:rFonts w:ascii="Arial" w:cs="Arial" w:eastAsia="Arial" w:hAnsi="Arial"/>
          <w:sz w:val="19"/>
          <w:szCs w:val="19"/>
          <w:color w:val="auto"/>
        </w:rPr>
        <w:t>On March 3, 2020, Windcat Workboats Holdings Ltd, an indirect wholly-owned subsidiary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SEACOR Marine (“Windcat Workboats”), together with certain other obligors that are its subsidiaries entered into an agreement (the “RCF Amendment”) with Coöperatieve Rabobank U.A. to amend the €25 million revolving credit facility agreement, originally dated as of May 24, 2016, as amended and restated from time to time. Amended provisions included, among other things, the extension of the maturity date from December 31, 2021 to December 31, 2022. Applicable fees in the amount of €0.1 million were paid in conjunction with the RCF Amendment and amortized over the credit facility term. As of June 30, 2020, the Company has $1.4 million available under its Windcat Workboats credit facilities.</w:t>
      </w:r>
    </w:p>
    <w:p>
      <w:pPr>
        <w:spacing w:after="0" w:line="111"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SEACOR Delta (f/k/a SEACOSCO). </w:t>
      </w:r>
      <w:r>
        <w:rPr>
          <w:rFonts w:ascii="Arial" w:cs="Arial" w:eastAsia="Arial" w:hAnsi="Arial"/>
          <w:sz w:val="19"/>
          <w:szCs w:val="19"/>
          <w:color w:val="auto"/>
        </w:rPr>
        <w:t>On June 30, 2020, the Company completed the acquisition of the SEACOSCO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Interests that it did not already own. The deferred portion of the SEACOSCO Purchase Price is payable in annual installment payments of $1.0 million, $2.5 million and $2.5 million in the first, second and third year after the SEACOSCO SPA Signing Date, respectively, with the remaining $13.7 million due four years after such date. The deferred portion of the SEACOSCO Purchase Price accrues interest at a fixed rate of 1.5%, 7.0%, 7.5% and 8.0% for the first through fourth years after the signing date, respectively. The Guangdong DPAs comprising the SEACOR Delta Shipyard Financing provide for amortization of the purchase price for each vessel over a period of 10 years from delivery with the unpaid amount bearing floating interest rate of three-month LIBOR plus 4.0% (see Note 3. SEACOSCO Acquisition).</w:t>
      </w:r>
    </w:p>
    <w:p>
      <w:pPr>
        <w:spacing w:after="0" w:line="13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color w:val="auto"/>
        </w:rPr>
        <w:t xml:space="preserve">SEACOR Marine Foreign Holdings. </w:t>
      </w:r>
      <w:r>
        <w:rPr>
          <w:rFonts w:ascii="Arial" w:cs="Arial" w:eastAsia="Arial" w:hAnsi="Arial"/>
          <w:sz w:val="21"/>
          <w:szCs w:val="21"/>
          <w:color w:val="auto"/>
        </w:rPr>
        <w:t>On June 29, 2020, SEACOR Marine, SEACOR Marine Foreign Holdings Inc., a</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wholly owned subsidiary of SEACOR Marine (“SMFH”), and certain vessel-owning subsidiaries of SEACOR Marine, entered into Amendment No. 3 (the “SMFH Amendment”) to the $130 million loan facility with a syndicate of lenders administered by DNB Bank ASA, New York Branch, dated as of September 26, 2018 and as amended on August 6, 2019, November 26, 2019 and December 13, 2019 (the “SMFH Credit Facility”). The SMFH Amendment provides for, among other things, (i) the modification of certain financial maintenance and restrictive covenants contained in the Credit Facility or the guaranty provided by SEACOR Marine with respect thereto, including with respect to EBITDA coverage ratios, mandatory prepayment events, and the exclusion of certain indebtedness associated with the acquisition of the SEACOSCO Interests, and (ii) the placement of mortgages on two additional vessels owned by vessel-owning subsidiaries of SEACOR Marine as security for the indebtedness under the SMFH Credit Facility.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8" w:name="page19"/>
    <w:bookmarkEnd w:id="18"/>
    <w:p>
      <w:pPr>
        <w:jc w:val="both"/>
        <w:ind w:firstLine="749"/>
        <w:spacing w:after="0" w:line="245" w:lineRule="auto"/>
        <w:rPr>
          <w:sz w:val="20"/>
          <w:szCs w:val="20"/>
          <w:color w:val="auto"/>
        </w:rPr>
      </w:pPr>
      <w:r>
        <w:rPr>
          <w:rFonts w:ascii="Arial" w:cs="Arial" w:eastAsia="Arial" w:hAnsi="Arial"/>
          <w:sz w:val="21"/>
          <w:szCs w:val="21"/>
          <w:b w:val="1"/>
          <w:bCs w:val="1"/>
          <w:i w:val="1"/>
          <w:iCs w:val="1"/>
          <w:color w:val="auto"/>
        </w:rPr>
        <w:t xml:space="preserve">BNDES. </w:t>
      </w:r>
      <w:r>
        <w:rPr>
          <w:rFonts w:ascii="Arial" w:cs="Arial" w:eastAsia="Arial" w:hAnsi="Arial"/>
          <w:sz w:val="21"/>
          <w:szCs w:val="21"/>
          <w:color w:val="auto"/>
        </w:rPr>
        <w:t>In October 2019, Oceanpact purchased from the Company the two vessels securing the BNDES Equipment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Construction Finance Notes, but the transfer of title of the vessels from the Company to Oceanpact is subject to the assignment of the BNDES Equipment Construction Finance Notes to Oceanpact. On June 9, 2020, Banco Nacional de Desenvolvimento Economico e Social (“BNDES”), a Brazilian government-owned entity, provided a suspension for a period of six months, from May 11, 2020 to October 10, 2020, on the payment of principal and compensatory interest under the BNDES Equipment Construction Finance Notes, without changing the final term of the debt amortization period nor the interest rate thereunder. Collection on the receivable balance from Oceanpact was also deferred. It has also been requested that Oceanpact continue to work with BNDES to follow through with the assignment of the loan or accept another form of guarantee provided by Oceanpact in order to obtain a debt release from BNDES. This assignment has been delayed through court deferral while Brazilian courts remain closed due to COVID-19.</w:t>
      </w:r>
    </w:p>
    <w:p>
      <w:pPr>
        <w:spacing w:after="0" w:line="1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June 30, 2020, the Company had outstanding letters of credit of $0.5 million securing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 and labor and performance guaranties.</w:t>
      </w:r>
    </w:p>
    <w:p>
      <w:pPr>
        <w:spacing w:after="0" w:line="169" w:lineRule="exact"/>
        <w:rPr>
          <w:sz w:val="20"/>
          <w:szCs w:val="20"/>
          <w:color w:val="auto"/>
        </w:rPr>
      </w:pPr>
    </w:p>
    <w:p>
      <w:pPr>
        <w:ind w:left="760" w:hanging="752"/>
        <w:spacing w:after="0"/>
        <w:tabs>
          <w:tab w:leader="none" w:pos="7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As of June 30, 2020, the Company leased in two AHTS vessels, three liftboats, one FSV and certain facilities and other equipment. The leases typically contain purchase and renewal options or rights of first refusal with respect to the sale or lease of the equipment. As of June 30, 2020, the remaining lease terms of the vessels have remaining durations ranging from five to 17 months. The lease terms of the other equipment range in duration from three to 318 months.</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June 30, 2020, future minimum payments for operating leases for the remainder of 2020 and the years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Remainder of 2020</w:t>
            </w:r>
          </w:p>
        </w:tc>
        <w:tc>
          <w:tcPr>
            <w:tcW w:w="360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7,564</w:t>
            </w:r>
          </w:p>
        </w:tc>
        <w:tc>
          <w:tcPr>
            <w:tcW w:w="100" w:type="dxa"/>
            <w:vAlign w:val="bottom"/>
            <w:shd w:val="clear" w:color="auto" w:fill="CFF0FC"/>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2021</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7,217</w:t>
            </w:r>
          </w:p>
        </w:tc>
        <w:tc>
          <w:tcPr>
            <w:tcW w:w="100" w:type="dxa"/>
            <w:vAlign w:val="bottom"/>
          </w:tcPr>
          <w:p>
            <w:pPr>
              <w:spacing w:after="0"/>
              <w:rPr>
                <w:sz w:val="18"/>
                <w:szCs w:val="18"/>
                <w:color w:val="auto"/>
              </w:rPr>
            </w:pPr>
          </w:p>
        </w:tc>
      </w:tr>
      <w:tr>
        <w:trPr>
          <w:trHeight w:val="21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2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FF0FC"/>
          </w:tcPr>
          <w:p>
            <w:pPr>
              <w:spacing w:after="0"/>
              <w:rPr>
                <w:sz w:val="19"/>
                <w:szCs w:val="19"/>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2023</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r>
      <w:tr>
        <w:trPr>
          <w:trHeight w:val="219"/>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8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FF0FC"/>
          </w:tcPr>
          <w:p>
            <w:pPr>
              <w:spacing w:after="0"/>
              <w:rPr>
                <w:sz w:val="19"/>
                <w:szCs w:val="19"/>
                <w:color w:val="auto"/>
              </w:rPr>
            </w:pPr>
          </w:p>
        </w:tc>
      </w:tr>
      <w:tr>
        <w:trPr>
          <w:trHeight w:val="213"/>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2024</w:t>
            </w:r>
          </w:p>
        </w:tc>
        <w:tc>
          <w:tcPr>
            <w:tcW w:w="28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4,964</w:t>
            </w:r>
          </w:p>
        </w:tc>
        <w:tc>
          <w:tcPr>
            <w:tcW w:w="100" w:type="dxa"/>
            <w:vAlign w:val="bottom"/>
            <w:tcBorders>
              <w:bottom w:val="single" w:sz="8" w:color="CFF0FC"/>
            </w:tcBorders>
          </w:tcPr>
          <w:p>
            <w:pPr>
              <w:spacing w:after="0"/>
              <w:rPr>
                <w:sz w:val="18"/>
                <w:szCs w:val="18"/>
                <w:color w:val="auto"/>
              </w:rPr>
            </w:pPr>
          </w:p>
        </w:tc>
      </w:tr>
      <w:tr>
        <w:trPr>
          <w:trHeight w:val="213"/>
        </w:trPr>
        <w:tc>
          <w:tcPr>
            <w:tcW w:w="640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21,953</w:t>
            </w:r>
          </w:p>
        </w:tc>
        <w:tc>
          <w:tcPr>
            <w:tcW w:w="100" w:type="dxa"/>
            <w:vAlign w:val="bottom"/>
            <w:shd w:val="clear" w:color="auto" w:fill="CFF0FC"/>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6"/>
                <w:szCs w:val="16"/>
                <w:color w:val="auto"/>
              </w:rPr>
              <w:t>Interest component</w:t>
            </w:r>
          </w:p>
        </w:tc>
        <w:tc>
          <w:tcPr>
            <w:tcW w:w="2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(3,643)</w:t>
            </w:r>
          </w:p>
        </w:tc>
      </w:tr>
      <w:tr>
        <w:trPr>
          <w:trHeight w:val="213"/>
        </w:trPr>
        <w:tc>
          <w:tcPr>
            <w:tcW w:w="6400" w:type="dxa"/>
            <w:vAlign w:val="bottom"/>
            <w:tcBorders>
              <w:top w:val="single" w:sz="8" w:color="CFF0FC"/>
            </w:tcBorders>
            <w:shd w:val="clear" w:color="auto" w:fill="CFF0FC"/>
          </w:tcPr>
          <w:p>
            <w:pPr>
              <w:spacing w:after="0"/>
              <w:rPr>
                <w:sz w:val="18"/>
                <w:szCs w:val="18"/>
                <w:color w:val="auto"/>
              </w:rPr>
            </w:pPr>
          </w:p>
        </w:tc>
        <w:tc>
          <w:tcPr>
            <w:tcW w:w="286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operating lease liabilities</w:t>
            </w:r>
          </w:p>
        </w:tc>
        <w:tc>
          <w:tcPr>
            <w:tcW w:w="28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60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6,545</w:t>
            </w:r>
          </w:p>
        </w:tc>
        <w:tc>
          <w:tcPr>
            <w:tcW w:w="100" w:type="dxa"/>
            <w:vAlign w:val="bottom"/>
            <w:shd w:val="clear" w:color="auto" w:fill="CFF0FC"/>
          </w:tcPr>
          <w:p>
            <w:pPr>
              <w:spacing w:after="0"/>
              <w:rPr>
                <w:sz w:val="18"/>
                <w:szCs w:val="18"/>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28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the three and six months ended June 30, 2020 the components of lease expense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76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440" w:type="dxa"/>
            <w:vAlign w:val="bottom"/>
            <w:gridSpan w:val="5"/>
          </w:tcPr>
          <w:p>
            <w:pPr>
              <w:ind w:left="100"/>
              <w:spacing w:after="0"/>
              <w:rPr>
                <w:sz w:val="20"/>
                <w:szCs w:val="20"/>
                <w:color w:val="auto"/>
              </w:rPr>
            </w:pPr>
            <w:r>
              <w:rPr>
                <w:rFonts w:ascii="Arial" w:cs="Arial" w:eastAsia="Arial" w:hAnsi="Arial"/>
                <w:sz w:val="16"/>
                <w:szCs w:val="16"/>
                <w:b w:val="1"/>
                <w:bCs w:val="1"/>
                <w:color w:val="auto"/>
              </w:rPr>
              <w:t>Six Months Ended June 30,</w:t>
            </w:r>
          </w:p>
        </w:tc>
      </w:tr>
      <w:tr>
        <w:trPr>
          <w:trHeight w:val="236"/>
        </w:trPr>
        <w:tc>
          <w:tcPr>
            <w:tcW w:w="584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4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expense</w:t>
            </w: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1,102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7,224</w:t>
            </w:r>
          </w:p>
        </w:tc>
        <w:tc>
          <w:tcPr>
            <w:tcW w:w="100" w:type="dxa"/>
            <w:vAlign w:val="bottom"/>
            <w:shd w:val="clear" w:color="auto" w:fill="CFF0FC"/>
          </w:tcPr>
          <w:p>
            <w:pPr>
              <w:spacing w:after="0"/>
              <w:rPr>
                <w:sz w:val="20"/>
                <w:szCs w:val="20"/>
                <w:color w:val="auto"/>
              </w:rPr>
            </w:pPr>
          </w:p>
        </w:tc>
      </w:tr>
      <w:tr>
        <w:trPr>
          <w:trHeight w:val="206"/>
        </w:trPr>
        <w:tc>
          <w:tcPr>
            <w:tcW w:w="5840" w:type="dxa"/>
            <w:vAlign w:val="bottom"/>
          </w:tcPr>
          <w:p>
            <w:pPr>
              <w:spacing w:after="0"/>
              <w:rPr>
                <w:sz w:val="20"/>
                <w:szCs w:val="20"/>
                <w:color w:val="auto"/>
              </w:rPr>
            </w:pPr>
            <w:r>
              <w:rPr>
                <w:rFonts w:ascii="Arial" w:cs="Arial" w:eastAsia="Arial" w:hAnsi="Arial"/>
                <w:sz w:val="16"/>
                <w:szCs w:val="16"/>
                <w:color w:val="auto"/>
              </w:rPr>
              <w:t>Short-term lease expense (lease duration of twelve months or less at lease</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commencement)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FF0FC"/>
            </w:tcBorders>
          </w:tcPr>
          <w:p>
            <w:pPr>
              <w:spacing w:after="0"/>
              <w:rPr>
                <w:sz w:val="18"/>
                <w:szCs w:val="18"/>
                <w:color w:val="auto"/>
              </w:rPr>
            </w:pPr>
          </w:p>
        </w:tc>
      </w:tr>
      <w:tr>
        <w:trPr>
          <w:trHeight w:val="237"/>
        </w:trPr>
        <w:tc>
          <w:tcPr>
            <w:tcW w:w="58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1,355</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4,762</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8,435</w:t>
            </w:r>
          </w:p>
        </w:tc>
        <w:tc>
          <w:tcPr>
            <w:tcW w:w="100" w:type="dxa"/>
            <w:vAlign w:val="bottom"/>
            <w:shd w:val="clear" w:color="auto" w:fill="CFF0FC"/>
          </w:tcPr>
          <w:p>
            <w:pPr>
              <w:spacing w:after="0"/>
              <w:rPr>
                <w:sz w:val="20"/>
                <w:szCs w:val="20"/>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the six months ended June 30, 2020, other information related to operating leases were as follows (in thousands except weighted average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r>
      <w:tr>
        <w:trPr>
          <w:trHeight w:val="212"/>
        </w:trPr>
        <w:tc>
          <w:tcPr>
            <w:tcW w:w="92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flows from operating leases</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7,652</w:t>
            </w:r>
          </w:p>
        </w:tc>
        <w:tc>
          <w:tcPr>
            <w:tcW w:w="140" w:type="dxa"/>
            <w:vAlign w:val="bottom"/>
            <w:shd w:val="clear" w:color="auto" w:fill="CFF0FC"/>
          </w:tcPr>
          <w:p>
            <w:pPr>
              <w:spacing w:after="0"/>
              <w:rPr>
                <w:sz w:val="18"/>
                <w:szCs w:val="18"/>
                <w:color w:val="auto"/>
              </w:rPr>
            </w:pPr>
          </w:p>
        </w:tc>
      </w:tr>
      <w:tr>
        <w:trPr>
          <w:trHeight w:val="213"/>
        </w:trPr>
        <w:tc>
          <w:tcPr>
            <w:tcW w:w="9220" w:type="dxa"/>
            <w:vAlign w:val="bottom"/>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779</w:t>
            </w:r>
          </w:p>
        </w:tc>
        <w:tc>
          <w:tcPr>
            <w:tcW w:w="140" w:type="dxa"/>
            <w:vAlign w:val="bottom"/>
          </w:tcPr>
          <w:p>
            <w:pPr>
              <w:spacing w:after="0"/>
              <w:rPr>
                <w:sz w:val="18"/>
                <w:szCs w:val="18"/>
                <w:color w:val="auto"/>
              </w:rPr>
            </w:pPr>
          </w:p>
        </w:tc>
      </w:tr>
      <w:tr>
        <w:trPr>
          <w:trHeight w:val="219"/>
        </w:trPr>
        <w:tc>
          <w:tcPr>
            <w:tcW w:w="922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w:t>
            </w: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9"/>
                <w:szCs w:val="19"/>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4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9" w:name="page20"/>
    <w:bookmarkEnd w:id="19"/>
    <w:p>
      <w:pPr>
        <w:ind w:left="760" w:hanging="752"/>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six months ended June 30,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9180" w:type="dxa"/>
            <w:vAlign w:val="bottom"/>
          </w:tcPr>
          <w:p>
            <w:pPr>
              <w:spacing w:after="0"/>
              <w:rPr>
                <w:sz w:val="20"/>
                <w:szCs w:val="20"/>
                <w:color w:val="auto"/>
              </w:rPr>
            </w:pPr>
            <w:r>
              <w:rPr>
                <w:rFonts w:ascii="Arial" w:cs="Arial" w:eastAsia="Arial" w:hAnsi="Arial"/>
                <w:sz w:val="16"/>
                <w:szCs w:val="16"/>
                <w:color w:val="auto"/>
              </w:rPr>
              <w:t>Foreign taxes not creditable against U.S. income tax</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Falcon Global Acquisition</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3"/>
        </w:trPr>
        <w:tc>
          <w:tcPr>
            <w:tcW w:w="91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r>
      <w:tr>
        <w:trPr>
          <w:trHeight w:val="219"/>
        </w:trPr>
        <w:tc>
          <w:tcPr>
            <w:tcW w:w="9180" w:type="dxa"/>
            <w:vAlign w:val="bottom"/>
            <w:shd w:val="clear" w:color="auto" w:fill="CFF0FC"/>
          </w:tcPr>
          <w:p>
            <w:pPr>
              <w:spacing w:after="0"/>
              <w:rPr>
                <w:sz w:val="20"/>
                <w:szCs w:val="20"/>
                <w:color w:val="auto"/>
              </w:rPr>
            </w:pPr>
            <w:r>
              <w:rPr>
                <w:rFonts w:ascii="Arial" w:cs="Arial" w:eastAsia="Arial" w:hAnsi="Arial"/>
                <w:sz w:val="16"/>
                <w:szCs w:val="16"/>
                <w:color w:val="auto"/>
              </w:rPr>
              <w:t>CARES Act NOL Carryback</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13"/>
        </w:trPr>
        <w:tc>
          <w:tcPr>
            <w:tcW w:w="9180" w:type="dxa"/>
            <w:vAlign w:val="bottom"/>
          </w:tcPr>
          <w:p>
            <w:pPr>
              <w:spacing w:after="0"/>
              <w:rPr>
                <w:sz w:val="20"/>
                <w:szCs w:val="20"/>
                <w:color w:val="auto"/>
              </w:rPr>
            </w:pPr>
            <w:r>
              <w:rPr>
                <w:rFonts w:ascii="Arial" w:cs="Arial" w:eastAsia="Arial" w:hAnsi="Arial"/>
                <w:sz w:val="16"/>
                <w:szCs w:val="16"/>
                <w:color w:val="auto"/>
              </w:rPr>
              <w:t>Other</w:t>
            </w:r>
          </w:p>
        </w:tc>
        <w:tc>
          <w:tcPr>
            <w:tcW w:w="182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240" w:type="dxa"/>
            <w:vAlign w:val="bottom"/>
          </w:tcPr>
          <w:p>
            <w:pPr>
              <w:spacing w:after="0"/>
              <w:rPr>
                <w:sz w:val="18"/>
                <w:szCs w:val="18"/>
                <w:color w:val="auto"/>
              </w:rPr>
            </w:pPr>
          </w:p>
        </w:tc>
      </w:tr>
      <w:tr>
        <w:trPr>
          <w:trHeight w:val="210"/>
        </w:trPr>
        <w:tc>
          <w:tcPr>
            <w:tcW w:w="918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9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On June 26, 2020, the Company entered into a Tax Refund and Indemnification Agreement (the “Tax Refund Agreement”) with SEACOR Holdings Inc. (“SEACOR Holdings”), the Company’s former parent company. The Tax Refund Agreement will enable the Company to utilize net operating losses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Coronavirus Aid, Relief, and Economic Security Act (“CARES Act”) and for which SEACOR Holdings needs to claim the refund on behalf of the Company. As a result, the Company expects to receive a net amount of cash tax refunds of approximately $28.2 million, with approximately $23.7 million expected to be received within the next nine months, subject to the filing of the necessary tax refund claims and the refund schedule of the Internal Revenue Service.</w:t>
      </w:r>
    </w:p>
    <w:p>
      <w:pPr>
        <w:spacing w:after="0" w:line="18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SEACOR Holdings will retain certain of the funds to facilitate tax savings realized by SEACOR Holdings of no less than 35% of the amount of its own 2019 NOLs. The $28.2 million of the refunds the Company expects to receive is net of these holdbacks and of a $3.0 million transaction fee paid to SEACOR Holdings concurrently with the signing of the agreement as consideration for its cooperation in connection with the filing of the applicable tax refund returns. The Tax Refund Agreement does not restrict the use of approximately $16.0 million of the refund, with the remaining approximately $12.2 million required to be deposited into an account to be used solely to satisfy certain of the Company’s obligations that remain guaranteed by SEACOR Holdings. These obligations primarily relate to vessel operating leases, an office lease and certain U.K. pension liabilities. Approximately $10.4 million of the restricted cash relates to scheduled monthly payments toward vessel operating leases, most of which will mature on or prior to December 2021.</w:t>
      </w:r>
    </w:p>
    <w:p>
      <w:pPr>
        <w:spacing w:after="0" w:line="152"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520"/>
              <w:spacing w:after="0"/>
              <w:rPr>
                <w:sz w:val="20"/>
                <w:szCs w:val="20"/>
                <w:color w:val="auto"/>
              </w:rPr>
            </w:pPr>
            <w:r>
              <w:rPr>
                <w:rFonts w:ascii="Arial" w:cs="Arial" w:eastAsia="Arial" w:hAnsi="Arial"/>
                <w:sz w:val="16"/>
                <w:szCs w:val="16"/>
                <w:b w:val="1"/>
                <w:bCs w:val="1"/>
                <w:color w:val="auto"/>
              </w:rPr>
              <w:t>June 30, 2020</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Borders>
              <w:bottom w:val="single" w:sz="8" w:color="CFF0FC"/>
            </w:tcBorders>
          </w:tcPr>
          <w:p>
            <w:pPr>
              <w:spacing w:after="0"/>
              <w:rPr>
                <w:sz w:val="18"/>
                <w:szCs w:val="18"/>
                <w:color w:val="auto"/>
              </w:rPr>
            </w:pPr>
          </w:p>
        </w:tc>
      </w:tr>
      <w:tr>
        <w:trPr>
          <w:trHeight w:val="212"/>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FF0FC"/>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4,454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both"/>
        <w:ind w:firstLine="749"/>
        <w:spacing w:after="0" w:line="247"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or EURIBOR component of certain of their outstanding borrowings to a fixed interest rate. The Company recognized losses on derivative instruments designated as cash flow hedges of $1.4 million for the six months ended June 30, 2020, and losses of $1.7 million for the six months ended June 30, 2019 as a component of other comprehensive loss. As of June 30, 2020, the interest rate swaps held by the Company and certain of the Company’s 50% or less owned companies were as follows</w:t>
      </w:r>
      <w:r>
        <w:rPr>
          <w:rFonts w:ascii="Arial" w:cs="Arial" w:eastAsia="Arial" w:hAnsi="Arial"/>
          <w:sz w:val="21"/>
          <w:szCs w:val="21"/>
          <w:b w:val="1"/>
          <w:bCs w:val="1"/>
          <w:i w:val="1"/>
          <w:iCs w:val="1"/>
          <w:color w:val="auto"/>
        </w:rPr>
        <w:t>:</w:t>
      </w:r>
    </w:p>
    <w:p>
      <w:pPr>
        <w:spacing w:after="0" w:line="70" w:lineRule="exact"/>
        <w:rPr>
          <w:sz w:val="20"/>
          <w:szCs w:val="20"/>
          <w:color w:val="auto"/>
        </w:rPr>
      </w:pPr>
    </w:p>
    <w:p>
      <w:pPr>
        <w:jc w:val="both"/>
        <w:ind w:left="1260" w:hanging="510"/>
        <w:spacing w:after="0" w:line="297" w:lineRule="auto"/>
        <w:tabs>
          <w:tab w:leader="none" w:pos="12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Windcat Workboats had two interest rate swap agreements maturing in 2021 that call for the Company to pay a fixed rate of interest of (0.03%) plus a margin on the aggregate notional value of €15.0 million (approximately $16.8 million) and receive a variable interest rate based on EURIBOR on the aggregate notional value;</w:t>
      </w:r>
    </w:p>
    <w:p>
      <w:pPr>
        <w:spacing w:after="0" w:line="25" w:lineRule="exact"/>
        <w:rPr>
          <w:rFonts w:ascii="Arial" w:cs="Arial" w:eastAsia="Arial" w:hAnsi="Arial"/>
          <w:sz w:val="19"/>
          <w:szCs w:val="19"/>
          <w:color w:val="auto"/>
        </w:rPr>
      </w:pPr>
    </w:p>
    <w:p>
      <w:pPr>
        <w:jc w:val="both"/>
        <w:ind w:left="1260" w:hanging="510"/>
        <w:spacing w:after="0" w:line="252" w:lineRule="auto"/>
        <w:tabs>
          <w:tab w:leader="none" w:pos="12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SEACOR Marine Foreign Holdings Inc., an indirect wholly-owned subsidiary of SEACOR Marine (“SMFH” or “SEACOR Marine Foreign Holdings”), had an interest rate swap agreement maturing in 2023 that calls for SMFH to pay a fixed rate of interest of 3.32% per annum on the amortized notional value of $8.3 million and receive a variable interest rate based on LIBOR on the amortized notional value;</w:t>
      </w:r>
    </w:p>
    <w:p>
      <w:pPr>
        <w:spacing w:after="0" w:line="65" w:lineRule="exact"/>
        <w:rPr>
          <w:rFonts w:ascii="Arial" w:cs="Arial" w:eastAsia="Arial" w:hAnsi="Arial"/>
          <w:sz w:val="21"/>
          <w:szCs w:val="21"/>
          <w:color w:val="auto"/>
        </w:rPr>
      </w:pPr>
    </w:p>
    <w:p>
      <w:pPr>
        <w:jc w:val="both"/>
        <w:ind w:left="1260" w:hanging="510"/>
        <w:spacing w:after="0"/>
        <w:tabs>
          <w:tab w:leader="none" w:pos="12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SMFH had an interest rate swap agreement maturing in 2023 that calls for SMFH to pay a fixed rate of interest of 3.195% per annum on the amortized notional value of $45.8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line="252" w:lineRule="auto"/>
        <w:tabs>
          <w:tab w:leader="none" w:pos="12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5" w:lineRule="exact"/>
        <w:rPr>
          <w:rFonts w:ascii="Arial" w:cs="Arial" w:eastAsia="Arial" w:hAnsi="Arial"/>
          <w:sz w:val="21"/>
          <w:szCs w:val="21"/>
          <w:color w:val="auto"/>
        </w:rPr>
      </w:pPr>
    </w:p>
    <w:p>
      <w:pPr>
        <w:jc w:val="both"/>
        <w:ind w:left="1260" w:hanging="510"/>
        <w:spacing w:after="0" w:line="287" w:lineRule="auto"/>
        <w:tabs>
          <w:tab w:leader="none" w:pos="12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$76.3 million and receive a variable interest rate based on LIBOR on the aggregate amortized notional value.</w:t>
      </w:r>
    </w:p>
    <w:p>
      <w:pPr>
        <w:spacing w:after="0" w:line="10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Other Derivative Instruments. </w:t>
      </w:r>
      <w:r>
        <w:rPr>
          <w:rFonts w:ascii="Arial" w:cs="Arial" w:eastAsia="Arial" w:hAnsi="Arial"/>
          <w:sz w:val="22"/>
          <w:szCs w:val="22"/>
          <w:color w:val="auto"/>
        </w:rPr>
        <w:t>The Company recognized gains (losses) on derivative instruments not designated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hedging instruments for the three and six months ended June 30,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276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37"/>
        </w:trPr>
        <w:tc>
          <w:tcPr>
            <w:tcW w:w="5840" w:type="dxa"/>
            <w:vAlign w:val="bottom"/>
          </w:tcPr>
          <w:p>
            <w:pPr>
              <w:spacing w:after="0"/>
              <w:rPr>
                <w:sz w:val="20"/>
                <w:szCs w:val="20"/>
                <w:color w:val="auto"/>
              </w:rPr>
            </w:pPr>
          </w:p>
        </w:tc>
        <w:tc>
          <w:tcPr>
            <w:tcW w:w="8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(1,398)</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(2,323)</w:t>
            </w:r>
          </w:p>
        </w:tc>
      </w:tr>
      <w:tr>
        <w:trPr>
          <w:trHeight w:val="240"/>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w:t>
            </w: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20"/>
                <w:szCs w:val="20"/>
                <w:color w:val="auto"/>
              </w:rPr>
            </w:pPr>
          </w:p>
        </w:tc>
      </w:tr>
      <w:tr>
        <w:trPr>
          <w:trHeight w:val="210"/>
        </w:trPr>
        <w:tc>
          <w:tcPr>
            <w:tcW w:w="58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8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(1,398)</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(2,323)</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See “Note 9. Fair Value Measurements”.</w:t>
      </w:r>
    </w:p>
    <w:p>
      <w:pPr>
        <w:spacing w:after="0" w:line="99"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both"/>
        <w:spacing w:after="0" w:line="249" w:lineRule="auto"/>
        <w:rPr>
          <w:sz w:val="20"/>
          <w:szCs w:val="20"/>
          <w:color w:val="auto"/>
        </w:rPr>
      </w:pPr>
      <w:r>
        <w:rPr>
          <w:rFonts w:ascii="Arial" w:cs="Arial" w:eastAsia="Arial" w:hAnsi="Arial"/>
          <w:sz w:val="21"/>
          <w:szCs w:val="21"/>
          <w:color w:val="auto"/>
        </w:rPr>
        <w:t xml:space="preserve">markets for identical assets or liabilities. </w:t>
      </w:r>
      <w:r>
        <w:rPr>
          <w:rFonts w:ascii="Arial" w:cs="Arial" w:eastAsia="Arial" w:hAnsi="Arial"/>
          <w:sz w:val="21"/>
          <w:szCs w:val="21"/>
          <w:i w:val="1"/>
          <w:iCs w:val="1"/>
          <w:color w:val="auto"/>
        </w:rPr>
        <w:t>Level</w:t>
      </w:r>
      <w:r>
        <w:rPr>
          <w:rFonts w:ascii="Arial" w:cs="Arial" w:eastAsia="Arial" w:hAnsi="Arial"/>
          <w:sz w:val="21"/>
          <w:szCs w:val="21"/>
          <w:color w:val="auto"/>
        </w:rPr>
        <w:t xml:space="preserve"> 2 inputs are observable inputs other than quoted prices included in </w:t>
      </w:r>
      <w:r>
        <w:rPr>
          <w:rFonts w:ascii="Arial" w:cs="Arial" w:eastAsia="Arial" w:hAnsi="Arial"/>
          <w:sz w:val="21"/>
          <w:szCs w:val="21"/>
          <w:i w:val="1"/>
          <w:iCs w:val="1"/>
          <w:color w:val="auto"/>
        </w:rPr>
        <w:t>Level</w:t>
      </w:r>
      <w:r>
        <w:rPr>
          <w:rFonts w:ascii="Arial" w:cs="Arial" w:eastAsia="Arial" w:hAnsi="Arial"/>
          <w:sz w:val="21"/>
          <w:szCs w:val="21"/>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inputs are unobservable inputs that are supported by little or no market activity and are significant to the fair value of the assets or liabilities.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financial assets and liabilities as of June 30, 2020 and December 31, 2019 that are measured at fair value on a recurring basis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2</w:t>
            </w: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6520" w:type="dxa"/>
            <w:vAlign w:val="bottom"/>
            <w:tcBorders>
              <w:bottom w:val="single" w:sz="8" w:color="auto"/>
            </w:tcBorders>
          </w:tcPr>
          <w:p>
            <w:pPr>
              <w:ind w:left="278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1080" w:type="dxa"/>
            <w:vAlign w:val="bottom"/>
            <w:tcBorders>
              <w:top w:val="single" w:sz="8" w:color="auto"/>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3"/>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4,448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Construction reserve funds</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12,893</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on the Convertible Senior Notes is estimated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41"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June 30, 2020 and December 31, 2019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6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CFF0FC"/>
            </w:tcBorders>
          </w:tcPr>
          <w:p>
            <w:pPr>
              <w:spacing w:after="0"/>
              <w:rPr>
                <w:sz w:val="18"/>
                <w:szCs w:val="18"/>
                <w:color w:val="auto"/>
              </w:rPr>
            </w:pPr>
          </w:p>
        </w:tc>
        <w:tc>
          <w:tcPr>
            <w:tcW w:w="960" w:type="dxa"/>
            <w:vAlign w:val="bottom"/>
            <w:tcBorders>
              <w:top w:val="single" w:sz="8" w:color="auto"/>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860" w:type="dxa"/>
            <w:vAlign w:val="bottom"/>
            <w:tcBorders>
              <w:top w:val="single" w:sz="8" w:color="auto"/>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3"/>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58,050</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58,050</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499,456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472,255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2"/>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87,047</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87,047</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Investments, at cost, in 50% or less owned companies (included in other assets)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i w:val="1"/>
                <w:iCs w:val="1"/>
                <w:color w:val="auto"/>
              </w:rPr>
              <w:t>see below</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380,815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It was not practicable to estimate the fair value of certain of the Company’s investments, at cost, in 50% or less owned companies because of the lack of quoted market prices and the inability to estimate fair value without incurring excessive costs. Considerable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9"/>
          <w:szCs w:val="19"/>
          <w:color w:val="auto"/>
        </w:rPr>
        <w:t>judgment was required in developing certain of the estimates of fair value including the consideration of the recent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other assets and liabilities that were measured at fair value during the six months ended June 30, 2020 and the year ended December 31, 2019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Liftboats</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r>
        <w:trPr>
          <w:trHeight w:val="213"/>
        </w:trPr>
        <w:tc>
          <w:tcPr>
            <w:tcW w:w="6520" w:type="dxa"/>
            <w:vAlign w:val="bottom"/>
          </w:tcPr>
          <w:p>
            <w:pPr>
              <w:ind w:left="260"/>
              <w:spacing w:after="0"/>
              <w:rPr>
                <w:sz w:val="20"/>
                <w:szCs w:val="20"/>
                <w:color w:val="auto"/>
              </w:rPr>
            </w:pPr>
            <w:r>
              <w:rPr>
                <w:rFonts w:ascii="Arial" w:cs="Arial" w:eastAsia="Arial" w:hAnsi="Arial"/>
                <w:sz w:val="16"/>
                <w:szCs w:val="16"/>
                <w:color w:val="auto"/>
              </w:rPr>
              <w:t>Specialty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Arial" w:cs="Arial" w:eastAsia="Arial" w:hAnsi="Arial"/>
                <w:sz w:val="16"/>
                <w:szCs w:val="16"/>
                <w:color w:val="auto"/>
              </w:rPr>
              <w:t>—</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65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Pr>
          <w:p>
            <w:pPr>
              <w:ind w:left="260"/>
              <w:spacing w:after="0"/>
              <w:rPr>
                <w:sz w:val="20"/>
                <w:szCs w:val="20"/>
                <w:color w:val="auto"/>
              </w:rPr>
            </w:pPr>
            <w:r>
              <w:rPr>
                <w:rFonts w:ascii="Arial" w:cs="Arial" w:eastAsia="Arial" w:hAnsi="Arial"/>
                <w:sz w:val="16"/>
                <w:szCs w:val="16"/>
                <w:color w:val="auto"/>
              </w:rPr>
              <w:t>AHTS</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ind w:left="900"/>
              <w:spacing w:after="0"/>
              <w:rPr>
                <w:sz w:val="20"/>
                <w:szCs w:val="20"/>
                <w:color w:val="auto"/>
              </w:rPr>
            </w:pPr>
            <w:r>
              <w:rPr>
                <w:rFonts w:ascii="Arial" w:cs="Arial" w:eastAsia="Arial" w:hAnsi="Arial"/>
                <w:sz w:val="16"/>
                <w:szCs w:val="16"/>
                <w:color w:val="auto"/>
                <w:w w:val="99"/>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520</w:t>
            </w:r>
          </w:p>
        </w:tc>
        <w:tc>
          <w:tcPr>
            <w:tcW w:w="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ind w:left="90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FSVs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auto"/>
        </w:rPr>
        <w:t>Property and equipment</w:t>
      </w:r>
      <w:r>
        <w:rPr>
          <w:rFonts w:ascii="Arial" w:cs="Arial" w:eastAsia="Arial" w:hAnsi="Arial"/>
          <w:sz w:val="21"/>
          <w:szCs w:val="21"/>
          <w:color w:val="auto"/>
        </w:rPr>
        <w:t>. During the three months ended June 30, 2020, the Company recognized impairment charges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$3.3 million on three liftboats and one specialty vessel and during the six months ended June 30, 2020 the Company recognized impairment charges of $12.5 million, associated with liftboat and specialty vessel impairments. The </w:t>
      </w:r>
      <w:r>
        <w:rPr>
          <w:rFonts w:ascii="Arial" w:cs="Arial" w:eastAsia="Arial" w:hAnsi="Arial"/>
          <w:sz w:val="21"/>
          <w:szCs w:val="21"/>
          <w:i w:val="1"/>
          <w:iCs w:val="1"/>
          <w:color w:val="auto"/>
        </w:rPr>
        <w:t>Level 2</w:t>
      </w:r>
      <w:r>
        <w:rPr>
          <w:rFonts w:ascii="Arial" w:cs="Arial" w:eastAsia="Arial" w:hAnsi="Arial"/>
          <w:sz w:val="21"/>
          <w:szCs w:val="21"/>
          <w:color w:val="auto"/>
        </w:rPr>
        <w:t xml:space="preserve"> fair values were determined based on ordinary liquidation value and indicative sales price.</w:t>
      </w:r>
    </w:p>
    <w:p>
      <w:pPr>
        <w:spacing w:after="0" w:line="141"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On March 20, 2020, SEACOR LB Holdings LLC, an indirect wholly-owned subsidiary of SEACOR Marine (“SEACOR LB Holdings”), entered into a membership interest purchase agreement with SEACOR Marine, Montco Offshore, LLC (“Montco”) and Lee Orgeron, the principal of Montco, pursuant to which SEACOR LB Holdings purchased the 28% minority equity interest in Falcon Global Holdings held by Montco in exchange for 900,000 shares of SEACOR Marine common stock issued to Montco as consideration in a private placement. The purchase resulted in the Company owning 100% of Falcon Global Holdings.</w:t>
      </w:r>
    </w:p>
    <w:p>
      <w:pPr>
        <w:spacing w:after="0" w:line="147"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has previously registered 2,174,000 shares of Common Stock (“Common Shares”) for issuance under the SEACOR Marine Holdings Inc. 2017 Equity Incentive Plan (the “2017 Equity Incentive Plan”). The Company’s shareholders approved the SEACOR Marine Holdings Inc. 2020 Equity Incentive Plan (the “2020 Equity Incentive Plan”) at the annual meeting of shareholders held on June 9, 2020 (the “Approval Date”), which authorized the issuance of 2,080,000 Common Shares under the 2020 Equity Incentive Plan. On June 9, 2020 the Company filed a registration statement on Form S-8 with the Securities and Exchange Commission (“SEC”) with respect to the registration of 2,114,821 Common Shares, representing the 2,080,000 Common Shares approved by the Company’s shareholders for issuance under the 2020 Equity Incentive Plan, plus 24,821 Common Shares remaining available for issuance under the 2017 Equity Incentive Plan as of the Approval Date that will be available for issuance under the 2020 Equity Incentive Plan, plus Common Shares subject to awards outstanding under the 2017 Equity Incentive Plan, that pursuant to the terms of the 2017 Equity Incentive Plan and the 2020 Equity Incentive Plan, may be available for future issuance under the 2020 Equity Incentive Plan.</w:t>
      </w:r>
    </w:p>
    <w:p>
      <w:pPr>
        <w:spacing w:after="0" w:line="149"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NONCONTROLLING INTERESTS IN SUBSIDIARIES</w:t>
      </w:r>
    </w:p>
    <w:p>
      <w:pPr>
        <w:spacing w:after="0" w:line="171"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Noncontrolling interests in the Company’s consolidated subsidiaries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1"/>
              </w:rPr>
              <w:t>Noncontrolling</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r>
      <w:tr>
        <w:trPr>
          <w:trHeight w:val="213"/>
        </w:trPr>
        <w:tc>
          <w:tcPr>
            <w:tcW w:w="660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Interests</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2"/>
              </w:rPr>
              <w:t>June 30, 2020</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3"/>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Falcon Global Holdings</w:t>
            </w:r>
          </w:p>
        </w:tc>
        <w:tc>
          <w:tcPr>
            <w:tcW w:w="132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0%</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21,119</w:t>
            </w:r>
          </w:p>
        </w:tc>
        <w:tc>
          <w:tcPr>
            <w:tcW w:w="120" w:type="dxa"/>
            <w:vAlign w:val="bottom"/>
            <w:shd w:val="clear" w:color="auto" w:fill="CFF0FC"/>
          </w:tcPr>
          <w:p>
            <w:pPr>
              <w:spacing w:after="0"/>
              <w:rPr>
                <w:sz w:val="18"/>
                <w:szCs w:val="18"/>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CFF0FC"/>
            </w:tcBorders>
          </w:tcPr>
          <w:p>
            <w:pPr>
              <w:jc w:val="right"/>
              <w:ind w:right="419"/>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FF0FC"/>
            </w:tcBorders>
          </w:tcPr>
          <w:p>
            <w:pPr>
              <w:spacing w:after="0"/>
              <w:rPr>
                <w:sz w:val="18"/>
                <w:szCs w:val="18"/>
                <w:color w:val="auto"/>
              </w:rPr>
            </w:pPr>
          </w:p>
        </w:tc>
      </w:tr>
      <w:tr>
        <w:trPr>
          <w:trHeight w:val="210"/>
        </w:trPr>
        <w:tc>
          <w:tcPr>
            <w:tcW w:w="66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21,432</w:t>
            </w:r>
          </w:p>
        </w:tc>
        <w:tc>
          <w:tcPr>
            <w:tcW w:w="120" w:type="dxa"/>
            <w:vAlign w:val="bottom"/>
            <w:shd w:val="clear" w:color="auto" w:fill="CFF0FC"/>
          </w:tcPr>
          <w:p>
            <w:pPr>
              <w:spacing w:after="0"/>
              <w:rPr>
                <w:sz w:val="18"/>
                <w:szCs w:val="18"/>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80" w:hanging="372"/>
        <w:spacing w:after="0"/>
        <w:tabs>
          <w:tab w:leader="none" w:pos="380" w:val="left"/>
        </w:tabs>
        <w:numPr>
          <w:ilvl w:val="0"/>
          <w:numId w:val="17"/>
        </w:numPr>
        <w:rPr>
          <w:rFonts w:ascii="Arial" w:cs="Arial" w:eastAsia="Arial" w:hAnsi="Arial"/>
          <w:sz w:val="15"/>
          <w:szCs w:val="15"/>
          <w:color w:val="auto"/>
        </w:rPr>
      </w:pPr>
      <w:r>
        <w:rPr>
          <w:rFonts w:ascii="Arial" w:cs="Arial" w:eastAsia="Arial" w:hAnsi="Arial"/>
          <w:sz w:val="14"/>
          <w:szCs w:val="14"/>
          <w:color w:val="auto"/>
        </w:rPr>
        <w:t>Before March 20, 2020, noncontrolling interest was 28%.</w:t>
      </w:r>
    </w:p>
    <w:p>
      <w:pPr>
        <w:spacing w:after="0" w:line="17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auto"/>
        </w:rPr>
        <w:t xml:space="preserve">Falcon Global Holdings. </w:t>
      </w:r>
      <w:r>
        <w:rPr>
          <w:rFonts w:ascii="Arial" w:cs="Arial" w:eastAsia="Arial" w:hAnsi="Arial"/>
          <w:sz w:val="21"/>
          <w:szCs w:val="21"/>
          <w:color w:val="auto"/>
        </w:rPr>
        <w:t>Prior to March 20, 2020, the Company held 72% of the equity interest in Falcon Global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Holdings. On March 20, 2020, the Company completed the acquisition of the 28% minority interest in Falcon Global Holdings, resulting in the Company’s 100% ownership of Falcon Global Holdings. Consideration paid by the Company was 900,000 shares of Common Stock issued in a private placement to the seller of the minority interest, Montco.</w:t>
      </w:r>
    </w:p>
    <w:p>
      <w:pPr>
        <w:spacing w:after="0" w:line="147"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Prior to the acquisition of the remaining noncontrolling interest in Falcon Global Holdings the net loss attributable to Falcon Global was $16.6 million, of which $4.6 million was attributable to noncontrolling interest.</w:t>
      </w:r>
    </w:p>
    <w:p>
      <w:pPr>
        <w:spacing w:after="0" w:line="169"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June 30, 2020, the Company’s unfunded capital commitments were $27.9 million for three PSVs and two CTVs. Of the amount of unfunded capital commitments, $17.2 million is payable during the remainder of 2020 and $10.7 million is payable during 2021. The Company has indefinitely deferred an additional $9.6 million of orders with respect to one FSV that the Company had previously reported unfunded capital commitments.</w:t>
      </w:r>
    </w:p>
    <w:p>
      <w:pPr>
        <w:spacing w:after="0" w:line="14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In 2015, the Brazilian Federal Revenue Office issued a tax-deficiency notice to Seabulk Offshore do Brasil Ltda (“Seabulk Offshore do Brasil”), an indirect wholly-owned subsidiary of SEACOR Marine, with respect to certain profit participation contributions (“PIS”) and social security financing contributions (“COFINS”) requirements alleged to be due from Seabulk Offshore do Brasil (“Deficiency Notice”). In February 2015, Company deposited with the relevant Brazilian court an amount equal to USD $1.2 million and appealed the Deficiency Notice on the basis that such contributions were not applicable in the circumstances of a 70%/30% cost allocation structure. The case was remitted to the second instance and is currently awaiting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The potential range of levies arising from the Deficiency Notice is R$12.8 million - R$17.9 million (USD $2.4 million – USD $3.3 million based on the exchange rate as of June 30, 2020).</w:t>
      </w:r>
    </w:p>
    <w:p>
      <w:pPr>
        <w:spacing w:after="0" w:line="12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As of June 30, 2020, SEACOR Holdings has guaranteed $14.6 million on behalf of the Company for various obligations including performance obligations under sale-leaseback arrangements and invoiced amounts for funding deficits under the Merchant Navy Officers Pension Fund (“MNOPF”). Pursuant to a Distribution Agreement with SEACOR Holdings, SEACOR Holdings charges the Company a fee of 0.5% per annum on outstanding guaranteed amounts which declines as the obligations are settled by the Company.</w:t>
      </w:r>
    </w:p>
    <w:p>
      <w:pPr>
        <w:spacing w:after="0" w:line="14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760" w:hanging="752"/>
        <w:spacing w:after="0"/>
        <w:tabs>
          <w:tab w:leader="none" w:pos="760"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six months ended June 30, 2020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2019</w:t>
            </w:r>
          </w:p>
        </w:tc>
        <w:tc>
          <w:tcPr>
            <w:tcW w:w="1880" w:type="dxa"/>
            <w:vAlign w:val="bottom"/>
          </w:tcPr>
          <w:p>
            <w:pPr>
              <w:jc w:val="right"/>
              <w:spacing w:after="0"/>
              <w:rPr>
                <w:sz w:val="20"/>
                <w:szCs w:val="20"/>
                <w:color w:val="auto"/>
              </w:rPr>
            </w:pPr>
            <w:r>
              <w:rPr>
                <w:rFonts w:ascii="Arial" w:cs="Arial" w:eastAsia="Arial" w:hAnsi="Arial"/>
                <w:sz w:val="16"/>
                <w:szCs w:val="16"/>
                <w:color w:val="auto"/>
              </w:rPr>
              <w:t>303,609</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289,452</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Vested</w:t>
            </w:r>
          </w:p>
        </w:tc>
        <w:tc>
          <w:tcPr>
            <w:tcW w:w="1880" w:type="dxa"/>
            <w:vAlign w:val="bottom"/>
          </w:tcPr>
          <w:p>
            <w:pPr>
              <w:jc w:val="right"/>
              <w:spacing w:after="0"/>
              <w:rPr>
                <w:sz w:val="20"/>
                <w:szCs w:val="20"/>
                <w:color w:val="auto"/>
              </w:rPr>
            </w:pPr>
            <w:r>
              <w:rPr>
                <w:rFonts w:ascii="Arial" w:cs="Arial" w:eastAsia="Arial" w:hAnsi="Arial"/>
                <w:sz w:val="16"/>
                <w:szCs w:val="16"/>
                <w:color w:val="auto"/>
              </w:rPr>
              <w:t>115,185</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8,182</w:t>
            </w:r>
          </w:p>
        </w:tc>
        <w:tc>
          <w:tcPr>
            <w:tcW w:w="100" w:type="dxa"/>
            <w:vAlign w:val="bottom"/>
            <w:shd w:val="clear" w:color="auto" w:fill="CFF0FC"/>
          </w:tcPr>
          <w:p>
            <w:pPr>
              <w:spacing w:after="0"/>
              <w:rPr>
                <w:sz w:val="19"/>
                <w:szCs w:val="19"/>
                <w:color w:val="auto"/>
              </w:rPr>
            </w:pPr>
          </w:p>
        </w:tc>
      </w:tr>
      <w:tr>
        <w:trPr>
          <w:trHeight w:val="247"/>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as of June 30, 2020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469,694</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2019</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913,569</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Granted</w:t>
            </w:r>
          </w:p>
        </w:tc>
        <w:tc>
          <w:tcPr>
            <w:tcW w:w="1880" w:type="dxa"/>
            <w:vAlign w:val="bottom"/>
          </w:tcPr>
          <w:p>
            <w:pPr>
              <w:jc w:val="right"/>
              <w:spacing w:after="0"/>
              <w:rPr>
                <w:sz w:val="20"/>
                <w:szCs w:val="20"/>
                <w:color w:val="auto"/>
              </w:rPr>
            </w:pPr>
            <w:r>
              <w:rPr>
                <w:rFonts w:ascii="Arial" w:cs="Arial" w:eastAsia="Arial" w:hAnsi="Arial"/>
                <w:sz w:val="16"/>
                <w:szCs w:val="16"/>
                <w:color w:val="auto"/>
              </w:rPr>
              <w:t>261,972</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Forfeited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FF0FC"/>
            </w:tcBorders>
          </w:tcPr>
          <w:p>
            <w:pPr>
              <w:spacing w:after="0"/>
              <w:rPr>
                <w:sz w:val="18"/>
                <w:szCs w:val="18"/>
                <w:color w:val="auto"/>
              </w:rPr>
            </w:pPr>
          </w:p>
        </w:tc>
      </w:tr>
      <w:tr>
        <w:trPr>
          <w:trHeight w:val="209"/>
        </w:trPr>
        <w:tc>
          <w:tcPr>
            <w:tcW w:w="9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June 30, 2020</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1,145,541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six months ended June 30, 2020, the Company acquired for treasury 25,743 shares of Common Stock for an aggregate purchase price of $0.2 million from its employees to cover their tax withholding obligations upon the lapsing of restrictions on share awards. These shares were purchased in accordance with the terms of the Company’s 2017 Equity Incentive Plan.</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June 9, 2020, the Company filed a registration statement on Form S-8 with the SEC pursuant to which it registered 2,114,821 Common Shares in connection with the approval by the shareholders of the Company of the 2020 Equity Incentive Plan. Refer to Note 10. Stockholders’ Equity for discussion of the Common Share registration under both the 2017 Equity Incentive Plan and the 2020 Equity Incentive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ind w:left="920" w:hanging="912"/>
        <w:spacing w:after="0"/>
        <w:tabs>
          <w:tab w:leader="none" w:pos="92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2019 Annual Report. Certain reclassifications of prior period information have been made to conform the current period’s reportable segment presentation as a result of the Company’s presentation of Discontinued Operations (see “Note 15. Discontinued Operations”). The following tables summarize the operating results, capital expenditures and assets of the Company’s reportable segments for the periods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Europe</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East</w:t>
            </w:r>
          </w:p>
        </w:tc>
        <w:tc>
          <w:tcPr>
            <w:tcW w:w="120" w:type="dxa"/>
            <w:vAlign w:val="bottom"/>
          </w:tcPr>
          <w:p>
            <w:pPr>
              <w:spacing w:after="0"/>
              <w:rPr>
                <w:sz w:val="17"/>
                <w:szCs w:val="17"/>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North</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Africa)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and Asia</w:t>
            </w:r>
          </w:p>
        </w:tc>
        <w:tc>
          <w:tcPr>
            <w:tcW w:w="12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America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Sea)</w:t>
            </w:r>
          </w:p>
        </w:tc>
        <w:tc>
          <w:tcPr>
            <w:tcW w:w="2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(480)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9,464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11,162</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41,878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5,137</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3,803</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6,340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2,427</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6,025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5,254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2,889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3,921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950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00" w:type="dxa"/>
            <w:vAlign w:val="bottom"/>
          </w:tcPr>
          <w:p>
            <w:pPr>
              <w:spacing w:after="0"/>
              <w:rPr>
                <w:sz w:val="20"/>
                <w:szCs w:val="20"/>
                <w:color w:val="auto"/>
              </w:rPr>
            </w:pPr>
            <w:r>
              <w:rPr>
                <w:rFonts w:ascii="Arial" w:cs="Arial" w:eastAsia="Arial" w:hAnsi="Arial"/>
                <w:sz w:val="16"/>
                <w:szCs w:val="16"/>
                <w:color w:val="auto"/>
              </w:rPr>
              <w:t>Loss on Asset Dispositions,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
        </w:trPr>
        <w:tc>
          <w:tcPr>
            <w:tcW w:w="43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(16,716)</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Europe,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Continuing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Africa)</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America</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2020</w:t>
            </w:r>
          </w:p>
        </w:tc>
        <w:tc>
          <w:tcPr>
            <w:tcW w:w="6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Operating Revenues: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20,726</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26,306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22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20,170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83,621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2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(229)</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9,691</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11,369</w:t>
            </w:r>
          </w:p>
        </w:tc>
        <w:tc>
          <w:tcPr>
            <w:tcW w:w="140" w:type="dxa"/>
            <w:vAlign w:val="bottom"/>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3,970</w:t>
            </w:r>
          </w:p>
        </w:tc>
        <w:tc>
          <w:tcPr>
            <w:tcW w:w="2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10,287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2,879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10,612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5,493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7,711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1,849</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4,649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20"/>
                <w:szCs w:val="20"/>
                <w:color w:val="auto"/>
              </w:rPr>
            </w:pPr>
            <w:r>
              <w:rPr>
                <w:rFonts w:ascii="Arial" w:cs="Arial" w:eastAsia="Arial" w:hAnsi="Arial"/>
                <w:sz w:val="16"/>
                <w:szCs w:val="16"/>
                <w:color w:val="auto"/>
              </w:rPr>
              <w:t>Gain on Asset Dispositions and Impairments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(41,338)</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257,148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203,564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348,610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122,102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1,066,239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(128,016)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(55,113)</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(70,669)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(12,353)</w:t>
            </w: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(56,227)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(322,378)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129,132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148,451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277,941</w:t>
            </w:r>
          </w:p>
        </w:tc>
        <w:tc>
          <w:tcPr>
            <w:tcW w:w="14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109,749</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78,588</w:t>
            </w:r>
          </w:p>
        </w:tc>
        <w:tc>
          <w:tcPr>
            <w:tcW w:w="120" w:type="dxa"/>
            <w:vAlign w:val="bottom"/>
          </w:tcPr>
          <w:p>
            <w:pPr>
              <w:spacing w:after="0"/>
              <w:rPr>
                <w:sz w:val="19"/>
                <w:szCs w:val="19"/>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743,861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0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160,041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305,822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118,022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$109,156 as of June 30, 2020</w:t>
      </w:r>
      <w:r>
        <w:rPr>
          <w:rFonts w:ascii="Arial" w:cs="Arial" w:eastAsia="Arial" w:hAnsi="Arial"/>
          <w:sz w:val="17"/>
          <w:szCs w:val="17"/>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2"/>
              </w:rPr>
              <w:t>United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States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(primarily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Middle</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Gulf of</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10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North</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Mexico)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America</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Sea)</w:t>
            </w:r>
          </w:p>
        </w:tc>
        <w:tc>
          <w:tcPr>
            <w:tcW w:w="1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2019</w:t>
            </w: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6"/>
                <w:szCs w:val="16"/>
                <w:color w:val="auto"/>
              </w:rPr>
              <w:t>Operating Revenues: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1,458</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14,181</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6,283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6,047</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2,601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4,870</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4,429</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1,110</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4,432</w:t>
            </w:r>
          </w:p>
        </w:tc>
        <w:tc>
          <w:tcPr>
            <w:tcW w:w="2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2,942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5,341</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2,759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4,274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1,659</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2,379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6"/>
                <w:szCs w:val="16"/>
                <w:color w:val="auto"/>
              </w:rPr>
              <w:t>Loss on Asset Dispositions, Net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4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(17,640)</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States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Europe,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East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and Asia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8"/>
              </w:rPr>
              <w:t>America</w:t>
            </w:r>
          </w:p>
        </w:tc>
        <w:tc>
          <w:tcPr>
            <w:tcW w:w="10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2"/>
              </w:rPr>
              <w:t>Operations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2019</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Arial" w:cs="Arial" w:eastAsia="Arial" w:hAnsi="Arial"/>
                <w:sz w:val="16"/>
                <w:szCs w:val="16"/>
                <w:color w:val="auto"/>
              </w:rPr>
              <w:t>Operating Revenues: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13,641</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70,536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20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1,098</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6,544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8,414</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4,756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6,374</w:t>
            </w:r>
          </w:p>
        </w:tc>
        <w:tc>
          <w:tcPr>
            <w:tcW w:w="140" w:type="dxa"/>
            <w:vAlign w:val="bottom"/>
          </w:tcPr>
          <w:p>
            <w:pPr>
              <w:spacing w:after="0"/>
              <w:rPr>
                <w:sz w:val="21"/>
                <w:szCs w:val="21"/>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5,853</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921</w:t>
            </w:r>
          </w:p>
        </w:tc>
        <w:tc>
          <w:tcPr>
            <w:tcW w:w="140" w:type="dxa"/>
            <w:vAlign w:val="bottom"/>
          </w:tcPr>
          <w:p>
            <w:pPr>
              <w:spacing w:after="0"/>
              <w:rPr>
                <w:sz w:val="18"/>
                <w:szCs w:val="18"/>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10,839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5,115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8,523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4,437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(38,674)</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2019</w:t>
            </w: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364,501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108,068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117,120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1,099,221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(189,602)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(62,061)</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(74,815)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(49,393)</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(50,010)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(425,881)</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174,899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158,794</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213,862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58,675</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67,110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673,340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200" w:type="dxa"/>
            <w:vAlign w:val="bottom"/>
            <w:shd w:val="clear" w:color="auto" w:fill="CFF0FC"/>
          </w:tcPr>
          <w:p>
            <w:pPr>
              <w:spacing w:after="0" w:line="200"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3"/>
                <w:szCs w:val="23"/>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312,465</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171,084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252,926</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94,457</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954,445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4"/>
          <w:szCs w:val="14"/>
          <w:color w:val="auto"/>
        </w:rPr>
        <w:t>Total assets by region does not include corporate assets of $122,251 as of June 30, 2019.</w:t>
      </w:r>
    </w:p>
    <w:p>
      <w:pPr>
        <w:spacing w:after="0" w:line="20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June 30, 2020, and 2019, the Company’s investments, at equity and advances to 50% or less owned companies in its other 50% or less owned companies were $90.9 million and $112.4 million, respectively. Equity in gains (losses) earnings of 50% or less owned companies for the six months ended June 30, 2020 and 2019 were $1.9 million and ($10.6) million,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ind w:left="920" w:hanging="912"/>
        <w:spacing w:after="0"/>
        <w:tabs>
          <w:tab w:leader="none" w:pos="9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On December 2, 2019, the Company completed the sale of its North Sea standby safety business, which was previously classified as assets held for sale. Following the completion of the sale, the Company has no continuing involvement in this business, which is considered a strategic shift in the Company’s operations. Summarized selected operating result of the Company’s assets, previously classified as held for sale were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3"/>
              </w:rPr>
              <w:t>Three Months Ended June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9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34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2"/>
        </w:trPr>
        <w:tc>
          <w:tcPr>
            <w:tcW w:w="5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Boston Putford Offshore Safety Ltd</w:t>
            </w: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11,503</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22,811</w:t>
            </w:r>
          </w:p>
        </w:tc>
        <w:tc>
          <w:tcPr>
            <w:tcW w:w="120" w:type="dxa"/>
            <w:vAlign w:val="bottom"/>
            <w:shd w:val="clear" w:color="auto" w:fill="CFF0FC"/>
          </w:tcPr>
          <w:p>
            <w:pPr>
              <w:spacing w:after="0"/>
              <w:rPr>
                <w:sz w:val="19"/>
                <w:szCs w:val="19"/>
                <w:color w:val="auto"/>
              </w:rPr>
            </w:pPr>
          </w:p>
        </w:tc>
      </w:tr>
      <w:tr>
        <w:trPr>
          <w:trHeight w:val="213"/>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FF0FC"/>
            </w:tcBorders>
          </w:tcPr>
          <w:p>
            <w:pPr>
              <w:spacing w:after="0"/>
              <w:rPr>
                <w:sz w:val="18"/>
                <w:szCs w:val="18"/>
                <w:color w:val="auto"/>
              </w:rPr>
            </w:pPr>
          </w:p>
        </w:tc>
      </w:tr>
      <w:tr>
        <w:trPr>
          <w:trHeight w:val="213"/>
        </w:trPr>
        <w:tc>
          <w:tcPr>
            <w:tcW w:w="59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22,872</w:t>
            </w:r>
          </w:p>
        </w:tc>
        <w:tc>
          <w:tcPr>
            <w:tcW w:w="120" w:type="dxa"/>
            <w:vAlign w:val="bottom"/>
            <w:shd w:val="clear" w:color="auto" w:fill="CFF0FC"/>
          </w:tcPr>
          <w:p>
            <w:pPr>
              <w:spacing w:after="0"/>
              <w:rPr>
                <w:sz w:val="18"/>
                <w:szCs w:val="18"/>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Costs and Expenses:</w:t>
            </w: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Borders>
              <w:bottom w:val="single" w:sz="8" w:color="auto"/>
            </w:tcBorders>
            <w:shd w:val="clear" w:color="auto" w:fill="CFF0FC"/>
          </w:tcPr>
          <w:p>
            <w:pPr>
              <w:spacing w:after="0"/>
              <w:rPr>
                <w:sz w:val="19"/>
                <w:szCs w:val="19"/>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17,266</w:t>
            </w:r>
          </w:p>
        </w:tc>
        <w:tc>
          <w:tcPr>
            <w:tcW w:w="120" w:type="dxa"/>
            <w:vAlign w:val="bottom"/>
            <w:shd w:val="clear" w:color="auto" w:fill="CFF0FC"/>
          </w:tcPr>
          <w:p>
            <w:pPr>
              <w:spacing w:after="0"/>
              <w:rPr>
                <w:sz w:val="19"/>
                <w:szCs w:val="19"/>
                <w:color w:val="auto"/>
              </w:rPr>
            </w:pPr>
          </w:p>
        </w:tc>
      </w:tr>
      <w:tr>
        <w:trPr>
          <w:trHeight w:val="206"/>
        </w:trPr>
        <w:tc>
          <w:tcPr>
            <w:tcW w:w="590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spacing w:after="0"/>
              <w:rPr>
                <w:sz w:val="17"/>
                <w:szCs w:val="17"/>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3,378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17"/>
                <w:szCs w:val="17"/>
                <w:color w:val="auto"/>
              </w:rPr>
            </w:pPr>
          </w:p>
        </w:tc>
      </w:tr>
      <w:tr>
        <w:trPr>
          <w:trHeight w:val="219"/>
        </w:trPr>
        <w:tc>
          <w:tcPr>
            <w:tcW w:w="5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6"/>
                <w:szCs w:val="16"/>
                <w:color w:val="auto"/>
              </w:rPr>
              <w:t>1,115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2,303</w:t>
            </w:r>
          </w:p>
        </w:tc>
        <w:tc>
          <w:tcPr>
            <w:tcW w:w="12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12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9"/>
                <w:szCs w:val="19"/>
                <w:color w:val="auto"/>
              </w:rPr>
            </w:pPr>
          </w:p>
        </w:tc>
      </w:t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120" w:type="dxa"/>
            <w:vAlign w:val="bottom"/>
            <w:tcBorders>
              <w:bottom w:val="single" w:sz="8" w:color="CFF0FC"/>
            </w:tcBorders>
          </w:tcPr>
          <w:p>
            <w:pPr>
              <w:spacing w:after="0"/>
              <w:rPr>
                <w:sz w:val="18"/>
                <w:szCs w:val="18"/>
                <w:color w:val="auto"/>
              </w:rPr>
            </w:pPr>
          </w:p>
        </w:tc>
      </w:tr>
      <w:tr>
        <w:trPr>
          <w:trHeight w:val="212"/>
        </w:trPr>
        <w:tc>
          <w:tcPr>
            <w:tcW w:w="5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4,511</w:t>
            </w:r>
          </w:p>
        </w:tc>
        <w:tc>
          <w:tcPr>
            <w:tcW w:w="120" w:type="dxa"/>
            <w:vAlign w:val="bottom"/>
            <w:shd w:val="clear" w:color="auto" w:fill="CFF0FC"/>
          </w:tcPr>
          <w:p>
            <w:pPr>
              <w:spacing w:after="0"/>
              <w:rPr>
                <w:sz w:val="18"/>
                <w:szCs w:val="18"/>
                <w:color w:val="auto"/>
              </w:rPr>
            </w:pPr>
          </w:p>
        </w:tc>
      </w:t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 Net</w:t>
            </w: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FF0FC"/>
            </w:tcBorders>
          </w:tcPr>
          <w:p>
            <w:pPr>
              <w:spacing w:after="0"/>
              <w:rPr>
                <w:sz w:val="18"/>
                <w:szCs w:val="18"/>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20" w:type="dxa"/>
            <w:vAlign w:val="bottom"/>
            <w:tcBorders>
              <w:bottom w:val="single" w:sz="8" w:color="auto"/>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1,186</w:t>
            </w:r>
          </w:p>
        </w:tc>
        <w:tc>
          <w:tcPr>
            <w:tcW w:w="120" w:type="dxa"/>
            <w:vAlign w:val="bottom"/>
            <w:shd w:val="clear" w:color="auto" w:fill="CFF0FC"/>
          </w:tcPr>
          <w:p>
            <w:pPr>
              <w:spacing w:after="0"/>
              <w:rPr>
                <w:sz w:val="18"/>
                <w:szCs w:val="18"/>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20" w:type="dxa"/>
            <w:vAlign w:val="bottom"/>
            <w:shd w:val="clear" w:color="auto" w:fill="CFF0FC"/>
          </w:tcPr>
          <w:p>
            <w:pPr>
              <w:spacing w:after="0"/>
              <w:rPr>
                <w:sz w:val="19"/>
                <w:szCs w:val="19"/>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r>
      <w:tr>
        <w:trPr>
          <w:trHeight w:val="213"/>
        </w:trPr>
        <w:tc>
          <w:tcPr>
            <w:tcW w:w="590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2520" w:type="dxa"/>
            <w:vAlign w:val="bottom"/>
            <w:gridSpan w:val="2"/>
          </w:tcPr>
          <w:p>
            <w:pPr>
              <w:jc w:val="right"/>
              <w:ind w:right="1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r>
      <w:tr>
        <w:trPr>
          <w:trHeight w:val="216"/>
        </w:trPr>
        <w:tc>
          <w:tcPr>
            <w:tcW w:w="5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w:t>
            </w:r>
          </w:p>
        </w:tc>
        <w:tc>
          <w:tcPr>
            <w:tcW w:w="12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w:t>
            </w: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right"/>
              <w:ind w:right="14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2"/>
          </w:tcPr>
          <w:p>
            <w:pPr>
              <w:jc w:val="right"/>
              <w:ind w:right="60"/>
              <w:spacing w:after="0"/>
              <w:rPr>
                <w:sz w:val="20"/>
                <w:szCs w:val="20"/>
                <w:color w:val="auto"/>
              </w:rPr>
            </w:pPr>
            <w:r>
              <w:rPr>
                <w:rFonts w:ascii="Arial" w:cs="Arial" w:eastAsia="Arial" w:hAnsi="Arial"/>
                <w:sz w:val="16"/>
                <w:szCs w:val="16"/>
                <w:color w:val="auto"/>
              </w:rPr>
              <w:t>(159)</w:t>
            </w: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6"/>
              </w:rPr>
              <w:t>Operating Loss Before Equity Earnings of 50% or Less Owned Companies, Net of Tax</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1,106</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tcPr>
          <w:p>
            <w:pPr>
              <w:spacing w:after="0"/>
              <w:rPr>
                <w:sz w:val="18"/>
                <w:szCs w:val="18"/>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Before Equity Earnings of 50% or Less Owned Companies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1,102</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w:t>
            </w:r>
          </w:p>
        </w:tc>
        <w:tc>
          <w:tcPr>
            <w:tcW w:w="120" w:type="dxa"/>
            <w:vAlign w:val="bottom"/>
            <w:shd w:val="clear" w:color="auto" w:fill="CFF0FC"/>
          </w:tcPr>
          <w:p>
            <w:pPr>
              <w:spacing w:after="0"/>
              <w:rPr>
                <w:sz w:val="18"/>
                <w:szCs w:val="18"/>
                <w:color w:val="auto"/>
              </w:rPr>
            </w:pPr>
          </w:p>
        </w:tc>
      </w:tr>
      <w:tr>
        <w:trPr>
          <w:trHeight w:val="207"/>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Equity in Earnings of 50% or Less Owned Companies, Net of Tax</w:t>
            </w:r>
          </w:p>
        </w:tc>
        <w:tc>
          <w:tcPr>
            <w:tcW w:w="120" w:type="dxa"/>
            <w:vAlign w:val="bottom"/>
            <w:tcBorders>
              <w:top w:val="single" w:sz="8" w:color="auto"/>
              <w:bottom w:val="single" w:sz="8" w:color="auto"/>
            </w:tcBorders>
          </w:tcPr>
          <w:p>
            <w:pPr>
              <w:spacing w:after="0"/>
              <w:rPr>
                <w:sz w:val="17"/>
                <w:szCs w:val="17"/>
                <w:color w:val="auto"/>
              </w:rPr>
            </w:pP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FF0FC"/>
            </w:tcBorders>
          </w:tcPr>
          <w:p>
            <w:pPr>
              <w:spacing w:after="0"/>
              <w:rPr>
                <w:sz w:val="17"/>
                <w:szCs w:val="17"/>
                <w:color w:val="auto"/>
              </w:rPr>
            </w:pPr>
          </w:p>
        </w:tc>
      </w:tr>
      <w:tr>
        <w:trPr>
          <w:trHeight w:val="20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from Discontinued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FF0FC"/>
          </w:tcPr>
          <w:p>
            <w:pPr>
              <w:spacing w:after="0"/>
              <w:rPr>
                <w:sz w:val="18"/>
                <w:szCs w:val="18"/>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left="1500" w:hanging="1484"/>
        <w:spacing w:after="0" w:line="257" w:lineRule="auto"/>
        <w:tabs>
          <w:tab w:leader="none" w:pos="14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2"/>
          <w:szCs w:val="22"/>
          <w:b w:val="1"/>
          <w:bCs w:val="1"/>
          <w:color w:val="auto"/>
        </w:rPr>
        <w:t>MANAGEMENT’S DISCUSSION AND ANALYSIS OF FINANCIAL CONDITION AND RESULTS OF OPERATIONS</w:t>
      </w:r>
    </w:p>
    <w:p>
      <w:pPr>
        <w:spacing w:after="0" w:line="12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2019 Annual Report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The following analysis of our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2019 Annual Report.</w:t>
      </w:r>
    </w:p>
    <w:p>
      <w:pPr>
        <w:spacing w:after="0" w:line="9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Company provides global marine and support transportation services to offshore oil, natural gas exploration and windfarm development and production facilities worldwide. As of June 30, 2020, the Company and its joint ventures operated a diverse fleet of 146 support and specialty vessels, of which 103 were owned or leased-in, 40 were joint ventured and three were managed on behalf of unaffiliated third 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5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Company’s fleet features offshore support and specialty vessels that deliver cargo and personnel to offshore installations; handle anchors and mooring equipment required to tether rigs to the seabed; tow rigs and assist in placing them on location and moving them between regions; provide construction, well workover and decommissioning support; carry and launch equipment used underwater in drilling and well installation, maintenance and repair; and provide windfarm installation, maintenance and repair support. Additionally, the Company’s vessels provide accommodations for technicians and specialists, safety support and emergency response services. The Company’s fleet also features CTVs used primarily in windfarm operations.</w:t>
      </w:r>
    </w:p>
    <w:p>
      <w:pPr>
        <w:spacing w:after="0" w:line="11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 operates its fleet in five principal geographic regions: the U.S., primarily in the Gulf of Mexico; Africa, primarily in West Africa; the Middle East and Asia; Latin America, primarily in Mexico, Brazil and Guyana; and Europe, primarily in the North Sea. The Company’s vessels are highly mobile and regularly and routinely move between countries within a geographic region. In addition, the Company’s vessels are redeployed among the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ind w:firstLine="749"/>
        <w:spacing w:after="0" w:line="249" w:lineRule="auto"/>
        <w:rPr>
          <w:sz w:val="20"/>
          <w:szCs w:val="20"/>
          <w:color w:val="auto"/>
        </w:rPr>
      </w:pPr>
      <w:r>
        <w:rPr>
          <w:rFonts w:ascii="Arial" w:cs="Arial" w:eastAsia="Arial" w:hAnsi="Arial"/>
          <w:sz w:val="21"/>
          <w:szCs w:val="21"/>
          <w:color w:val="auto"/>
        </w:rPr>
        <w:t>Certain macro drivers somewhat independent of oil and natural gas prices also have the ability to continue to support the Company’s business, including: (i) underspending by oil and gas producers during the current industry downturn leading to pent up demand for maintenance and growth capital expenditures; and (ii) improved extraction technologies. While alternative forms of energy may gain a foothold in the long term, for the foreseeable future, the Company believes demand for gasoline and oil will be sustained, as well as demand for electricity from natural gas.</w:t>
      </w:r>
    </w:p>
    <w:p>
      <w:pPr>
        <w:spacing w:after="0" w:line="15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Low oil prices and the subsequent decline in offshore exploration have forced many operators in the industry to restructure or liquidate assets. The Company continues to closely monitor the delivery of newly built offshore support vessels to the industry-wide fleet, which is creating situations of oversupply,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5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June 30, 2020, 18 of the Company’s 103 owned and leased-in, in-service vessels were cold-stacked worldwide, and an additional two owned vessels and one leased-in vessel were retired and removed from service.</w:t>
      </w:r>
    </w:p>
    <w:p>
      <w:pPr>
        <w:spacing w:after="0" w:line="11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The Company’s business is, to a large extent, tied to the level of offshore exploration, development and production activity by oil and gas companies around the world. 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failure to agree on terms to maintain production limits and the ensuing influx of additional oil to an already oversupplied market. These recent declines in oil and natural gas prices come on top of prices that have, for the last few years, been below historic averages. On January 2, 2020, West Texas Intermediate (“WTI”) crude oil prices closed at a price of $61.18 per barrel. On April 20, 2020, the New York Mercantile Exchange (“NYMEX”) WTI oil futures price for May 2020 went “negative” to -$37.63 per barrel. While OPEC+ members have implemented production cuts, the cuts have failed to return oil and natural gas prices to levels seen prior to the COVID-19 pandemic. On June 30, 2020, the last trading date of the second quarter of 2020, WTI crude oil prices closed at a price of $39.27 per barrel, well below historic averages.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38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decrease in oil and natural gas prices has led to a decrease in demand for our products and services as oil and gas companies delay or otherwise reduce activity levels of offshore oil and gas projects, and to the extent that oil and gas companies decide to abandon or further delay these projects due to the lower demand for oil and natural gas and resulting lower prices, it could have a material adverse effect on our business and financial condition.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2" w:name="page33"/>
    <w:bookmarkEnd w:id="32"/>
    <w:p>
      <w:pPr>
        <w:jc w:val="both"/>
        <w:ind w:firstLine="749"/>
        <w:spacing w:after="0" w:line="274" w:lineRule="auto"/>
        <w:rPr>
          <w:sz w:val="20"/>
          <w:szCs w:val="20"/>
          <w:color w:val="auto"/>
        </w:rPr>
      </w:pPr>
      <w:r>
        <w:rPr>
          <w:rFonts w:ascii="Arial" w:cs="Arial" w:eastAsia="Arial" w:hAnsi="Arial"/>
          <w:sz w:val="19"/>
          <w:szCs w:val="19"/>
          <w:color w:val="auto"/>
        </w:rPr>
        <w:t>There are a number of steps the Company has and can take to mitigate any adverse effects to its business stemming from the COVID-19 pandemic and the resulting depressed oil and natural gas price environment, including sales of assets, workforce reductions and other cost reduction measures. In addition, as a result of the changes in the current U.S. tax law included in the CARES Act, we expect to receive a net amount of cash tax refunds of approximately $28.2 million, with approximately $23.7 million expected to be received within the next nine months, subject to filing to the necessary tax refund claims and the refund schedule of the Internal Revenue Service. These tax refunds are subject to the terms of a Tax Refund Agreement with SEACOR Holdings. The Tax Refund Agreement does not restrict the use of approximately $16.0 million of the refund, with the remaining approximately $12.2 million required to be deposited into an account to be used solely to satisfy certain of the Company’s obligations that remain guaranteed by SEACOR Holdings. See “—Recent Developments—Tax Refund Agreement” below.</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17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b w:val="1"/>
          <w:bCs w:val="1"/>
          <w:i w:val="1"/>
          <w:iCs w:val="1"/>
          <w:u w:val="single" w:color="auto"/>
          <w:color w:val="auto"/>
        </w:rPr>
        <w:t>SEACOSCO Acquisition.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June 30, 2020, the Company completed the acquisition of the SEACOSCO Interests. As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result of the completion of the acquisition, the Company owns 100% of the membership interests in SEACOR Offshore Delta LLC, formerly known as SEACOSCO Offshore LLC (“SEACOR Offshore Delta”). The price paid by SEACOR Offshore Asia, a wholly-owned subsidiary of SEACOR Marine, for the membership interests was $28.2 million (the “SEACOSCO Purchase Price”), $8.4 million of which was paid to the Sellers at the closing of the transaction, with annual installment payments of $1.0 million, $2.5 million and $2.5 million payable in the first, second and third year after the signing date (the “SEACOSCO SPA Signing Date”), respectively, and the remaining $13.7 million is due four years after such signing date. The deferred portion of the SEACOSCO Purchase Price accrues interest at a fixed rate of 1.5%, 7.0%, 7.5% and 8.0% for the first through fourth years after the SEACOSCO SPA Signing Date, respectively. The SEACOSCO Sellers obtained a second lien mortgage on the SEACOR Delta PSVs to secure the payment of the deferred portion of the SEACOSCO Purchase Price, and SEACOR Marine provided a limited deficiency guarantee solely with respect to the short-fall in vessel collateral value, if any, in the event the SEACOSCO Sellers exercise their remedies under the mortgages. The SEACOR Delta PSVs were initially acquired by the SEACOR Delta SPVs pursuant to the Guangdong DPAs under which an aggregate of approximately $100.8 million was outstanding as of June 30, 2020. The Guangdong DPAs provide for amortization of the purchase price for each vessel over a period of 10 years from delivery at a floating interest rate of three-month LIBOR plus 4.0%. SEACOR Offshore Delta has taken delivery of seven of the eight SEACOR Delta PSVs, each with a 2018 or 2019 year of build, and expects to take delivery of the final SEACOR Delta PSV in 2020. The payment obligations of the SEACOR Delta SPVs under the Guangdong DPAs for each vessel is secured by a first lien mortgage on the applicable vessel and a pledge of the SEACOR Delta SPV’s equity, and SEACOR Marine provided a limited deficiency guarantee solely with respect to the short-fall in vessel collateral value, if any, in the event the COSCO (Guangdong) Shipyard exercises its remedies under the mortgages.</w:t>
      </w:r>
    </w:p>
    <w:p>
      <w:pPr>
        <w:spacing w:after="0" w:line="36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u w:val="single" w:color="auto"/>
          <w:color w:val="auto"/>
        </w:rPr>
        <w:t>Tax Refund Agreement</w:t>
      </w:r>
      <w:r>
        <w:rPr>
          <w:rFonts w:ascii="Arial" w:cs="Arial" w:eastAsia="Arial" w:hAnsi="Arial"/>
          <w:sz w:val="19"/>
          <w:szCs w:val="19"/>
          <w:color w:val="auto"/>
        </w:rPr>
        <w:t>. On June 26, 2020, the Company entered into the Tax Refund Agreement with SEACOR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Holdings. The Tax Refund Agreement will enable the Company to utilize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expects to receive a net amount of cash tax refunds of approximately $28.2 million, with approximately $23.7 million expected to be received within the next nine months, subject to the filing of the necessary tax refund claims and the refund schedule of the Internal Revenue Service. Approximately $10.4 million of the restricted cash relates to scheduled monthly payments toward vessel operating leases, most of which will mature on or prior to December 2021.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3" w:name="page34"/>
    <w:bookmarkEnd w:id="33"/>
    <w:p>
      <w:pPr>
        <w:jc w:val="both"/>
        <w:ind w:firstLine="749"/>
        <w:spacing w:after="0" w:line="234" w:lineRule="auto"/>
        <w:rPr>
          <w:sz w:val="20"/>
          <w:szCs w:val="20"/>
          <w:color w:val="auto"/>
        </w:rPr>
      </w:pPr>
      <w:r>
        <w:rPr>
          <w:rFonts w:ascii="Arial" w:cs="Arial" w:eastAsia="Arial" w:hAnsi="Arial"/>
          <w:sz w:val="22"/>
          <w:szCs w:val="22"/>
          <w:color w:val="auto"/>
        </w:rPr>
        <w:t>SEACOR Holdings will retain certain of the funds to facilitate tax savings realized by SEACOR Holdings of no less than 35% of the amount of its own 2019 NOLs. The $28.2 million of the refunds the Company expects to receive is net of these holdbacks and of a $3.0 million transaction fee paid to SEACOR Holdings concurrently with the signing of the agreement as consideration for its cooperation in connection with the filing of the applicable tax refund returns. The Tax Refund Agreement does not restrict the use of approximately $16.0 million of the refund, with the remaining approximately $12.2 million required to be deposited into an account to be used solely to satisfy certain of the Company’s obligations that remain guaranteed by SEACOR Holdings. These obligations primarily relate to vessel operating leases, an office lease and certain U.K. pension liabilities.</w:t>
      </w:r>
    </w:p>
    <w:p>
      <w:pPr>
        <w:spacing w:after="0" w:line="14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u w:val="single" w:color="auto"/>
          <w:color w:val="auto"/>
        </w:rPr>
        <w:t>Amendment to SEACOR Marine Foreign Holdings Credit Facility.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June 29, 2020, SEACOR Marine, SMFH,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certain vessel-owning subsidiaries of SEACOR Marine, entered into the SMFH Credit Facility Amendment to that certain SMFH Credit Facility. The SMFH Credit Facility Amendment provides for, among other things, (i) the modification of certain financial maintenance and restrictive covenants contained in the SMFH Credit Facility or the guaranty provided by SEACOR Marine with respect thereto, including with respect to EBITDA coverage ratios, mandatory prepayment events, and the exclusion of certain indebtedness associated with the acquisition by SEACOR Marine, through an indirect wholly-owned subsidiary, of the SEACOSCO Interests, and (ii) the placement of mortgages on two additional vessels owned by vessel-owning subsidiaries of SEACOR Marine as security for the indebtedness under the SMFH Credit Facility.</w:t>
      </w:r>
    </w:p>
    <w:p>
      <w:pPr>
        <w:spacing w:after="0" w:line="130"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b w:val="1"/>
          <w:bCs w:val="1"/>
          <w:i w:val="1"/>
          <w:iCs w:val="1"/>
          <w:u w:val="single" w:color="auto"/>
          <w:color w:val="auto"/>
        </w:rPr>
        <w:t>Amendment of Falcon Global Credit Agreement</w:t>
      </w:r>
      <w:r>
        <w:rPr>
          <w:rFonts w:ascii="Arial" w:cs="Arial" w:eastAsia="Arial" w:hAnsi="Arial"/>
          <w:sz w:val="19"/>
          <w:szCs w:val="19"/>
          <w:color w:val="auto"/>
        </w:rPr>
        <w:t>. On February 7, 2020, SEACOR Marine, FGUSA, and certain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subsidiaries of FGUSA, entered into an FGUSA Omnibus Amendment to that certain (i) FGUSA Credit Facility and (ii) FGUSA Guaranty. The FGUSA Omnibus Amendment provides for, among other things (i) the extension from March 2020 to March 2021 of the commencement of monthly repayment of the term loan, with payments being the lesser of (a) $0.8 million per month and</w:t>
      </w:r>
    </w:p>
    <w:p>
      <w:pPr>
        <w:spacing w:after="0" w:line="3" w:lineRule="exact"/>
        <w:rPr>
          <w:sz w:val="20"/>
          <w:szCs w:val="20"/>
          <w:color w:val="auto"/>
        </w:rPr>
      </w:pPr>
    </w:p>
    <w:p>
      <w:pPr>
        <w:ind w:right="20" w:firstLine="8"/>
        <w:spacing w:after="0" w:line="236" w:lineRule="auto"/>
        <w:tabs>
          <w:tab w:leader="none" w:pos="317"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amount outstanding under the term loan and (ii) the extension of the term of the FGUSA Guaranty for an additional one year from February 8, 2020 to February 8, 2021.</w:t>
      </w:r>
    </w:p>
    <w:p>
      <w:pPr>
        <w:spacing w:after="0" w:line="14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April 29, 2020, FGUSA and certain subsidiaries of FGUSA, entered into the FGUSA Sixth Consent and Agreement, which provides that, among other things, (i) the deadline for delivery of the FGUSA 2019 Audited Financial Statements is extended from April 29, 2020 to May 31, 2020, (ii) the FGUSA 2019 Audited Financial Statements are not required to be without a “going concern” or like qualification, commentary or exception, and (iii) the deadline for delivery of certain physical vessel appraisals is extended to December 31, 2020.</w:t>
      </w:r>
    </w:p>
    <w:p>
      <w:pPr>
        <w:spacing w:after="0" w:line="14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u w:val="single" w:color="auto"/>
          <w:color w:val="auto"/>
        </w:rPr>
        <w:t>Sale of North Sea Standby Safety Fleet</w:t>
      </w:r>
      <w:r>
        <w:rPr>
          <w:rFonts w:ascii="Arial" w:cs="Arial" w:eastAsia="Arial" w:hAnsi="Arial"/>
          <w:sz w:val="22"/>
          <w:szCs w:val="22"/>
          <w:color w:val="auto"/>
        </w:rPr>
        <w:t>. On December 2, 2019, SEACOR Capital (UK) Limited, an indirect wholly-owned subsidiary of SEACOR Marine, completed the sale of its standby safety fleet business, which we refer to as the emergency response and rescue vessel (“ERRV”) fleet, for approximately $27.4 million. Unless the context indicates otherwise, all of the results presented in this Quarterly Report on Form 10-Q exclude the ERRV fleet operations which are classified as discontinued operations.</w:t>
      </w:r>
    </w:p>
    <w:p>
      <w:pPr>
        <w:spacing w:after="0" w:line="160"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b w:val="1"/>
          <w:bCs w:val="1"/>
          <w:i w:val="1"/>
          <w:iCs w:val="1"/>
          <w:u w:val="single" w:color="auto"/>
          <w:color w:val="auto"/>
        </w:rPr>
        <w:t>Costs and Restructuring Initiatives</w:t>
      </w:r>
      <w:r>
        <w:rPr>
          <w:rFonts w:ascii="Arial" w:cs="Arial" w:eastAsia="Arial" w:hAnsi="Arial"/>
          <w:sz w:val="21"/>
          <w:szCs w:val="21"/>
          <w:color w:val="auto"/>
        </w:rPr>
        <w:t>. During the third quarter of 2019, the Company initiated certain cost reduction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initiatives to better align its operating expenses with the current state of its business and the offshore marine industry, including a reduction of workforce, reorganization of the management structure, closure and/or consolidation of certain facilities and streamlining of operations. The Company expects these initiatives, which will impact all of its reportable segments, to be completed by the third quarter of 2020 and is targeting annualized recurring savings of at least $8.0 million once completed. For the six months ended June 30, 2020, the Company incurred one-time restructuring charges totaling $0.9 million related to these restructuring activities. Management continues to focus on optimizing the cost structure and regional footprint of the business to help maintain the Company’s competitiveness in the industry, improve its operating leverage and position itself to take advantage of market opportunities.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sections below provide an analysis of the Company’s results of operations for the six months (“Current Year Quarter”) ended June 30, 2020 compared with the six months (“Prior Year Quarter”) ended June 30, 2019. For the periods indicated, the Company’s consolidated results of operations were as follows (in thousands, except statistics):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w w:val="96"/>
              </w:rPr>
              <w:t>Average Rates Per Day Worked (excluding crew transfer)</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11,018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10,387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11,088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10,098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Fleet Utilization (excluding crew transfer)</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w:t>
            </w: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w:t>
            </w: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64%</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Fleet Available Days (excluding crew transfer)</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5,167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6,491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10,377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12,986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Operating Revenues: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39,807</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47,270</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79,097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88,089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1,389</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1,447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2,532</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4,153</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7,101</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41,878</w:t>
            </w:r>
          </w:p>
        </w:tc>
        <w:tc>
          <w:tcPr>
            <w:tcW w:w="2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52,812</w:t>
            </w:r>
          </w:p>
        </w:tc>
        <w:tc>
          <w:tcPr>
            <w:tcW w:w="24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83,621</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97,722</w:t>
            </w:r>
          </w:p>
        </w:tc>
        <w:tc>
          <w:tcPr>
            <w:tcW w:w="26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Costs and Expenses:</w:t>
            </w: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13,378</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17,914</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27,084</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34,537</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422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4,311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7,607</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9,115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15,191</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22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1,589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1,763</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2,528</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3,177</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4220" w:type="dxa"/>
            <w:vAlign w:val="bottom"/>
          </w:tcPr>
          <w:p>
            <w:pPr>
              <w:ind w:left="50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2,887</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3,513</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7,056</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57%</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67%</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23,913</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35,370</w:t>
            </w:r>
          </w:p>
        </w:tc>
        <w:tc>
          <w:tcPr>
            <w:tcW w:w="240" w:type="dxa"/>
            <w:vAlign w:val="bottom"/>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48,533</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70,536</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14,560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10,524</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25,325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21,336</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42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15,313</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16,412</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30,314</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32,509</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4220" w:type="dxa"/>
            <w:vAlign w:val="bottom"/>
          </w:tcPr>
          <w:p>
            <w:pPr>
              <w:ind w:left="260"/>
              <w:spacing w:after="0"/>
              <w:rPr>
                <w:sz w:val="20"/>
                <w:szCs w:val="20"/>
                <w:color w:val="auto"/>
              </w:rPr>
            </w:pPr>
            <w:r>
              <w:rPr>
                <w:rFonts w:ascii="Arial" w:cs="Arial" w:eastAsia="Arial" w:hAnsi="Arial"/>
                <w:sz w:val="16"/>
                <w:szCs w:val="16"/>
                <w:color w:val="auto"/>
              </w:rPr>
              <w:t>Lease expense - operating</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4,298</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4,762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8,435</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132%</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126%</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55,141</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66,604</w:t>
            </w:r>
          </w:p>
        </w:tc>
        <w:tc>
          <w:tcPr>
            <w:tcW w:w="240" w:type="dxa"/>
            <w:vAlign w:val="bottom"/>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108,934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131%</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132,816</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Loss on Asset Dispositions and Impairments, Net</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(8%)</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-7%</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(3,453)</w:t>
            </w:r>
          </w:p>
        </w:tc>
        <w:tc>
          <w:tcPr>
            <w:tcW w:w="6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(3,848)</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(16,025)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(3,580)</w:t>
            </w: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(40%)</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(16,716)</w:t>
            </w: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(17,640)</w:t>
            </w: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(41,338)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(38,674)</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Other Expense, Net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(6,561)</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(9,772)</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(8,360)</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(17,366)</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8"/>
              </w:rPr>
              <w:t>Loss Before from Continuing Operations Before Income Tax</w:t>
            </w: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Benefit and Equity in Earnings of 50% or Less Owned</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(23,277)</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(27,412)</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(52%)</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(49,698)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(56,040)</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Income Tax Benefit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(15,081)</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(3,052)</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(21,749)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(6,883)</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Loss from Continuing Operations Before Equity in Earnings</w:t>
            </w: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of 50% or Less Owned Companies</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(8,196)</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(24,360)</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(27,949)</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(49,157)</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w w:val="98"/>
              </w:rPr>
              <w:t>Equity in Gains (Losses) of 50% or Less Owned Companies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2,130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(7,078)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(10,554)</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(60%)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(6,066)</w:t>
            </w: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(31,438)</w:t>
            </w: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(26,058)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(59,711)</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3"/>
        </w:trPr>
        <w:tc>
          <w:tcPr>
            <w:tcW w:w="4220" w:type="dxa"/>
            <w:vAlign w:val="bottom"/>
          </w:tcPr>
          <w:p>
            <w:pPr>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1,174</w:t>
            </w:r>
          </w:p>
        </w:tc>
        <w:tc>
          <w:tcPr>
            <w:tcW w:w="2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1,174</w:t>
            </w:r>
          </w:p>
        </w:tc>
        <w:tc>
          <w:tcPr>
            <w:tcW w:w="2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(57%)</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(6,066)</w:t>
            </w: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(30,264)</w:t>
            </w: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(26,058)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(58,537)</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6"/>
        </w:trPr>
        <w:tc>
          <w:tcPr>
            <w:tcW w:w="4220" w:type="dxa"/>
            <w:vAlign w:val="bottom"/>
          </w:tcPr>
          <w:p>
            <w:pPr>
              <w:spacing w:after="0"/>
              <w:rPr>
                <w:sz w:val="20"/>
                <w:szCs w:val="20"/>
                <w:color w:val="auto"/>
              </w:rPr>
            </w:pPr>
            <w:r>
              <w:rPr>
                <w:rFonts w:ascii="Arial" w:cs="Arial" w:eastAsia="Arial" w:hAnsi="Arial"/>
                <w:sz w:val="16"/>
                <w:szCs w:val="16"/>
                <w:color w:val="auto"/>
              </w:rPr>
              <w:t>Net Gain (Loss) attributable to Noncontrolling Interests in</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Arial" w:cs="Arial" w:eastAsia="Arial" w:hAnsi="Arial"/>
                <w:sz w:val="16"/>
                <w:szCs w:val="16"/>
                <w:color w:val="auto"/>
              </w:rPr>
              <w:t>Subsidiaries</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(1,875)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(4,040)</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(4,599)</w:t>
            </w:r>
          </w:p>
        </w:tc>
        <w:tc>
          <w:tcPr>
            <w:tcW w:w="56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attributable to SEACOR Marine Holdings Inc.</w:t>
            </w: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(6,073)</w:t>
            </w:r>
          </w:p>
        </w:tc>
        <w:tc>
          <w:tcPr>
            <w:tcW w:w="680" w:type="dxa"/>
            <w:vAlign w:val="bottom"/>
            <w:tcBorders>
              <w:right w:val="single" w:sz="8" w:color="CFF0FC"/>
            </w:tcBorders>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(28,389)</w:t>
            </w:r>
          </w:p>
        </w:tc>
        <w:tc>
          <w:tcPr>
            <w:tcW w:w="6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(22,018)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(53,938)</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Direct Vessel Profit. </w:t>
      </w:r>
      <w:r>
        <w:rPr>
          <w:rFonts w:ascii="Arial" w:cs="Arial" w:eastAsia="Arial" w:hAnsi="Arial"/>
          <w:sz w:val="21"/>
          <w:szCs w:val="21"/>
          <w:color w:val="auto"/>
        </w:rPr>
        <w:t>Direct vessel profit (defined as operating revenues less operating expenses excluding leased-in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5" w:name="page36"/>
    <w:bookmarkEnd w:id="35"/>
    <w:p>
      <w:pPr>
        <w:jc w:val="both"/>
        <w:ind w:firstLine="749"/>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Latin</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Continuing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America</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10,529</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39,807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9,464</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14,119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4,419</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11,162</w:t>
            </w:r>
          </w:p>
        </w:tc>
        <w:tc>
          <w:tcPr>
            <w:tcW w:w="26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41,878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3,376</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5,661</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7,779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5,137</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23,913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(630)</w:t>
            </w: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3,803</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6,340</w:t>
            </w:r>
          </w:p>
        </w:tc>
        <w:tc>
          <w:tcPr>
            <w:tcW w:w="20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2,427</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6,025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741</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14,560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5,254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2,889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3,921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950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31,228</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(16,716)</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Latin</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Continuing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America</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2020</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19,294</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9,952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6,920</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21,039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25,372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19,186</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79,097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1,447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8,455</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20,726</w:t>
            </w:r>
          </w:p>
        </w:tc>
        <w:tc>
          <w:tcPr>
            <w:tcW w:w="2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26,306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7,964</w:t>
            </w: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20,170</w:t>
            </w:r>
          </w:p>
        </w:tc>
        <w:tc>
          <w:tcPr>
            <w:tcW w:w="26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83,621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5,241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6,433</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27,084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(114)</w:t>
            </w:r>
          </w:p>
        </w:tc>
        <w:tc>
          <w:tcPr>
            <w:tcW w:w="140" w:type="dxa"/>
            <w:vAlign w:val="bottom"/>
            <w:shd w:val="clear" w:color="auto" w:fill="CFF0FC"/>
          </w:tcPr>
          <w:p>
            <w:pPr>
              <w:spacing w:after="0"/>
              <w:rPr>
                <w:sz w:val="19"/>
                <w:szCs w:val="19"/>
                <w:color w:val="auto"/>
              </w:rPr>
            </w:pPr>
          </w:p>
        </w:tc>
        <w:tc>
          <w:tcPr>
            <w:tcW w:w="10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1,136</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11,035</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14,937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9,883</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48,533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4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(229)</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9,691</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11,369</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3,970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10,287</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2,879</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1,543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10,612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5,493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7,711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1,849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4,649</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60,401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(16,025)</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(41,338)</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257,148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203,564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348,610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122,102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134,815</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1,066,239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(128,016)</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(55,113)</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(70,669)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(12,353)</w:t>
            </w:r>
          </w:p>
        </w:tc>
        <w:tc>
          <w:tcPr>
            <w:tcW w:w="1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(56,227)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(322,378)</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129,132</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148,451</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277,941</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109,749</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78,588</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743,861</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40" w:type="dxa"/>
            <w:vAlign w:val="bottom"/>
            <w:shd w:val="clear" w:color="auto" w:fill="CFF0FC"/>
          </w:tcPr>
          <w:p>
            <w:pPr>
              <w:spacing w:after="0" w:line="200" w:lineRule="exact"/>
              <w:rPr>
                <w:sz w:val="20"/>
                <w:szCs w:val="20"/>
                <w:color w:val="auto"/>
              </w:rPr>
            </w:pPr>
            <w:r>
              <w:rPr>
                <w:rFonts w:ascii="Arial" w:cs="Arial" w:eastAsia="Arial" w:hAnsi="Arial"/>
                <w:sz w:val="14"/>
                <w:szCs w:val="14"/>
                <w:color w:val="auto"/>
              </w:rPr>
              <w:t xml:space="preserve">Total Assets </w:t>
            </w:r>
            <w:r>
              <w:rPr>
                <w:rFonts w:ascii="Arial" w:cs="Arial" w:eastAsia="Arial" w:hAnsi="Arial"/>
                <w:sz w:val="23"/>
                <w:szCs w:val="23"/>
                <w:color w:val="auto"/>
                <w:vertAlign w:val="superscript"/>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172,575</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160,041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305,822</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186,486</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118,022</w:t>
            </w: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942,946</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$109,156 as of June 30, 2020</w:t>
      </w:r>
      <w:r>
        <w:rPr>
          <w:rFonts w:ascii="Arial" w:cs="Arial" w:eastAsia="Arial" w:hAnsi="Arial"/>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Latin</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Continuing</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America</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June 30, 2019</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2,972</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3,530</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9,021</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47,270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1,458</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4,015</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17,914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2,629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939</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6,283</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9,095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6,047</w:t>
            </w: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2,601</w:t>
            </w:r>
          </w:p>
        </w:tc>
        <w:tc>
          <w:tcPr>
            <w:tcW w:w="20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4,870</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4,429</w:t>
            </w:r>
          </w:p>
        </w:tc>
        <w:tc>
          <w:tcPr>
            <w:tcW w:w="200" w:type="dxa"/>
            <w:vAlign w:val="bottom"/>
          </w:tcPr>
          <w:p>
            <w:pPr>
              <w:spacing w:after="0"/>
              <w:rPr>
                <w:sz w:val="21"/>
                <w:szCs w:val="2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1,110</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4,432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17,442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2,942</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5,341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2,759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4,274</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1,659</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2,379</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31,234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(3,848)</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(17,640)</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United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States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(primarily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Europe,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Gulf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West</w:t>
            </w:r>
          </w:p>
        </w:tc>
        <w:tc>
          <w:tcPr>
            <w:tcW w:w="1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Latin</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Continuing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Mexico)</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Africa)</w:t>
            </w:r>
          </w:p>
        </w:tc>
        <w:tc>
          <w:tcPr>
            <w:tcW w:w="1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America</w:t>
            </w: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Operations</w:t>
            </w:r>
          </w:p>
        </w:tc>
        <w:tc>
          <w:tcPr>
            <w:tcW w:w="18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Six Months Ended June 30, 2019</w:t>
            </w: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12,472</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6,833</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19,906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spacing w:after="0"/>
              <w:rPr>
                <w:sz w:val="20"/>
                <w:szCs w:val="20"/>
                <w:color w:val="auto"/>
              </w:rPr>
            </w:pPr>
            <w:r>
              <w:rPr>
                <w:rFonts w:ascii="Arial" w:cs="Arial" w:eastAsia="Arial" w:hAnsi="Arial"/>
                <w:sz w:val="16"/>
                <w:szCs w:val="16"/>
                <w:color w:val="auto"/>
              </w:rPr>
              <w:t>Operating Revenues: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20,633</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25,674</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13,641</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88,089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23,318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16,689</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97,722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6,458</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5,293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14,745</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2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10,315</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70,536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1,098</w:t>
            </w:r>
          </w:p>
        </w:tc>
        <w:tc>
          <w:tcPr>
            <w:tcW w:w="2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6,544</w:t>
            </w:r>
          </w:p>
        </w:tc>
        <w:tc>
          <w:tcPr>
            <w:tcW w:w="2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8,414</w:t>
            </w:r>
          </w:p>
        </w:tc>
        <w:tc>
          <w:tcPr>
            <w:tcW w:w="2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4,756</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6,374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27,186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5,853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1,572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21,336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10,839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5,115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8,523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3,595</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4,437</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62,280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(38,674)</w:t>
            </w: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2019</w:t>
            </w: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364,501</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220,855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288,677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108,068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117,120</w:t>
            </w:r>
          </w:p>
        </w:tc>
        <w:tc>
          <w:tcPr>
            <w:tcW w:w="2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1,099,221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(189,602)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(62,061)</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(74,815)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(49,393)</w:t>
            </w:r>
          </w:p>
        </w:tc>
        <w:tc>
          <w:tcPr>
            <w:tcW w:w="1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(50,010)</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(425,881)</w:t>
            </w:r>
          </w:p>
        </w:tc>
        <w:tc>
          <w:tcPr>
            <w:tcW w:w="0" w:type="dxa"/>
            <w:vAlign w:val="bottom"/>
          </w:tcPr>
          <w:p>
            <w:pPr>
              <w:spacing w:after="0"/>
              <w:rPr>
                <w:sz w:val="1"/>
                <w:szCs w:val="1"/>
                <w:color w:val="auto"/>
              </w:rPr>
            </w:pPr>
          </w:p>
        </w:tc>
      </w:tr>
      <w:tr>
        <w:trPr>
          <w:trHeight w:val="249"/>
        </w:trPr>
        <w:tc>
          <w:tcPr>
            <w:tcW w:w="4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174,899</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158,794</w:t>
            </w:r>
          </w:p>
        </w:tc>
        <w:tc>
          <w:tcPr>
            <w:tcW w:w="2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213,862</w:t>
            </w:r>
          </w:p>
        </w:tc>
        <w:tc>
          <w:tcPr>
            <w:tcW w:w="20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58,675</w:t>
            </w:r>
          </w:p>
        </w:tc>
        <w:tc>
          <w:tcPr>
            <w:tcW w:w="26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67,110</w:t>
            </w:r>
          </w:p>
        </w:tc>
        <w:tc>
          <w:tcPr>
            <w:tcW w:w="2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673,340</w:t>
            </w: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r>
              <w:rPr>
                <w:rFonts w:ascii="Arial" w:cs="Arial" w:eastAsia="Arial" w:hAnsi="Arial"/>
                <w:sz w:val="10"/>
                <w:szCs w:val="10"/>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312,465</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171,084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252,926</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123,513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94,457</w:t>
            </w: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954,445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$122,251 as of June 30, 2019</w:t>
      </w:r>
      <w:r>
        <w:rPr>
          <w:rFonts w:ascii="Arial" w:cs="Arial" w:eastAsia="Arial" w:hAnsi="Arial"/>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ind w:firstLine="749"/>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Anchor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9"/>
              </w:rPr>
              <w:t>handling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0"/>
              </w:rPr>
              <w:t>towing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supply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9"/>
              </w:rPr>
              <w:t>support</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Supply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Specialty</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Transfer</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6"/>
              </w:rPr>
              <w:t>activity</w:t>
            </w:r>
          </w:p>
        </w:tc>
        <w:tc>
          <w:tcPr>
            <w:tcW w:w="1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2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June 30, 2020</w:t>
            </w: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8,383</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8,590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8,477</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24,894</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83%</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87%</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8,688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2,413</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15,078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3,713</w:t>
            </w:r>
          </w:p>
        </w:tc>
        <w:tc>
          <w:tcPr>
            <w:tcW w:w="20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11,001</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39,807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(137)</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(372)</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(53)</w:t>
            </w: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1,056</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2,276</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15,429</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3,660</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11,307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8,150</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1,056</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41,878</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4,166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1,591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502</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13,378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679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1,922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375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4,311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159</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304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1,589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50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341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246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(417)</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1,774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2,181</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9,049</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2,734</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4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127</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5,518</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3,923</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381</w:t>
            </w: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23,913</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95</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6,380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926</w:t>
            </w:r>
          </w:p>
        </w:tc>
        <w:tc>
          <w:tcPr>
            <w:tcW w:w="200" w:type="dxa"/>
            <w:vAlign w:val="bottom"/>
          </w:tcPr>
          <w:p>
            <w:pPr>
              <w:spacing w:after="0"/>
              <w:rPr>
                <w:sz w:val="18"/>
                <w:szCs w:val="18"/>
                <w:color w:val="auto"/>
              </w:rPr>
            </w:pPr>
          </w:p>
        </w:tc>
        <w:tc>
          <w:tcPr>
            <w:tcW w:w="340" w:type="dxa"/>
            <w:vAlign w:val="bottom"/>
            <w:gridSpan w:val="2"/>
          </w:tcPr>
          <w:p>
            <w:pPr>
              <w:jc w:val="right"/>
              <w:ind w:right="124"/>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(127)</w:t>
            </w:r>
          </w:p>
        </w:tc>
        <w:tc>
          <w:tcPr>
            <w:tcW w:w="200" w:type="dxa"/>
            <w:vAlign w:val="bottom"/>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9" w:lineRule="exact"/>
              <w:rPr>
                <w:sz w:val="20"/>
                <w:szCs w:val="20"/>
                <w:color w:val="auto"/>
              </w:rPr>
            </w:pPr>
            <w:r>
              <w:rPr>
                <w:rFonts w:ascii="Arial" w:cs="Arial" w:eastAsia="Arial" w:hAnsi="Arial"/>
                <w:sz w:val="15"/>
                <w:szCs w:val="15"/>
                <w:color w:val="auto"/>
              </w:rPr>
              <w:t>5,789</w:t>
            </w:r>
          </w:p>
        </w:tc>
        <w:tc>
          <w:tcPr>
            <w:tcW w:w="180" w:type="dxa"/>
            <w:vAlign w:val="bottom"/>
          </w:tcPr>
          <w:p>
            <w:pPr>
              <w:spacing w:after="0"/>
              <w:rPr>
                <w:sz w:val="18"/>
                <w:szCs w:val="18"/>
                <w:color w:val="auto"/>
              </w:rPr>
            </w:pPr>
          </w:p>
        </w:tc>
        <w:tc>
          <w:tcPr>
            <w:tcW w:w="1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4,227</w:t>
            </w: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675</w:t>
            </w:r>
          </w:p>
        </w:tc>
        <w:tc>
          <w:tcPr>
            <w:tcW w:w="26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9" w:lineRule="exact"/>
              <w:rPr>
                <w:sz w:val="20"/>
                <w:szCs w:val="20"/>
                <w:color w:val="auto"/>
              </w:rPr>
            </w:pPr>
            <w:r>
              <w:rPr>
                <w:rFonts w:ascii="Arial" w:cs="Arial" w:eastAsia="Arial" w:hAnsi="Arial"/>
                <w:sz w:val="15"/>
                <w:szCs w:val="15"/>
                <w:color w:val="auto"/>
              </w:rPr>
              <w:t>17,965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518</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44</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67</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374</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1,355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14,560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500</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5,405</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4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6,081</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1,637</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563</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15,313</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31,228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(3,453)</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(16,716)</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Anchor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86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Fast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b w:val="1"/>
                <w:bCs w:val="1"/>
                <w:color w:val="auto"/>
              </w:rPr>
              <w:t>Crew</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3"/>
              </w:rPr>
              <w:t>support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1"/>
              </w:rPr>
              <w:t>Supply</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97"/>
              </w:rPr>
              <w:t>Specialty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Transfer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29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Six Months Ended June 30, 2020</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8,528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7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26,213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2,433</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81%</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80%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4,947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960</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6,979</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17,356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20"/>
                <w:szCs w:val="20"/>
                <w:color w:val="auto"/>
              </w:rPr>
            </w:pPr>
            <w:r>
              <w:rPr>
                <w:rFonts w:ascii="Arial" w:cs="Arial" w:eastAsia="Arial" w:hAnsi="Arial"/>
                <w:sz w:val="15"/>
                <w:szCs w:val="15"/>
                <w:color w:val="auto"/>
              </w:rPr>
              <w:t>Operating Revenues: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4,638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31,362</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7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23,340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13,524</w:t>
            </w:r>
          </w:p>
        </w:tc>
        <w:tc>
          <w:tcPr>
            <w:tcW w:w="1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79,097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1,447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1,447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(727)</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(122)</w:t>
            </w: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3,077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5,060</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32,082</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6,111</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23,896</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14,387</w:t>
            </w:r>
          </w:p>
        </w:tc>
        <w:tc>
          <w:tcPr>
            <w:tcW w:w="1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2,085</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83,621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8,825</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7,642</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5,313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27,084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4,200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723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57</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1,810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9,115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1,418</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1,572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2,084</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460</w:t>
            </w: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4,362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50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600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2,203</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643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168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3,513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4,023</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18,258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4,871</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5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294</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12,888</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7,986</w:t>
            </w:r>
          </w:p>
        </w:tc>
        <w:tc>
          <w:tcPr>
            <w:tcW w:w="18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213</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48,533</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3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1,037</w:t>
            </w:r>
          </w:p>
        </w:tc>
        <w:tc>
          <w:tcPr>
            <w:tcW w:w="24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13,824</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1,240</w:t>
            </w:r>
          </w:p>
        </w:tc>
        <w:tc>
          <w:tcPr>
            <w:tcW w:w="260" w:type="dxa"/>
            <w:vAlign w:val="bottom"/>
          </w:tcPr>
          <w:p>
            <w:pPr>
              <w:spacing w:after="0"/>
              <w:rPr>
                <w:sz w:val="18"/>
                <w:szCs w:val="18"/>
                <w:color w:val="auto"/>
              </w:rPr>
            </w:pPr>
          </w:p>
        </w:tc>
        <w:tc>
          <w:tcPr>
            <w:tcW w:w="200" w:type="dxa"/>
            <w:vAlign w:val="bottom"/>
          </w:tcPr>
          <w:p>
            <w:pPr>
              <w:jc w:val="right"/>
              <w:ind w:right="7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(294)</w:t>
            </w:r>
          </w:p>
        </w:tc>
        <w:tc>
          <w:tcPr>
            <w:tcW w:w="1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11,008</w:t>
            </w:r>
          </w:p>
        </w:tc>
        <w:tc>
          <w:tcPr>
            <w:tcW w:w="260" w:type="dxa"/>
            <w:vAlign w:val="bottom"/>
          </w:tcPr>
          <w:p>
            <w:pPr>
              <w:spacing w:after="0"/>
              <w:rPr>
                <w:sz w:val="18"/>
                <w:szCs w:val="18"/>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6,401</w:t>
            </w:r>
          </w:p>
        </w:tc>
        <w:tc>
          <w:tcPr>
            <w:tcW w:w="180" w:type="dxa"/>
            <w:vAlign w:val="bottom"/>
          </w:tcPr>
          <w:p>
            <w:pPr>
              <w:spacing w:after="0"/>
              <w:rPr>
                <w:sz w:val="18"/>
                <w:szCs w:val="18"/>
                <w:color w:val="auto"/>
              </w:rPr>
            </w:pPr>
          </w:p>
        </w:tc>
        <w:tc>
          <w:tcPr>
            <w:tcW w:w="1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1,872</w:t>
            </w:r>
          </w:p>
        </w:tc>
        <w:tc>
          <w:tcPr>
            <w:tcW w:w="2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35,088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98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1,734</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704</w:t>
            </w:r>
          </w:p>
        </w:tc>
        <w:tc>
          <w:tcPr>
            <w:tcW w:w="20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7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1,541</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67</w:t>
            </w:r>
          </w:p>
        </w:tc>
        <w:tc>
          <w:tcPr>
            <w:tcW w:w="180" w:type="dxa"/>
            <w:vAlign w:val="bottom"/>
          </w:tcPr>
          <w:p>
            <w:pPr>
              <w:spacing w:after="0"/>
              <w:rPr>
                <w:sz w:val="15"/>
                <w:szCs w:val="15"/>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716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4,762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25,325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8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1,061</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10,523</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1,787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255</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12,209</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3,354</w:t>
            </w:r>
          </w:p>
        </w:tc>
        <w:tc>
          <w:tcPr>
            <w:tcW w:w="18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1,125</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30,314</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60,401</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(16,025)</w:t>
            </w: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w:t>
            </w: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(41,338)</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2020</w:t>
            </w: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50,189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378,354</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200,534</w:t>
            </w:r>
          </w:p>
        </w:tc>
        <w:tc>
          <w:tcPr>
            <w:tcW w:w="260" w:type="dxa"/>
            <w:vAlign w:val="bottom"/>
          </w:tcPr>
          <w:p>
            <w:pPr>
              <w:spacing w:after="0"/>
              <w:rPr>
                <w:sz w:val="18"/>
                <w:szCs w:val="18"/>
                <w:color w:val="auto"/>
              </w:rPr>
            </w:pPr>
          </w:p>
        </w:tc>
        <w:tc>
          <w:tcPr>
            <w:tcW w:w="20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6,940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325,208</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80,680</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24,334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1,066,239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(30,790)</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(97,350)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(10,258)</w:t>
            </w:r>
          </w:p>
        </w:tc>
        <w:tc>
          <w:tcPr>
            <w:tcW w:w="2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(4,433)</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9"/>
              </w:rPr>
              <w:t>(107,463)</w:t>
            </w:r>
          </w:p>
        </w:tc>
        <w:tc>
          <w:tcPr>
            <w:tcW w:w="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(53,529)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(18,555)</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(322,378)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19,399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281,004</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190,276</w:t>
            </w:r>
          </w:p>
        </w:tc>
        <w:tc>
          <w:tcPr>
            <w:tcW w:w="260" w:type="dxa"/>
            <w:vAlign w:val="bottom"/>
          </w:tcPr>
          <w:p>
            <w:pPr>
              <w:spacing w:after="0"/>
              <w:rPr>
                <w:sz w:val="18"/>
                <w:szCs w:val="18"/>
                <w:color w:val="auto"/>
              </w:rPr>
            </w:pPr>
          </w:p>
        </w:tc>
        <w:tc>
          <w:tcPr>
            <w:tcW w:w="200" w:type="dxa"/>
            <w:vAlign w:val="bottom"/>
          </w:tcPr>
          <w:p>
            <w:pPr>
              <w:jc w:val="right"/>
              <w:ind w:right="59"/>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2,507</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217,745</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27,151</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5,779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743,861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Anchor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9"/>
              </w:rPr>
              <w:t>handling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0"/>
              </w:rPr>
              <w:t>towing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Fast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Crew</w:t>
            </w:r>
          </w:p>
        </w:tc>
        <w:tc>
          <w:tcPr>
            <w:tcW w:w="10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supply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89"/>
              </w:rPr>
              <w:t>support</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5"/>
              </w:rPr>
              <w:t>Supply</w:t>
            </w:r>
          </w:p>
        </w:tc>
        <w:tc>
          <w:tcPr>
            <w:tcW w:w="60" w:type="dxa"/>
            <w:vAlign w:val="bottom"/>
          </w:tcPr>
          <w:p>
            <w:pPr>
              <w:spacing w:after="0"/>
              <w:rPr>
                <w:sz w:val="15"/>
                <w:szCs w:val="15"/>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Specialty</w:t>
            </w:r>
          </w:p>
        </w:tc>
        <w:tc>
          <w:tcPr>
            <w:tcW w:w="9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89"/>
              </w:rPr>
              <w:t>Transfer</w:t>
            </w:r>
          </w:p>
        </w:tc>
        <w:tc>
          <w:tcPr>
            <w:tcW w:w="10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6"/>
              </w:rPr>
              <w:t>activity</w:t>
            </w:r>
          </w:p>
        </w:tc>
        <w:tc>
          <w:tcPr>
            <w:tcW w:w="14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2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June 30, 2019</w:t>
            </w: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4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7,597</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7,624</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6,906</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20,993</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2,431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53%</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47%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76"/>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910</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1,729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5"/>
                <w:szCs w:val="15"/>
                <w:color w:val="auto"/>
              </w:rPr>
              <w:t>Operating Revenues: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3,360</w:t>
            </w:r>
          </w:p>
        </w:tc>
        <w:tc>
          <w:tcPr>
            <w:tcW w:w="20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17,709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1,787</w:t>
            </w:r>
          </w:p>
        </w:tc>
        <w:tc>
          <w:tcPr>
            <w:tcW w:w="2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44"/>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16,932</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7,482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47,270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1,156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(179)</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799</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4,229</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17,763</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3,742</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18,413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7,981</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684</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52,812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Direct Costs and Expenses:</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20"/>
                <w:szCs w:val="20"/>
                <w:color w:val="auto"/>
              </w:rPr>
            </w:pPr>
            <w:r>
              <w:rPr>
                <w:rFonts w:ascii="Arial" w:cs="Arial" w:eastAsia="Arial" w:hAnsi="Arial"/>
                <w:sz w:val="15"/>
                <w:szCs w:val="15"/>
                <w:color w:val="auto"/>
              </w:rPr>
              <w:t>Operating:</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Personnel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2,001</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5,796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1,617</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5,360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17,914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Repairs and maintenance</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632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2,682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1,085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2,189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933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7,607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Drydocking</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1,683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Insurance and loss reserves</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266</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385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78</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921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Fuel, lubes and supplies</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262</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w:t>
            </w: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(24)</w:t>
            </w: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Other</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1,713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842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(520)</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2,887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3,668</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12,314</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3,802</w:t>
            </w:r>
          </w:p>
        </w:tc>
        <w:tc>
          <w:tcPr>
            <w:tcW w:w="20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99</w:t>
            </w:r>
          </w:p>
        </w:tc>
        <w:tc>
          <w:tcPr>
            <w:tcW w:w="260" w:type="dxa"/>
            <w:vAlign w:val="bottom"/>
            <w:tcBorders>
              <w:top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11,480</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3,971</w:t>
            </w: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w:t>
            </w: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35,370</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24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561</w:t>
            </w:r>
          </w:p>
        </w:tc>
        <w:tc>
          <w:tcPr>
            <w:tcW w:w="20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(60)</w:t>
            </w:r>
          </w:p>
        </w:tc>
        <w:tc>
          <w:tcPr>
            <w:tcW w:w="3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5"/>
                <w:szCs w:val="15"/>
                <w:color w:val="auto"/>
              </w:rPr>
              <w:t>(99)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6,933</w:t>
            </w:r>
          </w:p>
        </w:tc>
        <w:tc>
          <w:tcPr>
            <w:tcW w:w="18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4,010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648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17,442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4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1,527</w:t>
            </w:r>
          </w:p>
        </w:tc>
        <w:tc>
          <w:tcPr>
            <w:tcW w:w="20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352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433</w:t>
            </w:r>
          </w:p>
        </w:tc>
        <w:tc>
          <w:tcPr>
            <w:tcW w:w="200" w:type="dxa"/>
            <w:vAlign w:val="bottom"/>
          </w:tcPr>
          <w:p>
            <w:pPr>
              <w:spacing w:after="0"/>
              <w:rPr>
                <w:sz w:val="15"/>
                <w:szCs w:val="15"/>
                <w:color w:val="auto"/>
              </w:rPr>
            </w:pPr>
          </w:p>
        </w:tc>
        <w:tc>
          <w:tcPr>
            <w:tcW w:w="360" w:type="dxa"/>
            <w:vAlign w:val="bottom"/>
            <w:gridSpan w:val="2"/>
          </w:tcPr>
          <w:p>
            <w:pPr>
              <w:jc w:val="right"/>
              <w:ind w:right="144"/>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1,497</w:t>
            </w:r>
          </w:p>
        </w:tc>
        <w:tc>
          <w:tcPr>
            <w:tcW w:w="18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10,524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575</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5,929</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1,223</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127</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5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6,055</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1,920</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583</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16,412</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31,234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(3,848)</w:t>
            </w:r>
          </w:p>
        </w:tc>
        <w:tc>
          <w:tcPr>
            <w:tcW w:w="0" w:type="dxa"/>
            <w:vAlign w:val="bottom"/>
          </w:tcPr>
          <w:p>
            <w:pPr>
              <w:spacing w:after="0"/>
              <w:rPr>
                <w:sz w:val="1"/>
                <w:szCs w:val="1"/>
                <w:color w:val="auto"/>
              </w:rPr>
            </w:pPr>
          </w:p>
        </w:tc>
      </w:tr>
      <w:tr>
        <w:trPr>
          <w:trHeight w:val="20"/>
        </w:trPr>
        <w:tc>
          <w:tcPr>
            <w:tcW w:w="32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(17,640)</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Anchor</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2"/>
              </w:rPr>
              <w:t>handling</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w w:val="90"/>
              </w:rPr>
              <w:t>towing</w:t>
            </w:r>
          </w:p>
        </w:tc>
        <w:tc>
          <w:tcPr>
            <w:tcW w:w="100" w:type="dxa"/>
            <w:vAlign w:val="bottom"/>
          </w:tcPr>
          <w:p>
            <w:pPr>
              <w:spacing w:after="0"/>
              <w:rPr>
                <w:sz w:val="14"/>
                <w:szCs w:val="14"/>
                <w:color w:val="auto"/>
              </w:rPr>
            </w:pPr>
          </w:p>
        </w:tc>
        <w:tc>
          <w:tcPr>
            <w:tcW w:w="92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Fast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60"/>
              <w:spacing w:after="0" w:line="162" w:lineRule="exact"/>
              <w:rPr>
                <w:sz w:val="20"/>
                <w:szCs w:val="20"/>
                <w:color w:val="auto"/>
              </w:rPr>
            </w:pPr>
            <w:r>
              <w:rPr>
                <w:rFonts w:ascii="Arial" w:cs="Arial" w:eastAsia="Arial" w:hAnsi="Arial"/>
                <w:sz w:val="15"/>
                <w:szCs w:val="15"/>
                <w:b w:val="1"/>
                <w:bCs w:val="1"/>
                <w:color w:val="auto"/>
              </w:rPr>
              <w:t>Crew</w:t>
            </w:r>
          </w:p>
        </w:tc>
        <w:tc>
          <w:tcPr>
            <w:tcW w:w="120" w:type="dxa"/>
            <w:vAlign w:val="bottom"/>
          </w:tcPr>
          <w:p>
            <w:pPr>
              <w:spacing w:after="0"/>
              <w:rPr>
                <w:sz w:val="14"/>
                <w:szCs w:val="14"/>
                <w:color w:val="auto"/>
              </w:rPr>
            </w:pPr>
          </w:p>
        </w:tc>
        <w:tc>
          <w:tcPr>
            <w:tcW w:w="900" w:type="dxa"/>
            <w:vAlign w:val="bottom"/>
            <w:gridSpan w:val="2"/>
          </w:tcPr>
          <w:p>
            <w:pPr>
              <w:jc w:val="right"/>
              <w:ind w:right="440"/>
              <w:spacing w:after="0" w:line="162" w:lineRule="exact"/>
              <w:rPr>
                <w:sz w:val="20"/>
                <w:szCs w:val="20"/>
                <w:color w:val="auto"/>
              </w:rPr>
            </w:pPr>
            <w:r>
              <w:rPr>
                <w:rFonts w:ascii="Arial" w:cs="Arial" w:eastAsia="Arial" w:hAnsi="Arial"/>
                <w:sz w:val="15"/>
                <w:szCs w:val="15"/>
                <w:b w:val="1"/>
                <w:bCs w:val="1"/>
                <w:color w:val="auto"/>
              </w:rPr>
              <w:t>Other</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supply</w:t>
            </w: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93"/>
              </w:rPr>
              <w:t>support</w:t>
            </w:r>
          </w:p>
        </w:tc>
        <w:tc>
          <w:tcPr>
            <w:tcW w:w="12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w w:val="91"/>
              </w:rPr>
              <w:t>Supply</w:t>
            </w:r>
          </w:p>
        </w:tc>
        <w:tc>
          <w:tcPr>
            <w:tcW w:w="100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w w:val="97"/>
              </w:rPr>
              <w:t>Specialty</w:t>
            </w:r>
          </w:p>
        </w:tc>
        <w:tc>
          <w:tcPr>
            <w:tcW w:w="1020" w:type="dxa"/>
            <w:vAlign w:val="bottom"/>
            <w:gridSpan w:val="3"/>
          </w:tcPr>
          <w:p>
            <w:pPr>
              <w:jc w:val="right"/>
              <w:ind w:right="340"/>
              <w:spacing w:after="0"/>
              <w:rPr>
                <w:sz w:val="20"/>
                <w:szCs w:val="20"/>
                <w:color w:val="auto"/>
              </w:rPr>
            </w:pPr>
            <w:r>
              <w:rPr>
                <w:rFonts w:ascii="Arial" w:cs="Arial" w:eastAsia="Arial" w:hAnsi="Arial"/>
                <w:sz w:val="15"/>
                <w:szCs w:val="15"/>
                <w:b w:val="1"/>
                <w:bCs w:val="1"/>
                <w:color w:val="auto"/>
              </w:rPr>
              <w:t>Liftboats</w:t>
            </w: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3"/>
              </w:rPr>
              <w:t>Transfer</w:t>
            </w:r>
          </w:p>
        </w:tc>
        <w:tc>
          <w:tcPr>
            <w:tcW w:w="12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2"/>
              </w:rPr>
              <w:t>activity</w:t>
            </w:r>
          </w:p>
        </w:tc>
        <w:tc>
          <w:tcPr>
            <w:tcW w:w="10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0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Six Months Ended June 30, 2019</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7,989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7,616</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6,958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19,397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2,389</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6,964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58%</w:t>
            </w:r>
          </w:p>
        </w:tc>
        <w:tc>
          <w:tcPr>
            <w:tcW w:w="1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w:t>
            </w: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74%</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64%</w:t>
            </w:r>
          </w:p>
        </w:tc>
        <w:tc>
          <w:tcPr>
            <w:tcW w:w="0" w:type="dxa"/>
            <w:vAlign w:val="bottom"/>
          </w:tcPr>
          <w:p>
            <w:pPr>
              <w:spacing w:after="0"/>
              <w:rPr>
                <w:sz w:val="1"/>
                <w:szCs w:val="1"/>
                <w:color w:val="auto"/>
              </w:rPr>
            </w:pPr>
          </w:p>
        </w:tc>
      </w:tr>
      <w:tr>
        <w:trPr>
          <w:trHeight w:val="176"/>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6,569</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6,919</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19,906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Arial" w:cs="Arial" w:eastAsia="Arial" w:hAnsi="Arial"/>
                <w:sz w:val="15"/>
                <w:szCs w:val="15"/>
                <w:color w:val="auto"/>
              </w:rPr>
              <w:t>Operating Revenues: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6,235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34,792</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30,809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12,284</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88,089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233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2,299</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2,532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(430)</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821</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7,101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6,446</w:t>
            </w:r>
          </w:p>
        </w:tc>
        <w:tc>
          <w:tcPr>
            <w:tcW w:w="24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34,595</w:t>
            </w:r>
          </w:p>
        </w:tc>
        <w:tc>
          <w:tcPr>
            <w:tcW w:w="26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7,848</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34,370</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13,105</w:t>
            </w:r>
          </w:p>
        </w:tc>
        <w:tc>
          <w:tcPr>
            <w:tcW w:w="24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1,358</w:t>
            </w:r>
          </w:p>
        </w:tc>
        <w:tc>
          <w:tcPr>
            <w:tcW w:w="26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97,722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ind w:left="260"/>
              <w:spacing w:after="0" w:line="169" w:lineRule="exact"/>
              <w:rPr>
                <w:sz w:val="20"/>
                <w:szCs w:val="20"/>
                <w:color w:val="auto"/>
              </w:rPr>
            </w:pPr>
            <w:r>
              <w:rPr>
                <w:rFonts w:ascii="Arial" w:cs="Arial" w:eastAsia="Arial" w:hAnsi="Arial"/>
                <w:sz w:val="15"/>
                <w:szCs w:val="15"/>
                <w:color w:val="auto"/>
              </w:rPr>
              <w:t>Direct Costs and Expenses:</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Arial" w:cs="Arial" w:eastAsia="Arial" w:hAnsi="Arial"/>
                <w:sz w:val="15"/>
                <w:szCs w:val="15"/>
                <w:color w:val="auto"/>
              </w:rPr>
              <w:t>Operating:</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Personnel</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11,307</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10,457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4,974</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34,537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Arial" w:cs="Arial" w:eastAsia="Arial" w:hAnsi="Arial"/>
                <w:sz w:val="15"/>
                <w:szCs w:val="15"/>
                <w:color w:val="auto"/>
              </w:rPr>
              <w:t>Repairs and maintenance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1,262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5,019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1,704</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5,017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2,029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15,191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Drydocking</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486</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3,666</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4,567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Arial" w:cs="Arial" w:eastAsia="Arial" w:hAnsi="Arial"/>
                <w:sz w:val="15"/>
                <w:szCs w:val="15"/>
                <w:color w:val="auto"/>
              </w:rPr>
              <w:t>Insurance and loss reserves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711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1,805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197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(135)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3,177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Fuel, lubes and supplies</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2,704</w:t>
            </w: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2,081</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Arial" w:cs="Arial" w:eastAsia="Arial" w:hAnsi="Arial"/>
                <w:sz w:val="15"/>
                <w:szCs w:val="15"/>
                <w:color w:val="auto"/>
              </w:rPr>
              <w:t>Other</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1,003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4,177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1,986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695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(1,203)</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7,056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6,539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24,404</w:t>
            </w: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7,909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302</w:t>
            </w: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23,721</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7,782</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(121)</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70,536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060" w:type="dxa"/>
            <w:vAlign w:val="bottom"/>
          </w:tcPr>
          <w:p>
            <w:pPr>
              <w:spacing w:after="0" w:line="152" w:lineRule="exact"/>
              <w:rPr>
                <w:sz w:val="20"/>
                <w:szCs w:val="20"/>
                <w:color w:val="auto"/>
              </w:rPr>
            </w:pPr>
            <w:r>
              <w:rPr>
                <w:rFonts w:ascii="Arial" w:cs="Arial" w:eastAsia="Arial" w:hAnsi="Arial"/>
                <w:sz w:val="15"/>
                <w:szCs w:val="15"/>
                <w:b w:val="1"/>
                <w:bCs w:val="1"/>
                <w:color w:val="auto"/>
                <w:w w:val="97"/>
              </w:rPr>
              <w:t>Direct Vessel Profit (Loss), from Continuing</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06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5"/>
                <w:szCs w:val="15"/>
                <w:color w:val="auto"/>
              </w:rPr>
              <w:t>(93)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10,191</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(61)</w:t>
            </w: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(302)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10,649</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5,323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1,479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27,186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0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3,066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704</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751</w:t>
            </w:r>
          </w:p>
        </w:tc>
        <w:tc>
          <w:tcPr>
            <w:tcW w:w="260" w:type="dxa"/>
            <w:vAlign w:val="bottom"/>
          </w:tcPr>
          <w:p>
            <w:pPr>
              <w:spacing w:after="0"/>
              <w:rPr>
                <w:sz w:val="15"/>
                <w:szCs w:val="15"/>
                <w:color w:val="auto"/>
              </w:rPr>
            </w:pPr>
          </w:p>
        </w:tc>
        <w:tc>
          <w:tcPr>
            <w:tcW w:w="160" w:type="dxa"/>
            <w:vAlign w:val="bottom"/>
          </w:tcPr>
          <w:p>
            <w:pPr>
              <w:jc w:val="right"/>
              <w:ind w:right="3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2,995</w:t>
            </w:r>
          </w:p>
        </w:tc>
        <w:tc>
          <w:tcPr>
            <w:tcW w:w="2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919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8,435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21,336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1,150</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11,873</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2,259</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5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255</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12,108</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3,951</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913</w:t>
            </w:r>
          </w:p>
        </w:tc>
        <w:tc>
          <w:tcPr>
            <w:tcW w:w="2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32,509</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62,280</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(3,580)</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(38,674)</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June 30, 2019</w:t>
            </w: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6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143,339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430,077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77,924</w:t>
            </w:r>
          </w:p>
        </w:tc>
        <w:tc>
          <w:tcPr>
            <w:tcW w:w="26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14,806</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329,746</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77,380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25,949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1,099,221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(118,166)</w:t>
            </w:r>
          </w:p>
        </w:tc>
        <w:tc>
          <w:tcPr>
            <w:tcW w:w="10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(105,665)</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(38,999)</w:t>
            </w:r>
          </w:p>
        </w:tc>
        <w:tc>
          <w:tcPr>
            <w:tcW w:w="16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(10,211)</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(83,994)</w:t>
            </w:r>
          </w:p>
        </w:tc>
        <w:tc>
          <w:tcPr>
            <w:tcW w:w="80" w:type="dxa"/>
            <w:vAlign w:val="bottom"/>
            <w:shd w:val="clear" w:color="auto" w:fill="CFF0FC"/>
          </w:tcPr>
          <w:p>
            <w:pPr>
              <w:spacing w:after="0"/>
              <w:rPr>
                <w:sz w:val="18"/>
                <w:szCs w:val="18"/>
                <w:color w:val="auto"/>
              </w:rPr>
            </w:pPr>
          </w:p>
        </w:tc>
        <w:tc>
          <w:tcPr>
            <w:tcW w:w="9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(50,284)</w:t>
            </w: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(18,562)</w:t>
            </w: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(425,881)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25,173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324,412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38,925</w:t>
            </w:r>
          </w:p>
        </w:tc>
        <w:tc>
          <w:tcPr>
            <w:tcW w:w="260" w:type="dxa"/>
            <w:vAlign w:val="bottom"/>
          </w:tcPr>
          <w:p>
            <w:pPr>
              <w:spacing w:after="0"/>
              <w:rPr>
                <w:sz w:val="18"/>
                <w:szCs w:val="18"/>
                <w:color w:val="auto"/>
              </w:rPr>
            </w:pPr>
          </w:p>
        </w:tc>
        <w:tc>
          <w:tcPr>
            <w:tcW w:w="16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4,595</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245,752</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27,096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7,387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673,340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June 30, 2020 and December 31, 2019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13"/>
        </w:trPr>
        <w:tc>
          <w:tcPr>
            <w:tcW w:w="1480" w:type="dxa"/>
            <w:vAlign w:val="bottom"/>
            <w:tcBorders>
              <w:top w:val="single" w:sz="8" w:color="CFF0FC"/>
              <w:bottom w:val="single" w:sz="8" w:color="auto"/>
            </w:tcBorders>
            <w:shd w:val="clear" w:color="auto" w:fill="CFF0FC"/>
          </w:tcPr>
          <w:p>
            <w:pPr>
              <w:spacing w:after="0"/>
              <w:rPr>
                <w:sz w:val="18"/>
                <w:szCs w:val="18"/>
                <w:color w:val="auto"/>
              </w:rPr>
            </w:pPr>
          </w:p>
        </w:tc>
        <w:tc>
          <w:tcPr>
            <w:tcW w:w="3600" w:type="dxa"/>
            <w:vAlign w:val="bottom"/>
            <w:tcBorders>
              <w:top w:val="single" w:sz="8" w:color="CFF0FC"/>
              <w:bottom w:val="single" w:sz="8" w:color="auto"/>
            </w:tcBorders>
            <w:shd w:val="clear" w:color="auto" w:fill="CFF0FC"/>
          </w:tcPr>
          <w:p>
            <w:pPr>
              <w:ind w:left="58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480" w:type="dxa"/>
            <w:vAlign w:val="bottom"/>
          </w:tcPr>
          <w:p>
            <w:pPr>
              <w:spacing w:after="0"/>
              <w:rPr>
                <w:sz w:val="20"/>
                <w:szCs w:val="20"/>
                <w:color w:val="auto"/>
              </w:rPr>
            </w:pPr>
            <w:r>
              <w:rPr>
                <w:rFonts w:ascii="Arial" w:cs="Arial" w:eastAsia="Arial" w:hAnsi="Arial"/>
                <w:sz w:val="16"/>
                <w:szCs w:val="16"/>
                <w:color w:val="auto"/>
              </w:rPr>
              <w:t>AHTS</w:t>
            </w:r>
          </w:p>
        </w:tc>
        <w:tc>
          <w:tcPr>
            <w:tcW w:w="472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r>
      <w:tr>
        <w:trPr>
          <w:trHeight w:val="219"/>
        </w:trPr>
        <w:tc>
          <w:tcPr>
            <w:tcW w:w="1480" w:type="dxa"/>
            <w:vAlign w:val="bottom"/>
            <w:shd w:val="clear" w:color="auto" w:fill="CFF0FC"/>
          </w:tcPr>
          <w:p>
            <w:pPr>
              <w:spacing w:after="0"/>
              <w:rPr>
                <w:sz w:val="20"/>
                <w:szCs w:val="20"/>
                <w:color w:val="auto"/>
              </w:rPr>
            </w:pPr>
            <w:r>
              <w:rPr>
                <w:rFonts w:ascii="Arial" w:cs="Arial" w:eastAsia="Arial" w:hAnsi="Arial"/>
                <w:sz w:val="16"/>
                <w:szCs w:val="16"/>
                <w:color w:val="auto"/>
              </w:rPr>
              <w:t>FSV</w:t>
            </w:r>
          </w:p>
        </w:tc>
        <w:tc>
          <w:tcPr>
            <w:tcW w:w="47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9"/>
                <w:szCs w:val="19"/>
                <w:color w:val="auto"/>
              </w:rPr>
            </w:pPr>
          </w:p>
        </w:tc>
      </w:tr>
      <w:tr>
        <w:trPr>
          <w:trHeight w:val="213"/>
        </w:trPr>
        <w:tc>
          <w:tcPr>
            <w:tcW w:w="1480" w:type="dxa"/>
            <w:vAlign w:val="bottom"/>
          </w:tcPr>
          <w:p>
            <w:pPr>
              <w:spacing w:after="0"/>
              <w:rPr>
                <w:sz w:val="20"/>
                <w:szCs w:val="20"/>
                <w:color w:val="auto"/>
              </w:rPr>
            </w:pPr>
            <w:r>
              <w:rPr>
                <w:rFonts w:ascii="Arial" w:cs="Arial" w:eastAsia="Arial" w:hAnsi="Arial"/>
                <w:sz w:val="16"/>
                <w:szCs w:val="16"/>
                <w:color w:val="auto"/>
              </w:rPr>
              <w:t>Supply</w:t>
            </w:r>
          </w:p>
        </w:tc>
        <w:tc>
          <w:tcPr>
            <w:tcW w:w="472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r>
      <w:tr>
        <w:trPr>
          <w:trHeight w:val="219"/>
        </w:trPr>
        <w:tc>
          <w:tcPr>
            <w:tcW w:w="1480" w:type="dxa"/>
            <w:vAlign w:val="bottom"/>
            <w:shd w:val="clear" w:color="auto" w:fill="CFF0FC"/>
          </w:tcPr>
          <w:p>
            <w:pPr>
              <w:spacing w:after="0"/>
              <w:rPr>
                <w:sz w:val="20"/>
                <w:szCs w:val="20"/>
                <w:color w:val="auto"/>
              </w:rPr>
            </w:pPr>
            <w:r>
              <w:rPr>
                <w:rFonts w:ascii="Arial" w:cs="Arial" w:eastAsia="Arial" w:hAnsi="Arial"/>
                <w:sz w:val="16"/>
                <w:szCs w:val="16"/>
                <w:color w:val="auto"/>
              </w:rPr>
              <w:t>Specialty</w:t>
            </w:r>
          </w:p>
        </w:tc>
        <w:tc>
          <w:tcPr>
            <w:tcW w:w="47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r>
      <w:tr>
        <w:trPr>
          <w:trHeight w:val="213"/>
        </w:trPr>
        <w:tc>
          <w:tcPr>
            <w:tcW w:w="1480" w:type="dxa"/>
            <w:vAlign w:val="bottom"/>
          </w:tcPr>
          <w:p>
            <w:pPr>
              <w:spacing w:after="0"/>
              <w:rPr>
                <w:sz w:val="20"/>
                <w:szCs w:val="20"/>
                <w:color w:val="auto"/>
              </w:rPr>
            </w:pPr>
            <w:r>
              <w:rPr>
                <w:rFonts w:ascii="Arial" w:cs="Arial" w:eastAsia="Arial" w:hAnsi="Arial"/>
                <w:sz w:val="16"/>
                <w:szCs w:val="16"/>
                <w:color w:val="auto"/>
              </w:rPr>
              <w:t>Liftboats</w:t>
            </w:r>
          </w:p>
        </w:tc>
        <w:tc>
          <w:tcPr>
            <w:tcW w:w="472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r>
      <w:tr>
        <w:trPr>
          <w:trHeight w:val="216"/>
        </w:trPr>
        <w:tc>
          <w:tcPr>
            <w:tcW w:w="1480" w:type="dxa"/>
            <w:vAlign w:val="bottom"/>
            <w:shd w:val="clear" w:color="auto" w:fill="CFF0FC"/>
          </w:tcPr>
          <w:p>
            <w:pPr>
              <w:spacing w:after="0"/>
              <w:rPr>
                <w:sz w:val="20"/>
                <w:szCs w:val="20"/>
                <w:color w:val="auto"/>
              </w:rPr>
            </w:pPr>
            <w:r>
              <w:rPr>
                <w:rFonts w:ascii="Arial" w:cs="Arial" w:eastAsia="Arial" w:hAnsi="Arial"/>
                <w:sz w:val="16"/>
                <w:szCs w:val="16"/>
                <w:color w:val="auto"/>
              </w:rPr>
              <w:t>Crew transfer</w:t>
            </w:r>
          </w:p>
        </w:tc>
        <w:tc>
          <w:tcPr>
            <w:tcW w:w="3720" w:type="dxa"/>
            <w:vAlign w:val="bottom"/>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4720" w:type="dxa"/>
            <w:vAlign w:val="bottom"/>
            <w:gridSpan w:val="3"/>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140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December 31, 2019</w:t>
            </w:r>
          </w:p>
        </w:tc>
        <w:tc>
          <w:tcPr>
            <w:tcW w:w="1320" w:type="dxa"/>
            <w:vAlign w:val="bottom"/>
            <w:gridSpan w:val="3"/>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1400" w:type="dxa"/>
            <w:vAlign w:val="bottom"/>
          </w:tcPr>
          <w:p>
            <w:pPr>
              <w:spacing w:after="0"/>
              <w:rPr>
                <w:sz w:val="20"/>
                <w:szCs w:val="20"/>
                <w:color w:val="auto"/>
              </w:rPr>
            </w:pPr>
            <w:r>
              <w:rPr>
                <w:rFonts w:ascii="Arial" w:cs="Arial" w:eastAsia="Arial" w:hAnsi="Arial"/>
                <w:sz w:val="16"/>
                <w:szCs w:val="16"/>
                <w:color w:val="auto"/>
              </w:rPr>
              <w:t>AHTS</w:t>
            </w:r>
          </w:p>
        </w:tc>
        <w:tc>
          <w:tcPr>
            <w:tcW w:w="48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r>
        <w:trPr>
          <w:trHeight w:val="219"/>
        </w:trPr>
        <w:tc>
          <w:tcPr>
            <w:tcW w:w="1400" w:type="dxa"/>
            <w:vAlign w:val="bottom"/>
            <w:shd w:val="clear" w:color="auto" w:fill="CFF0FC"/>
          </w:tcPr>
          <w:p>
            <w:pPr>
              <w:spacing w:after="0"/>
              <w:rPr>
                <w:sz w:val="20"/>
                <w:szCs w:val="20"/>
                <w:color w:val="auto"/>
              </w:rPr>
            </w:pPr>
            <w:r>
              <w:rPr>
                <w:rFonts w:ascii="Arial" w:cs="Arial" w:eastAsia="Arial" w:hAnsi="Arial"/>
                <w:sz w:val="16"/>
                <w:szCs w:val="16"/>
                <w:color w:val="auto"/>
              </w:rPr>
              <w:t>FSV</w:t>
            </w:r>
          </w:p>
        </w:tc>
        <w:tc>
          <w:tcPr>
            <w:tcW w:w="4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r>
      <w:tr>
        <w:trPr>
          <w:trHeight w:val="213"/>
        </w:trPr>
        <w:tc>
          <w:tcPr>
            <w:tcW w:w="1400" w:type="dxa"/>
            <w:vAlign w:val="bottom"/>
          </w:tcPr>
          <w:p>
            <w:pPr>
              <w:spacing w:after="0"/>
              <w:rPr>
                <w:sz w:val="20"/>
                <w:szCs w:val="20"/>
                <w:color w:val="auto"/>
              </w:rPr>
            </w:pPr>
            <w:r>
              <w:rPr>
                <w:rFonts w:ascii="Arial" w:cs="Arial" w:eastAsia="Arial" w:hAnsi="Arial"/>
                <w:sz w:val="16"/>
                <w:szCs w:val="16"/>
                <w:color w:val="auto"/>
              </w:rPr>
              <w:t>Supply</w:t>
            </w:r>
          </w:p>
        </w:tc>
        <w:tc>
          <w:tcPr>
            <w:tcW w:w="48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r>
      <w:tr>
        <w:trPr>
          <w:trHeight w:val="219"/>
        </w:trPr>
        <w:tc>
          <w:tcPr>
            <w:tcW w:w="1400" w:type="dxa"/>
            <w:vAlign w:val="bottom"/>
            <w:shd w:val="clear" w:color="auto" w:fill="CFF0FC"/>
          </w:tcPr>
          <w:p>
            <w:pPr>
              <w:spacing w:after="0"/>
              <w:rPr>
                <w:sz w:val="20"/>
                <w:szCs w:val="20"/>
                <w:color w:val="auto"/>
              </w:rPr>
            </w:pPr>
            <w:r>
              <w:rPr>
                <w:rFonts w:ascii="Arial" w:cs="Arial" w:eastAsia="Arial" w:hAnsi="Arial"/>
                <w:sz w:val="16"/>
                <w:szCs w:val="16"/>
                <w:color w:val="auto"/>
              </w:rPr>
              <w:t>Specialty</w:t>
            </w:r>
          </w:p>
        </w:tc>
        <w:tc>
          <w:tcPr>
            <w:tcW w:w="48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r>
      <w:tr>
        <w:trPr>
          <w:trHeight w:val="213"/>
        </w:trPr>
        <w:tc>
          <w:tcPr>
            <w:tcW w:w="1400" w:type="dxa"/>
            <w:vAlign w:val="bottom"/>
          </w:tcPr>
          <w:p>
            <w:pPr>
              <w:spacing w:after="0"/>
              <w:rPr>
                <w:sz w:val="20"/>
                <w:szCs w:val="20"/>
                <w:color w:val="auto"/>
              </w:rPr>
            </w:pPr>
            <w:r>
              <w:rPr>
                <w:rFonts w:ascii="Arial" w:cs="Arial" w:eastAsia="Arial" w:hAnsi="Arial"/>
                <w:sz w:val="16"/>
                <w:szCs w:val="16"/>
                <w:color w:val="auto"/>
              </w:rPr>
              <w:t>Liftboats</w:t>
            </w:r>
          </w:p>
        </w:tc>
        <w:tc>
          <w:tcPr>
            <w:tcW w:w="4800" w:type="dxa"/>
            <w:vAlign w:val="bottom"/>
            <w:gridSpan w:val="3"/>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r>
      <w:tr>
        <w:trPr>
          <w:trHeight w:val="216"/>
        </w:trPr>
        <w:tc>
          <w:tcPr>
            <w:tcW w:w="1400" w:type="dxa"/>
            <w:vAlign w:val="bottom"/>
            <w:shd w:val="clear" w:color="auto" w:fill="CFF0FC"/>
          </w:tcPr>
          <w:p>
            <w:pPr>
              <w:spacing w:after="0"/>
              <w:rPr>
                <w:sz w:val="20"/>
                <w:szCs w:val="20"/>
                <w:color w:val="auto"/>
              </w:rPr>
            </w:pPr>
            <w:r>
              <w:rPr>
                <w:rFonts w:ascii="Arial" w:cs="Arial" w:eastAsia="Arial" w:hAnsi="Arial"/>
                <w:sz w:val="16"/>
                <w:szCs w:val="16"/>
                <w:color w:val="auto"/>
              </w:rPr>
              <w:t>Crew transfer</w:t>
            </w:r>
          </w:p>
        </w:tc>
        <w:tc>
          <w:tcPr>
            <w:tcW w:w="3800" w:type="dxa"/>
            <w:vAlign w:val="bottom"/>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8"/>
                <w:szCs w:val="18"/>
                <w:color w:val="auto"/>
              </w:rPr>
            </w:pPr>
          </w:p>
        </w:tc>
      </w:tr>
      <w:tr>
        <w:trPr>
          <w:trHeight w:val="210"/>
        </w:trPr>
        <w:tc>
          <w:tcPr>
            <w:tcW w:w="1400" w:type="dxa"/>
            <w:vAlign w:val="bottom"/>
          </w:tcPr>
          <w:p>
            <w:pPr>
              <w:spacing w:after="0"/>
              <w:rPr>
                <w:sz w:val="18"/>
                <w:szCs w:val="18"/>
                <w:color w:val="auto"/>
              </w:rPr>
            </w:pPr>
          </w:p>
        </w:tc>
        <w:tc>
          <w:tcPr>
            <w:tcW w:w="4800" w:type="dxa"/>
            <w:vAlign w:val="bottom"/>
            <w:gridSpan w:val="3"/>
          </w:tcPr>
          <w:p>
            <w:pPr>
              <w:jc w:val="right"/>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b w:val="1"/>
          <w:bCs w:val="1"/>
          <w:i w:val="1"/>
          <w:iCs w:val="1"/>
          <w:color w:val="auto"/>
        </w:rPr>
        <w:t xml:space="preserve">United States, primarily Gulf of Mexico. </w:t>
      </w:r>
      <w:r>
        <w:rPr>
          <w:rFonts w:ascii="Arial" w:cs="Arial" w:eastAsia="Arial" w:hAnsi="Arial"/>
          <w:sz w:val="21"/>
          <w:szCs w:val="21"/>
          <w:color w:val="auto"/>
        </w:rPr>
        <w:t>For the three and six months ended June 30, the Company’s time charter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statistics and direct vessel profit (loss) in the United States was as follows (in thousands, except statistics):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5"/>
              </w:rPr>
              <w:t>For the Three Months Ended June 30,</w:t>
            </w:r>
          </w:p>
        </w:tc>
        <w:tc>
          <w:tcPr>
            <w:tcW w:w="2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w w:val="91"/>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FSV</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7,365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7,394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7,939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17,365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18,855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26,280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16,377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15,574</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19,294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FSV</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FSV</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1,656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2,184</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w:t>
            </w:r>
          </w:p>
        </w:tc>
        <w:tc>
          <w:tcPr>
            <w:tcW w:w="18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3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1,478</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54%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12,628</w:t>
            </w: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5,853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20,633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513</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1,320</w:t>
            </w: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1,155</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2,452</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2,714</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14,181</w:t>
            </w:r>
          </w:p>
        </w:tc>
        <w:tc>
          <w:tcPr>
            <w:tcW w:w="300" w:type="dxa"/>
            <w:vAlign w:val="bottom"/>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8,455</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23,318</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5,203</w:t>
            </w: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5,212</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2,515</w:t>
            </w: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5,293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1,801</w:t>
            </w: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3,795</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354</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841</w:t>
            </w: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CFF0FC"/>
          </w:tcPr>
          <w:p>
            <w:pPr>
              <w:spacing w:after="0"/>
              <w:rPr>
                <w:sz w:val="19"/>
                <w:szCs w:val="19"/>
                <w:color w:val="auto"/>
              </w:rPr>
            </w:pPr>
          </w:p>
        </w:tc>
        <w:tc>
          <w:tcPr>
            <w:tcW w:w="70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w:t>
            </w:r>
          </w:p>
        </w:tc>
        <w:tc>
          <w:tcPr>
            <w:tcW w:w="3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w:t>
            </w:r>
          </w:p>
        </w:tc>
        <w:tc>
          <w:tcPr>
            <w:tcW w:w="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123%</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82%</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w:t>
            </w:r>
          </w:p>
        </w:tc>
        <w:tc>
          <w:tcPr>
            <w:tcW w:w="180" w:type="dxa"/>
            <w:vAlign w:val="bottom"/>
            <w:shd w:val="clear" w:color="auto" w:fill="CFF0FC"/>
          </w:tcPr>
          <w:p>
            <w:pPr>
              <w:spacing w:after="0"/>
              <w:rPr>
                <w:sz w:val="18"/>
                <w:szCs w:val="18"/>
                <w:color w:val="auto"/>
              </w:rPr>
            </w:pPr>
          </w:p>
        </w:tc>
        <w:tc>
          <w:tcPr>
            <w:tcW w:w="700" w:type="dxa"/>
            <w:vAlign w:val="bottom"/>
            <w:tcBorders>
              <w:right w:val="single" w:sz="8" w:color="CFF0FC"/>
            </w:tcBorders>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11,580</w:t>
            </w:r>
          </w:p>
        </w:tc>
        <w:tc>
          <w:tcPr>
            <w:tcW w:w="300" w:type="dxa"/>
            <w:vAlign w:val="bottom"/>
            <w:shd w:val="clear" w:color="auto" w:fill="CFF0FC"/>
          </w:tcPr>
          <w:p>
            <w:pPr>
              <w:spacing w:after="0"/>
              <w:rPr>
                <w:sz w:val="18"/>
                <w:szCs w:val="18"/>
                <w:color w:val="auto"/>
              </w:rPr>
            </w:pPr>
          </w:p>
        </w:tc>
        <w:tc>
          <w:tcPr>
            <w:tcW w:w="5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8,684</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22,220</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(23)%</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40" w:type="dxa"/>
            <w:vAlign w:val="bottom"/>
            <w:vMerge w:val="continue"/>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(630)</w:t>
            </w:r>
          </w:p>
        </w:tc>
        <w:tc>
          <w:tcPr>
            <w:tcW w:w="700" w:type="dxa"/>
            <w:vAlign w:val="bottom"/>
            <w:gridSpan w:val="2"/>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2,601</w:t>
            </w:r>
          </w:p>
        </w:tc>
        <w:tc>
          <w:tcPr>
            <w:tcW w:w="30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(229)</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1,098</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$10.7 million lower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Charter revenues were $2.0 million lower due to net fleet dispositions, $0.3 million lower due to the repositioning of vessels between geographic regions and $8.4 million lower due to lower utilization of the core fleet. As of June 30, 2020, the Company had 16 of 22 owned and leased-in vessels (three AHTS vessels, three FSVs, nine liftboats, and one specialty vessel) cold-stacked in this region compared with 12 of 27 vessels as of June 30, 2019.</w:t>
      </w:r>
    </w:p>
    <w:p>
      <w:pPr>
        <w:spacing w:after="0" w:line="17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$8.2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$1.5 million lower due to the repositioning of vessels between geographic regions and $1.6 million lower due to net fleet dispositions. Direct operating expenses for the core fleet were $5.1 million lower which was primarily due to reduced repair and drydocking costs.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213"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$13.6 million lower in the Current Six Months. Charter revenues were $3.6</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lower due to net fleet dispositions, $0.6 million lower due to the repositioning of vessels between geographic regions and $9.4 million lower due to lower utilization of the core fleet.</w:t>
      </w:r>
    </w:p>
    <w:p>
      <w:pPr>
        <w:spacing w:after="0" w:line="14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$13.5 million lower in the Current Six Months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Six Months. Direct operating expenses were $3.6 million lower due to the repositioning of vessels between geographic regions and $3.0 million lower due to net fleet dispositions. Direct operating expenses for the core fleet were $6.9 million lower which was primarily due to reduced repair and drydocking costs.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Africa, primarily West Africa. </w:t>
      </w:r>
      <w:r>
        <w:rPr>
          <w:rFonts w:ascii="Arial" w:cs="Arial" w:eastAsia="Arial" w:hAnsi="Arial"/>
          <w:sz w:val="22"/>
          <w:szCs w:val="22"/>
          <w:color w:val="auto"/>
        </w:rPr>
        <w:t>For the three and six months ended June 30,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in Africa was as follows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5"/>
              </w:rPr>
              <w:t>For the Three Months Ended June 30,</w:t>
            </w:r>
          </w:p>
        </w:tc>
        <w:tc>
          <w:tcPr>
            <w:tcW w:w="2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w w:val="91"/>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bottom w:val="single" w:sz="8" w:color="CFF0FC"/>
            </w:tcBorders>
          </w:tcPr>
          <w:p>
            <w:pPr>
              <w:spacing w:after="0"/>
              <w:rPr>
                <w:sz w:val="18"/>
                <w:szCs w:val="18"/>
                <w:color w:val="auto"/>
              </w:rPr>
            </w:pPr>
          </w:p>
        </w:tc>
        <w:tc>
          <w:tcPr>
            <w:tcW w:w="11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34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500"/>
              <w:spacing w:after="0"/>
              <w:rPr>
                <w:sz w:val="20"/>
                <w:szCs w:val="20"/>
                <w:color w:val="auto"/>
              </w:rPr>
            </w:pPr>
            <w:r>
              <w:rPr>
                <w:rFonts w:ascii="Arial" w:cs="Arial" w:eastAsia="Arial" w:hAnsi="Arial"/>
                <w:sz w:val="16"/>
                <w:szCs w:val="16"/>
                <w:color w:val="auto"/>
              </w:rPr>
              <w:t>FSV</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9,221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10,057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8,929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500"/>
              <w:spacing w:after="0"/>
              <w:rPr>
                <w:sz w:val="20"/>
                <w:szCs w:val="20"/>
                <w:color w:val="auto"/>
              </w:rPr>
            </w:pPr>
            <w:r>
              <w:rPr>
                <w:rFonts w:ascii="Arial" w:cs="Arial" w:eastAsia="Arial" w:hAnsi="Arial"/>
                <w:sz w:val="16"/>
                <w:szCs w:val="16"/>
                <w:color w:val="auto"/>
              </w:rPr>
              <w:t>Overall</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9,001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9,130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9,414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500"/>
              <w:spacing w:after="0"/>
              <w:rPr>
                <w:sz w:val="20"/>
                <w:szCs w:val="20"/>
                <w:color w:val="auto"/>
              </w:rPr>
            </w:pPr>
            <w:r>
              <w:rPr>
                <w:rFonts w:ascii="Arial" w:cs="Arial" w:eastAsia="Arial" w:hAnsi="Arial"/>
                <w:sz w:val="16"/>
                <w:szCs w:val="16"/>
                <w:color w:val="auto"/>
              </w:rPr>
              <w:t>AHTS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3180" w:type="dxa"/>
            <w:vAlign w:val="bottom"/>
          </w:tcPr>
          <w:p>
            <w:pPr>
              <w:ind w:left="500"/>
              <w:spacing w:after="0"/>
              <w:rPr>
                <w:sz w:val="20"/>
                <w:szCs w:val="20"/>
                <w:color w:val="auto"/>
              </w:rPr>
            </w:pPr>
            <w:r>
              <w:rPr>
                <w:rFonts w:ascii="Arial" w:cs="Arial" w:eastAsia="Arial" w:hAnsi="Arial"/>
                <w:sz w:val="16"/>
                <w:szCs w:val="16"/>
                <w:color w:val="auto"/>
              </w:rPr>
              <w:t>Supply</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81%</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500"/>
              <w:spacing w:after="0"/>
              <w:rPr>
                <w:sz w:val="20"/>
                <w:szCs w:val="20"/>
                <w:color w:val="auto"/>
              </w:rPr>
            </w:pPr>
            <w:r>
              <w:rPr>
                <w:rFonts w:ascii="Arial" w:cs="Arial" w:eastAsia="Arial" w:hAnsi="Arial"/>
                <w:sz w:val="16"/>
                <w:szCs w:val="16"/>
                <w:color w:val="auto"/>
              </w:rPr>
              <w:t>FSV</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1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8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w:t>
            </w:r>
          </w:p>
        </w:tc>
        <w:tc>
          <w:tcPr>
            <w:tcW w:w="30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34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9,944</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105%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10,400</w:t>
            </w: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93%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21,039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21,173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(480)</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753</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(313)</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w w:val="97"/>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9,464</w:t>
            </w: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11,153</w:t>
            </w:r>
          </w:p>
        </w:tc>
        <w:tc>
          <w:tcPr>
            <w:tcW w:w="30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20,726</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21,289</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2,546</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3,428</w:t>
            </w: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5,241</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7,295</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1,379</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2,814</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(48)</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290</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18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727</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939</w:t>
            </w: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1,199</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1,693</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3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3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60%</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56%</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5,661</w:t>
            </w:r>
          </w:p>
        </w:tc>
        <w:tc>
          <w:tcPr>
            <w:tcW w:w="18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6,283</w:t>
            </w:r>
          </w:p>
        </w:tc>
        <w:tc>
          <w:tcPr>
            <w:tcW w:w="30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11,035</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14,745</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31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40%</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44%</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vMerge w:val="continue"/>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3,803</w:t>
            </w:r>
          </w:p>
        </w:tc>
        <w:tc>
          <w:tcPr>
            <w:tcW w:w="18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4,870</w:t>
            </w:r>
          </w:p>
        </w:tc>
        <w:tc>
          <w:tcPr>
            <w:tcW w:w="300" w:type="dxa"/>
            <w:vAlign w:val="bottom"/>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9,691</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47%</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6,544</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8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$0.5 million lower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$0.1 million higher due to the repositioning of vessels between geographic regions and $0.1 million higher for the core fleet. Charter revenues were $0.7 million lower due to net fleet dispositions. Other Marine Services were $1.1 million lower due to the recognition, in the Prior Year Quarter, of previously deferred revenue, following the receipt of cash, due to collection concerns with regard to one customer.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$0.6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On an overall basis, operating costs were $0.5 million lower due to the repositioning of vessels between geographic regions and $0.6 million lower due to net fleet dispositions. Operating costs were $0.5 million higher for the core fleet primarily due to the timing of drydockings.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$0.1 million lower in the Current Six Months compared with the Prior Six</w:t>
      </w:r>
      <w:r>
        <w:rPr>
          <w:rFonts w:ascii="Arial" w:cs="Arial" w:eastAsia="Arial" w:hAnsi="Arial"/>
          <w:sz w:val="21"/>
          <w:szCs w:val="21"/>
          <w:i w:val="1"/>
          <w:iCs w:val="1"/>
          <w:color w:val="auto"/>
        </w:rPr>
        <w:t xml:space="preserve"> </w:t>
      </w:r>
      <w:r>
        <w:rPr>
          <w:rFonts w:ascii="Arial" w:cs="Arial" w:eastAsia="Arial" w:hAnsi="Arial"/>
          <w:sz w:val="21"/>
          <w:szCs w:val="21"/>
          <w:color w:val="auto"/>
        </w:rPr>
        <w:t>Months. Charter revenues were $1.5 million higher due to the repositioning of vessels between geographic regions and $0.7 million higher for the core fleet. Charter revenues were $2.3 million lower due to net fleet dispositions.</w:t>
      </w:r>
    </w:p>
    <w:p>
      <w:pPr>
        <w:spacing w:after="0" w:line="129"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$3.7 million lower in the Current Six Months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Six Months, primarily due to the repositioning of vessels between geographic regions and net fleet dispositions.</w:t>
      </w:r>
    </w:p>
    <w:p>
      <w:pPr>
        <w:spacing w:after="0" w:line="10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and six months ended June 30, the Company’s time charter statistics and direct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vessel profit in the Middle East and Asia was as follows (in thousands, except statistics):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 June 30,</w:t>
            </w:r>
          </w:p>
        </w:tc>
        <w:tc>
          <w:tcPr>
            <w:tcW w:w="220" w:type="dxa"/>
            <w:vAlign w:val="bottom"/>
          </w:tcPr>
          <w:p>
            <w:pPr>
              <w:spacing w:after="0"/>
              <w:rPr>
                <w:sz w:val="18"/>
                <w:szCs w:val="18"/>
                <w:color w:val="auto"/>
              </w:rPr>
            </w:pPr>
          </w:p>
        </w:tc>
        <w:tc>
          <w:tcPr>
            <w:tcW w:w="312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Six Months Ended June 30,</w:t>
            </w:r>
          </w:p>
        </w:tc>
      </w:tr>
      <w:tr>
        <w:trPr>
          <w:trHeight w:val="210"/>
        </w:trPr>
        <w:tc>
          <w:tcPr>
            <w:tcW w:w="44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top w:val="single" w:sz="8" w:color="auto"/>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18"/>
                <w:szCs w:val="18"/>
                <w:color w:val="auto"/>
              </w:rPr>
            </w:pPr>
          </w:p>
        </w:tc>
      </w:tr>
      <w:tr>
        <w:trPr>
          <w:trHeight w:val="226"/>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6,001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5,634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5,765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5,749</w:t>
            </w:r>
          </w:p>
        </w:tc>
        <w:tc>
          <w:tcPr>
            <w:tcW w:w="140" w:type="dxa"/>
            <w:vAlign w:val="bottom"/>
            <w:shd w:val="clear" w:color="auto" w:fill="CFF0FC"/>
          </w:tcPr>
          <w:p>
            <w:pPr>
              <w:spacing w:after="0"/>
              <w:rPr>
                <w:sz w:val="19"/>
                <w:szCs w:val="19"/>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FSV</w:t>
            </w:r>
          </w:p>
        </w:tc>
        <w:tc>
          <w:tcPr>
            <w:tcW w:w="18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8,329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6,203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8,070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6,159</w:t>
            </w:r>
          </w:p>
        </w:tc>
        <w:tc>
          <w:tcPr>
            <w:tcW w:w="140" w:type="dxa"/>
            <w:vAlign w:val="bottom"/>
          </w:tcPr>
          <w:p>
            <w:pPr>
              <w:spacing w:after="0"/>
              <w:rPr>
                <w:sz w:val="18"/>
                <w:szCs w:val="18"/>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6,711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4,166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6,698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5,049</w:t>
            </w:r>
          </w:p>
        </w:tc>
        <w:tc>
          <w:tcPr>
            <w:tcW w:w="140" w:type="dxa"/>
            <w:vAlign w:val="bottom"/>
            <w:shd w:val="clear" w:color="auto" w:fill="CFF0FC"/>
          </w:tcPr>
          <w:p>
            <w:pPr>
              <w:spacing w:after="0"/>
              <w:rPr>
                <w:sz w:val="19"/>
                <w:szCs w:val="19"/>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27,960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27,150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28,021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27,150</w:t>
            </w:r>
          </w:p>
        </w:tc>
        <w:tc>
          <w:tcPr>
            <w:tcW w:w="140" w:type="dxa"/>
            <w:vAlign w:val="bottom"/>
          </w:tcPr>
          <w:p>
            <w:pPr>
              <w:spacing w:after="0"/>
              <w:rPr>
                <w:sz w:val="18"/>
                <w:szCs w:val="18"/>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2,003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FF0FC"/>
          </w:tcPr>
          <w:p>
            <w:pPr>
              <w:spacing w:after="0"/>
              <w:rPr>
                <w:sz w:val="19"/>
                <w:szCs w:val="19"/>
                <w:color w:val="auto"/>
              </w:rPr>
            </w:pPr>
          </w:p>
        </w:tc>
      </w:tr>
      <w:tr>
        <w:trPr>
          <w:trHeight w:val="210"/>
        </w:trPr>
        <w:tc>
          <w:tcPr>
            <w:tcW w:w="4440" w:type="dxa"/>
            <w:vAlign w:val="bottom"/>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color w:val="auto"/>
              </w:rPr>
              <w:t>10,245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8,182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9,952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color w:val="auto"/>
              </w:rPr>
              <w:t>8,280</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32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13"/>
        </w:trPr>
        <w:tc>
          <w:tcPr>
            <w:tcW w:w="3520" w:type="dxa"/>
            <w:vAlign w:val="bottom"/>
          </w:tcPr>
          <w:p>
            <w:pPr>
              <w:ind w:left="500"/>
              <w:spacing w:after="0"/>
              <w:rPr>
                <w:sz w:val="20"/>
                <w:szCs w:val="20"/>
                <w:color w:val="auto"/>
              </w:rPr>
            </w:pPr>
            <w:r>
              <w:rPr>
                <w:rFonts w:ascii="Arial" w:cs="Arial" w:eastAsia="Arial" w:hAnsi="Arial"/>
                <w:sz w:val="16"/>
                <w:szCs w:val="16"/>
                <w:color w:val="auto"/>
              </w:rPr>
              <w:t>AHTS</w:t>
            </w:r>
          </w:p>
        </w:tc>
        <w:tc>
          <w:tcPr>
            <w:tcW w:w="3200" w:type="dxa"/>
            <w:vAlign w:val="bottom"/>
          </w:tcPr>
          <w:p>
            <w:pPr>
              <w:jc w:val="right"/>
              <w:ind w:right="599"/>
              <w:spacing w:after="0"/>
              <w:rPr>
                <w:sz w:val="20"/>
                <w:szCs w:val="20"/>
                <w:color w:val="auto"/>
              </w:rPr>
            </w:pPr>
            <w:r>
              <w:rPr>
                <w:rFonts w:ascii="Arial" w:cs="Arial" w:eastAsia="Arial" w:hAnsi="Arial"/>
                <w:sz w:val="16"/>
                <w:szCs w:val="16"/>
                <w:color w:val="auto"/>
              </w:rPr>
              <w:t>16%</w:t>
            </w: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50%</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22%</w:t>
            </w:r>
          </w:p>
        </w:tc>
        <w:tc>
          <w:tcPr>
            <w:tcW w:w="10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3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32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86%</w:t>
            </w:r>
          </w:p>
        </w:tc>
        <w:tc>
          <w:tcPr>
            <w:tcW w:w="17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89%</w:t>
            </w:r>
          </w:p>
        </w:tc>
        <w:tc>
          <w:tcPr>
            <w:tcW w:w="168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79%</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3520" w:type="dxa"/>
            <w:vAlign w:val="bottom"/>
          </w:tcPr>
          <w:p>
            <w:pPr>
              <w:ind w:left="500"/>
              <w:spacing w:after="0"/>
              <w:rPr>
                <w:sz w:val="20"/>
                <w:szCs w:val="20"/>
                <w:color w:val="auto"/>
              </w:rPr>
            </w:pPr>
            <w:r>
              <w:rPr>
                <w:rFonts w:ascii="Arial" w:cs="Arial" w:eastAsia="Arial" w:hAnsi="Arial"/>
                <w:sz w:val="16"/>
                <w:szCs w:val="16"/>
                <w:color w:val="auto"/>
              </w:rPr>
              <w:t>Supply</w:t>
            </w:r>
          </w:p>
        </w:tc>
        <w:tc>
          <w:tcPr>
            <w:tcW w:w="3200" w:type="dxa"/>
            <w:vAlign w:val="bottom"/>
          </w:tcPr>
          <w:p>
            <w:pPr>
              <w:jc w:val="right"/>
              <w:ind w:right="599"/>
              <w:spacing w:after="0"/>
              <w:rPr>
                <w:sz w:val="20"/>
                <w:szCs w:val="20"/>
                <w:color w:val="auto"/>
              </w:rPr>
            </w:pPr>
            <w:r>
              <w:rPr>
                <w:rFonts w:ascii="Arial" w:cs="Arial" w:eastAsia="Arial" w:hAnsi="Arial"/>
                <w:sz w:val="16"/>
                <w:szCs w:val="16"/>
                <w:color w:val="auto"/>
              </w:rPr>
              <w:t>75%</w:t>
            </w: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52%</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82%</w:t>
            </w:r>
          </w:p>
        </w:tc>
        <w:tc>
          <w:tcPr>
            <w:tcW w:w="10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3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32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100%</w:t>
            </w:r>
          </w:p>
        </w:tc>
        <w:tc>
          <w:tcPr>
            <w:tcW w:w="17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100%</w:t>
            </w:r>
          </w:p>
        </w:tc>
        <w:tc>
          <w:tcPr>
            <w:tcW w:w="168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92%</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352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3200" w:type="dxa"/>
            <w:vAlign w:val="bottom"/>
          </w:tcPr>
          <w:p>
            <w:pPr>
              <w:jc w:val="right"/>
              <w:ind w:right="599"/>
              <w:spacing w:after="0"/>
              <w:rPr>
                <w:sz w:val="20"/>
                <w:szCs w:val="20"/>
                <w:color w:val="auto"/>
              </w:rPr>
            </w:pPr>
            <w:r>
              <w:rPr>
                <w:rFonts w:ascii="Arial" w:cs="Arial" w:eastAsia="Arial" w:hAnsi="Arial"/>
                <w:sz w:val="16"/>
                <w:szCs w:val="16"/>
                <w:color w:val="auto"/>
              </w:rPr>
              <w:t>100%</w:t>
            </w: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50%</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75%</w:t>
            </w: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9"/>
        </w:trPr>
        <w:tc>
          <w:tcPr>
            <w:tcW w:w="3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320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82%</w:t>
            </w:r>
          </w:p>
        </w:tc>
        <w:tc>
          <w:tcPr>
            <w:tcW w:w="176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79%</w:t>
            </w:r>
          </w:p>
        </w:tc>
        <w:tc>
          <w:tcPr>
            <w:tcW w:w="168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78%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FSV</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904</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1,298</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1,877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2,639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182</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8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8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w:t>
            </w:r>
          </w:p>
        </w:tc>
        <w:tc>
          <w:tcPr>
            <w:tcW w:w="8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2,026</w:t>
            </w:r>
          </w:p>
        </w:tc>
        <w:tc>
          <w:tcPr>
            <w:tcW w:w="8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13,605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13,175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25,372</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25,674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514</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14,119</w:t>
            </w: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13,524</w:t>
            </w: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26,306</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26,251</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3,795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4,292</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7,606</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8,546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4,822</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708</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1,620</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1,434</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1,502</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55%</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color w:val="auto"/>
              </w:rPr>
              <w:t>67%</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7,779</w:t>
            </w: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9,095</w:t>
            </w:r>
          </w:p>
        </w:tc>
        <w:tc>
          <w:tcPr>
            <w:tcW w:w="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14,937</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17,837</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45%</w:t>
            </w: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w:t>
            </w:r>
          </w:p>
        </w:tc>
        <w:tc>
          <w:tcPr>
            <w:tcW w:w="8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4,429</w:t>
            </w:r>
          </w:p>
        </w:tc>
        <w:tc>
          <w:tcPr>
            <w:tcW w:w="8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11,369</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43%</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8,414</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6" w:name="page47"/>
    <w:bookmarkEnd w:id="46"/>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$0.4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$1.0 million higher due to better utilization of the core fleet, and $0.6 million lower due to net fleet dispositions. As of June 30, 2020, the Company had one of 19 vessels owned and leased in (one Supply) cold stacked in this region compared with one of 22 vessels as of June 30, 2019.</w:t>
      </w:r>
    </w:p>
    <w:p>
      <w:pPr>
        <w:spacing w:after="0" w:line="158"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$1.3 million lower in the Current Year Quarter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Year Quarter, primarily due to net fleet dispositions and the timing of dry dockings and certain repair expenditures.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Operating Revenues</w:t>
      </w:r>
      <w:r>
        <w:rPr>
          <w:rFonts w:ascii="Arial" w:cs="Arial" w:eastAsia="Arial" w:hAnsi="Arial"/>
          <w:sz w:val="22"/>
          <w:szCs w:val="22"/>
          <w:b w:val="1"/>
          <w:bCs w:val="1"/>
          <w:i w:val="1"/>
          <w:iCs w:val="1"/>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Charter revenues were $0.3 million lower in the Current Six Months compared with the Prior Six</w:t>
      </w:r>
      <w:r>
        <w:rPr>
          <w:rFonts w:ascii="Arial" w:cs="Arial" w:eastAsia="Arial" w:hAnsi="Arial"/>
          <w:sz w:val="22"/>
          <w:szCs w:val="22"/>
          <w:i w:val="1"/>
          <w:iCs w:val="1"/>
          <w:color w:val="auto"/>
        </w:rPr>
        <w:t xml:space="preserve"> </w:t>
      </w:r>
      <w:r>
        <w:rPr>
          <w:rFonts w:ascii="Arial" w:cs="Arial" w:eastAsia="Arial" w:hAnsi="Arial"/>
          <w:sz w:val="22"/>
          <w:szCs w:val="22"/>
          <w:color w:val="auto"/>
        </w:rPr>
        <w:t>Months. Charter revenues were $0.8 million higher due to better utilization of the core fleet, and $1.1 million lower due to net fleet dispositions.</w:t>
      </w:r>
    </w:p>
    <w:p>
      <w:pPr>
        <w:spacing w:after="0" w:line="146"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$2.9 million lower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the timing of dry dockings and certain repair expenditures, and due to net fleet dispositions.</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1"/>
          <w:szCs w:val="21"/>
          <w:b w:val="1"/>
          <w:bCs w:val="1"/>
          <w:i w:val="1"/>
          <w:iCs w:val="1"/>
          <w:color w:val="auto"/>
        </w:rPr>
        <w:t xml:space="preserve">Latin America (Brazil, Mexico, Central and South America). </w:t>
      </w:r>
      <w:r>
        <w:rPr>
          <w:rFonts w:ascii="Arial" w:cs="Arial" w:eastAsia="Arial" w:hAnsi="Arial"/>
          <w:sz w:val="21"/>
          <w:szCs w:val="21"/>
          <w:color w:val="auto"/>
        </w:rPr>
        <w:t>For the three and six months ended June 30,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Latin America was as follows (in thousands, except statistics):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4"/>
              </w:rPr>
              <w:t>For the Three Months Ended June 30,</w:t>
            </w:r>
          </w:p>
        </w:tc>
        <w:tc>
          <w:tcPr>
            <w:tcW w:w="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w w:val="91"/>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7,460</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13,473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13,473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16,304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10,752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10,105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10,974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Arial" w:cs="Arial" w:eastAsia="Arial" w:hAnsi="Arial"/>
                <w:sz w:val="16"/>
                <w:szCs w:val="16"/>
                <w:color w:val="auto"/>
              </w:rPr>
              <w:t>FSV</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8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4,251</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2,046</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7,647</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6,968</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1,156</w:t>
            </w:r>
          </w:p>
        </w:tc>
        <w:tc>
          <w:tcPr>
            <w:tcW w:w="3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2,299</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317</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908</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w w:val="92"/>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4,419</w:t>
            </w:r>
          </w:p>
        </w:tc>
        <w:tc>
          <w:tcPr>
            <w:tcW w:w="18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3,475</w:t>
            </w:r>
          </w:p>
        </w:tc>
        <w:tc>
          <w:tcPr>
            <w:tcW w:w="32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7,964</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10,175</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440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w:t>
            </w:r>
          </w:p>
        </w:tc>
        <w:tc>
          <w:tcPr>
            <w:tcW w:w="3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2,532</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255</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481</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816</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(32)</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(114)</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3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400" w:type="dxa"/>
            <w:vAlign w:val="bottom"/>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560</w:t>
            </w:r>
          </w:p>
        </w:tc>
        <w:tc>
          <w:tcPr>
            <w:tcW w:w="3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45%</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68%</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18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2,365</w:t>
            </w:r>
          </w:p>
        </w:tc>
        <w:tc>
          <w:tcPr>
            <w:tcW w:w="32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3,994</w:t>
            </w: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5,419</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55%</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32%</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0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2,427</w:t>
            </w: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1,110</w:t>
            </w:r>
          </w:p>
        </w:tc>
        <w:tc>
          <w:tcPr>
            <w:tcW w:w="3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3,970</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4,756</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$1.0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$2.2 million higher due to the repositioning of vessels between geographic regions and $1.2 million lower due to the sale of two vessels on bareboat charter. As of June 30, 2020, the Company had no owned and leased-in vessels cold-stacked in this region compared with one of seven vessels as of June 30, 2019.</w:t>
      </w:r>
    </w:p>
    <w:p>
      <w:pPr>
        <w:spacing w:after="0" w:line="11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$0.4 million lower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the repositioning of vessels between geographic regions.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$1.6 million lower in the Current Six Months compared with the Prior Six</w:t>
      </w:r>
      <w:r>
        <w:rPr>
          <w:rFonts w:ascii="Arial" w:cs="Arial" w:eastAsia="Arial" w:hAnsi="Arial"/>
          <w:sz w:val="22"/>
          <w:szCs w:val="22"/>
          <w:i w:val="1"/>
          <w:iCs w:val="1"/>
          <w:color w:val="auto"/>
        </w:rPr>
        <w:t xml:space="preserve"> </w:t>
      </w:r>
      <w:r>
        <w:rPr>
          <w:rFonts w:ascii="Arial" w:cs="Arial" w:eastAsia="Arial" w:hAnsi="Arial"/>
          <w:sz w:val="22"/>
          <w:szCs w:val="22"/>
          <w:color w:val="auto"/>
        </w:rPr>
        <w:t>Months. Charter revenues were $0.7 million higher due to the repositioning of vessels between geographic regions, and $2.3 million lower due to the sale of two vessels on bareboat charter.</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$1.4 million lower in the Current Six Months compared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Prior Six Months, primarily due to the repositioning of vessels between geographic regions.</w:t>
      </w:r>
    </w:p>
    <w:p>
      <w:pPr>
        <w:spacing w:after="0" w:line="14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Europe, primarily North Sea. </w:t>
      </w:r>
      <w:r>
        <w:rPr>
          <w:rFonts w:ascii="Arial" w:cs="Arial" w:eastAsia="Arial" w:hAnsi="Arial"/>
          <w:sz w:val="22"/>
          <w:szCs w:val="22"/>
          <w:color w:val="auto"/>
        </w:rPr>
        <w:t>For the three and six months ended June 30,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in Europe was as follows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4"/>
              </w:rPr>
              <w:t>For the Three Months Ended June 30,</w:t>
            </w:r>
          </w:p>
        </w:tc>
        <w:tc>
          <w:tcPr>
            <w:tcW w:w="2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ind w:left="140"/>
              <w:spacing w:after="0"/>
              <w:rPr>
                <w:sz w:val="20"/>
                <w:szCs w:val="20"/>
                <w:color w:val="auto"/>
              </w:rPr>
            </w:pPr>
            <w:r>
              <w:rPr>
                <w:rFonts w:ascii="Arial" w:cs="Arial" w:eastAsia="Arial" w:hAnsi="Arial"/>
                <w:sz w:val="16"/>
                <w:szCs w:val="16"/>
                <w:b w:val="1"/>
                <w:bCs w:val="1"/>
                <w:color w:val="auto"/>
                <w:w w:val="91"/>
              </w:rPr>
              <w:t>For the Six Months Ended June 30,</w:t>
            </w:r>
          </w:p>
        </w:tc>
        <w:tc>
          <w:tcPr>
            <w:tcW w:w="3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34,192</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33,115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2,495</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2,448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2,402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3,436</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3,452</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3"/>
        </w:trPr>
        <w:tc>
          <w:tcPr>
            <w:tcW w:w="4480" w:type="dxa"/>
            <w:vAlign w:val="bottom"/>
          </w:tcPr>
          <w:p>
            <w:pPr>
              <w:ind w:left="500"/>
              <w:spacing w:after="0"/>
              <w:rPr>
                <w:sz w:val="20"/>
                <w:szCs w:val="20"/>
                <w:color w:val="auto"/>
              </w:rPr>
            </w:pPr>
            <w:r>
              <w:rPr>
                <w:rFonts w:ascii="Arial" w:cs="Arial" w:eastAsia="Arial" w:hAnsi="Arial"/>
                <w:sz w:val="16"/>
                <w:szCs w:val="16"/>
                <w:color w:val="auto"/>
              </w:rPr>
              <w:t>Crew Transfer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80%</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Crew Transfer</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3,430</w:t>
            </w:r>
          </w:p>
        </w:tc>
        <w:tc>
          <w:tcPr>
            <w:tcW w:w="1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6,738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6,557</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w:t>
            </w:r>
          </w:p>
        </w:tc>
        <w:tc>
          <w:tcPr>
            <w:tcW w:w="180" w:type="dxa"/>
            <w:vAlign w:val="bottom"/>
            <w:tcBorders>
              <w:bottom w:val="single" w:sz="8" w:color="CFF0FC"/>
            </w:tcBorders>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w:t>
            </w:r>
          </w:p>
        </w:tc>
        <w:tc>
          <w:tcPr>
            <w:tcW w:w="3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6,920</w:t>
            </w:r>
          </w:p>
        </w:tc>
        <w:tc>
          <w:tcPr>
            <w:tcW w:w="22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w:t>
            </w:r>
          </w:p>
        </w:tc>
        <w:tc>
          <w:tcPr>
            <w:tcW w:w="20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10,529</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9,021</w:t>
            </w: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86%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19,186</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13,641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1,458</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3,048</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w w:val="92"/>
              </w:rPr>
              <w:t>100%</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11,162</w:t>
            </w: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10,479</w:t>
            </w:r>
          </w:p>
        </w:tc>
        <w:tc>
          <w:tcPr>
            <w:tcW w:w="3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20,170</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16,689</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3,376</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4,015</w:t>
            </w: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6,433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6,458</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2,124</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48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292</w:t>
            </w:r>
          </w:p>
        </w:tc>
        <w:tc>
          <w:tcPr>
            <w:tcW w:w="1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117</w:t>
            </w:r>
          </w:p>
        </w:tc>
        <w:tc>
          <w:tcPr>
            <w:tcW w:w="3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563</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349</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8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3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FF0FC"/>
          </w:tcPr>
          <w:p>
            <w:pPr>
              <w:spacing w:after="0"/>
              <w:rPr>
                <w:sz w:val="19"/>
                <w:szCs w:val="19"/>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46%</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58%</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5,137</w:t>
            </w:r>
          </w:p>
        </w:tc>
        <w:tc>
          <w:tcPr>
            <w:tcW w:w="18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6,047</w:t>
            </w:r>
          </w:p>
        </w:tc>
        <w:tc>
          <w:tcPr>
            <w:tcW w:w="320" w:type="dxa"/>
            <w:vAlign w:val="bottom"/>
          </w:tcPr>
          <w:p>
            <w:pPr>
              <w:spacing w:after="0"/>
              <w:rPr>
                <w:sz w:val="17"/>
                <w:szCs w:val="17"/>
                <w:color w:val="auto"/>
              </w:rPr>
            </w:pPr>
          </w:p>
        </w:tc>
        <w:tc>
          <w:tcPr>
            <w:tcW w:w="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9,883</w:t>
            </w:r>
          </w:p>
        </w:tc>
        <w:tc>
          <w:tcPr>
            <w:tcW w:w="22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10,315</w:t>
            </w:r>
          </w:p>
        </w:tc>
        <w:tc>
          <w:tcPr>
            <w:tcW w:w="2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 for Continuing Operations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42%</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6,025</w:t>
            </w:r>
          </w:p>
        </w:tc>
        <w:tc>
          <w:tcPr>
            <w:tcW w:w="18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vMerge w:val="continue"/>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4,432</w:t>
            </w:r>
          </w:p>
        </w:tc>
        <w:tc>
          <w:tcPr>
            <w:tcW w:w="320" w:type="dxa"/>
            <w:vAlign w:val="bottom"/>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10,287</w:t>
            </w:r>
          </w:p>
        </w:tc>
        <w:tc>
          <w:tcPr>
            <w:tcW w:w="22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6,374</w:t>
            </w:r>
          </w:p>
        </w:tc>
        <w:tc>
          <w:tcPr>
            <w:tcW w:w="2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For CTVs, Charter revenues were $0.1 million higher. Charter revenues were $0.8 million higher</w:t>
      </w:r>
      <w:r>
        <w:rPr>
          <w:rFonts w:ascii="Arial" w:cs="Arial" w:eastAsia="Arial" w:hAnsi="Arial"/>
          <w:sz w:val="22"/>
          <w:szCs w:val="22"/>
          <w:i w:val="1"/>
          <w:iCs w:val="1"/>
          <w:color w:val="auto"/>
        </w:rPr>
        <w:t xml:space="preserve"> </w:t>
      </w:r>
      <w:r>
        <w:rPr>
          <w:rFonts w:ascii="Arial" w:cs="Arial" w:eastAsia="Arial" w:hAnsi="Arial"/>
          <w:sz w:val="22"/>
          <w:szCs w:val="22"/>
          <w:color w:val="auto"/>
        </w:rPr>
        <w:t>due to net fleet additions, and $0.7 million lower for the core fleet due to lower utilization and fluctuations in the US Dollar to Pound Sterling exchange rate.</w:t>
      </w:r>
    </w:p>
    <w:p>
      <w:pPr>
        <w:spacing w:after="0" w:line="159" w:lineRule="exact"/>
        <w:rPr>
          <w:sz w:val="20"/>
          <w:szCs w:val="20"/>
          <w:color w:val="auto"/>
        </w:rPr>
      </w:pPr>
    </w:p>
    <w:p>
      <w:pPr>
        <w:ind w:left="760"/>
        <w:spacing w:after="0" w:line="373" w:lineRule="auto"/>
        <w:rPr>
          <w:sz w:val="20"/>
          <w:szCs w:val="20"/>
          <w:color w:val="auto"/>
        </w:rPr>
      </w:pPr>
      <w:r>
        <w:rPr>
          <w:rFonts w:ascii="Arial" w:cs="Arial" w:eastAsia="Arial" w:hAnsi="Arial"/>
          <w:sz w:val="19"/>
          <w:szCs w:val="19"/>
          <w:color w:val="auto"/>
        </w:rPr>
        <w:t>For liftboats, Charter revenues were $1.4 million higher due to the repositioning of vessels between geographic regions. Other marine services were $0.8 million lower primarily due to the termination of a charter of a PSV owned by a joint</w:t>
      </w:r>
    </w:p>
    <w:p>
      <w:pPr>
        <w:spacing w:after="0"/>
        <w:rPr>
          <w:sz w:val="20"/>
          <w:szCs w:val="20"/>
          <w:color w:val="auto"/>
        </w:rPr>
      </w:pPr>
      <w:r>
        <w:rPr>
          <w:rFonts w:ascii="Arial" w:cs="Arial" w:eastAsia="Arial" w:hAnsi="Arial"/>
          <w:sz w:val="22"/>
          <w:szCs w:val="22"/>
          <w:color w:val="auto"/>
        </w:rPr>
        <w:t>venture.</w:t>
      </w:r>
    </w:p>
    <w:p>
      <w:pPr>
        <w:spacing w:after="0" w:line="14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June 30, 2020, the Company had one of 40 owned and leased-in vessels (one Supply) cold-stacked in this region compared with one of 37 vessels as of June 30, 2019.</w:t>
      </w:r>
    </w:p>
    <w:p>
      <w:pPr>
        <w:spacing w:after="0" w:line="17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$0.9 million lower in the Current Year Quarter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Year Quarter. On an overall basis, vessel operating expenses were $0.3 million higher due to the repositioning of vessels between geographic regions and $0.3 million higher due to net fleet additions. Vessel operating expenses were $0.4 million lower for the core fleet and $1.1 million lower due to the termination of a charter-in of a PSV from a joint venture.</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Six Months compared with Prior Six Months</w:t>
      </w:r>
    </w:p>
    <w:p>
      <w:pPr>
        <w:spacing w:after="0" w:line="18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For CTVs, Charter revenues were $1.2 million higher. Charter revenues were $1.4 million higher due to net fleet additions, and $0.2 million lower for the core fleet.</w:t>
      </w:r>
    </w:p>
    <w:p>
      <w:pPr>
        <w:spacing w:after="0" w:line="134" w:lineRule="exact"/>
        <w:rPr>
          <w:sz w:val="20"/>
          <w:szCs w:val="20"/>
          <w:color w:val="auto"/>
        </w:rPr>
      </w:pPr>
    </w:p>
    <w:p>
      <w:pPr>
        <w:ind w:left="760"/>
        <w:spacing w:after="0" w:line="373" w:lineRule="auto"/>
        <w:rPr>
          <w:sz w:val="20"/>
          <w:szCs w:val="20"/>
          <w:color w:val="auto"/>
        </w:rPr>
      </w:pPr>
      <w:r>
        <w:rPr>
          <w:rFonts w:ascii="Arial" w:cs="Arial" w:eastAsia="Arial" w:hAnsi="Arial"/>
          <w:sz w:val="19"/>
          <w:szCs w:val="19"/>
          <w:color w:val="auto"/>
        </w:rPr>
        <w:t>For liftboats, Charter revenues were $4.3 million higher due to the repositioning of vessels between geographic regions. Other marine services were $2.1 million lower primarily due to the termination of a charter of a PSV owned by a joint</w:t>
      </w:r>
    </w:p>
    <w:p>
      <w:pPr>
        <w:spacing w:after="0"/>
        <w:rPr>
          <w:sz w:val="20"/>
          <w:szCs w:val="20"/>
          <w:color w:val="auto"/>
        </w:rPr>
      </w:pPr>
      <w:r>
        <w:rPr>
          <w:rFonts w:ascii="Arial" w:cs="Arial" w:eastAsia="Arial" w:hAnsi="Arial"/>
          <w:sz w:val="22"/>
          <w:szCs w:val="22"/>
          <w:color w:val="auto"/>
        </w:rPr>
        <w:t>venture.</w:t>
      </w:r>
    </w:p>
    <w:p>
      <w:pPr>
        <w:spacing w:after="0" w:line="18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$0.4 million lower in the Current Six Months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the Prior Six Months. On an overall basis, vessel operating expenses were $0.9 million higher due to the repositioning of vessels between geographic regions and $0.6 million higher due to net fleet additions. Vessel operating expenses were $0.4 million lower for the core fleet and $1.5 million lower due to the termination of a charter-in of a PSV from a joint venture.</w:t>
      </w:r>
    </w:p>
    <w:p>
      <w:pPr>
        <w:spacing w:after="0" w:line="116" w:lineRule="exact"/>
        <w:rPr>
          <w:sz w:val="20"/>
          <w:szCs w:val="20"/>
          <w:color w:val="auto"/>
        </w:rPr>
      </w:pPr>
    </w:p>
    <w:p>
      <w:pPr>
        <w:jc w:val="both"/>
        <w:ind w:right="20" w:firstLine="749"/>
        <w:spacing w:after="0" w:line="297" w:lineRule="auto"/>
        <w:rPr>
          <w:sz w:val="20"/>
          <w:szCs w:val="20"/>
          <w:color w:val="auto"/>
        </w:rPr>
      </w:pPr>
      <w:r>
        <w:rPr>
          <w:rFonts w:ascii="Arial" w:cs="Arial" w:eastAsia="Arial" w:hAnsi="Arial"/>
          <w:sz w:val="19"/>
          <w:szCs w:val="19"/>
          <w:b w:val="1"/>
          <w:bCs w:val="1"/>
          <w:i w:val="1"/>
          <w:iCs w:val="1"/>
          <w:color w:val="auto"/>
        </w:rPr>
        <w:t xml:space="preserve">Leased Expense. </w:t>
      </w:r>
      <w:r>
        <w:rPr>
          <w:rFonts w:ascii="Arial" w:cs="Arial" w:eastAsia="Arial" w:hAnsi="Arial"/>
          <w:sz w:val="19"/>
          <w:szCs w:val="19"/>
          <w:color w:val="auto"/>
        </w:rPr>
        <w:t>Leased-in equipment expenses for the Current Year Quarter and Current Six Months were $2.9 million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$3.7 million lower compared with the Prior Year Quarter and Prior Six Months, respectively, primarily due to the impairment of three leased in vessels and one leased-in vessel having been returned to the lessor in the first quarter of 2020.</w:t>
      </w:r>
    </w:p>
    <w:p>
      <w:pPr>
        <w:spacing w:after="0" w:line="93"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Administrative and general. </w:t>
      </w:r>
      <w:r>
        <w:rPr>
          <w:rFonts w:ascii="Arial" w:cs="Arial" w:eastAsia="Arial" w:hAnsi="Arial"/>
          <w:sz w:val="21"/>
          <w:szCs w:val="21"/>
          <w:color w:val="auto"/>
        </w:rPr>
        <w:t>Administrative and general expenses for the Current Year Quarter and Current Six Months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were $4.0 million and $4.0 million higher compared to the Prior Year Quarter and Prior Six Months, respectively, primarily due to a $3.0 million transaction fee paid to SEACOR Holdings under the Tax Refund Agreement.</w:t>
      </w:r>
    </w:p>
    <w:p>
      <w:pPr>
        <w:spacing w:after="0" w:line="129"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Six</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was $1.1 million and $2.2 million lower compared with the Prior Year Quarter and Prior Six Months, respectively, primarily due to net fleet dispositions.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Gains (Losses) on Asset Dispositions and Impairments, Net. </w:t>
      </w:r>
      <w:r>
        <w:rPr>
          <w:rFonts w:ascii="Arial" w:cs="Arial" w:eastAsia="Arial" w:hAnsi="Arial"/>
          <w:sz w:val="21"/>
          <w:szCs w:val="21"/>
          <w:color w:val="auto"/>
        </w:rPr>
        <w:t>During the Current Year Quarter, the Company sold two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FSVs, one vessel under construction and other equipment for $15.5 million cash and losses of $0.2 million all of which was recognized currently. In addition, the Company recorded aggregate impairment charges of $3.3 million related to one specialty vessel and three liftboats. During the Prior Year Quarter, the Company sold three AHTS vessels and one specialty vessel previously retired and removed from service, two FSVs, and two supply vessels and other equipment for net proceeds of $9.7 million and a gain of $2.1 million, all of which was recognized currently. In addition, the Company recorded aggregate impairment charges of $5.9 million related to two AHTS vessels previously removed from service, two AHTS vessels and four FSVs which were all adjusted to indicative sales price.</w:t>
      </w:r>
    </w:p>
    <w:p>
      <w:pPr>
        <w:spacing w:after="0" w:line="140"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During the Current Six Months, the Company sold two AHTS vessels and one specialty vessel previously removed from service, four FSVs, one vessel under construction and other equipment for $18.6 million ($17.7 million cash and $0.9 million in previously received deposits) and gains of $0.9 million all of which was recognized currently. In addition, the Company recorded aggregate impairment charges of $12.5 million related to six liftboats (two leased in and four owned) and one specialty vessel and recognized net losses of $4.5 million ($4.8 million loss due to the disposal of one vessel under construction, offset by a $0.3 million gain due to the redelivery of one leased-in AHTS vessel). During the Prior Six Months, the Company sold three AHTS vessels and one specialty vessel previously retired and removed from service, two FSVs, one vessel under construction and two supply vessels and other equipment for net proceeds of $14.0 million ($9.7 million in cash and $4.3 million of previously received deposits) and a gain of $2.3 million, all of which was recognized currently. In addition, the Company recorded aggregate impairment charges of $5.9 million related to two AHTS vessels previously removed from service, two other AHTS vessels and four FSVs which were all adjusted to indicative sales price.</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June 30, the Company’s other income (expense)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4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529</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215</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(6,995)</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(7,633)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(14,633)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(15,297)</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 net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(1,398)</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(2,323)</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Foreign currency gains, net</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(924)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(254)</w:t>
            </w:r>
          </w:p>
        </w:tc>
      </w:tr>
      <w:tr>
        <w:trPr>
          <w:trHeight w:val="20"/>
        </w:trPr>
        <w:tc>
          <w:tcPr>
            <w:tcW w:w="5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(6,561)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(9,772)</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(8,360)</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(17,366)</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in the Current Year Quarter and Current Six Months compared with the Prior 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Quarter and Prior Six Months was higher primarily due to an increase in notes issued to the Company by one of its joint ventures.</w:t>
      </w:r>
    </w:p>
    <w:p>
      <w:pPr>
        <w:spacing w:after="0" w:line="6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and Current Six Months compared with the Prior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and Prior Six Months was primarily lower due to lower interest rates on the floating rate debt.</w:t>
      </w:r>
    </w:p>
    <w:p>
      <w:pPr>
        <w:spacing w:after="0" w:line="13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Derivative losses, net. </w:t>
      </w:r>
      <w:r>
        <w:rPr>
          <w:rFonts w:ascii="Arial" w:cs="Arial" w:eastAsia="Arial" w:hAnsi="Arial"/>
          <w:sz w:val="22"/>
          <w:szCs w:val="22"/>
          <w:color w:val="auto"/>
        </w:rPr>
        <w:t>Net derivative gains during the Current Year Quarter and Current Six Months compared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Year Quarter and Prior Six Months were primarily due to decreases in the fair value of the Company’s conversion option liability embedded in the Company’s Convertible Senior Notes. The decrease in the conversion option liability was primarily the result of the drop in the Company’s stock price.</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Foreign currency gains, net. </w:t>
      </w:r>
      <w:r>
        <w:rPr>
          <w:rFonts w:ascii="Arial" w:cs="Arial" w:eastAsia="Arial" w:hAnsi="Arial"/>
          <w:sz w:val="22"/>
          <w:szCs w:val="22"/>
          <w:color w:val="auto"/>
        </w:rPr>
        <w:t>Foreign currency gains for the Current Year Quarter were relatively stable compared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more volatility of fluctuating currencies during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For the six months ended June 30, 2020, the Company’s effective income tax rate of 43.8% was primarily due to income tax benefits recognized as a result of the Coronavirus Aid, Relief, and Economic Security Act (the “CARES” Act) signed into law in March 2020, as well as taxes provided on income attributable to noncontrolling interests, foreign sourced income not subject to U.S. income taxes, foreign taxes not creditable against U.S. income taxes, and the adjustment for the acquisition of the remaining minority membership interest in Falcon Global Holdings LLC. For the six months ended June 30, 2019, the Company’s effective income tax rate of 12.7% was primarily due to taxes provided on income attributable to noncontrolling interests, foreign sourced income not subject to U.S. income taxes, foreign taxes not creditable against U.S. income taxes, and a reversal of an unrecognized tax benefit.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Equity in earnings (losses) of 50% or less owned companies for the Current Six Months compared with the Prior Six Months were $12.4 million higher due to the following changes in equity earnings (losses)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4"/>
              </w:rPr>
              <w:t>Three Months Ended June 30,</w:t>
            </w:r>
          </w:p>
        </w:tc>
        <w:tc>
          <w:tcPr>
            <w:tcW w:w="200" w:type="dxa"/>
            <w:vAlign w:val="bottom"/>
          </w:tcPr>
          <w:p>
            <w:pPr>
              <w:spacing w:after="0"/>
              <w:rPr>
                <w:sz w:val="18"/>
                <w:szCs w:val="18"/>
                <w:color w:val="auto"/>
              </w:rPr>
            </w:pPr>
          </w:p>
        </w:tc>
        <w:tc>
          <w:tcPr>
            <w:tcW w:w="244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0"/>
        </w:trPr>
        <w:tc>
          <w:tcPr>
            <w:tcW w:w="5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(120)</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OSV Partners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(306)</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(425)</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(779)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(888)</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Dynamic Offshore Drilling</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(935)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(1,676)</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SEACOR Offshore Delta (f/k/a SEACOSCO)</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(1,761)</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(1,702)</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(3,402)</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Mexmar Offshore International</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(3,796)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(4,901)</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Timsah</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(326)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(379)</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FF0FC"/>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2,130</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(7,078)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1,891</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(10,554)</w:t>
            </w:r>
          </w:p>
        </w:tc>
      </w:tr>
      <w:tr>
        <w:trPr>
          <w:trHeight w:val="20"/>
        </w:trPr>
        <w:tc>
          <w:tcPr>
            <w:tcW w:w="5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0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June 30, 2020, the Company had unfunded capital commitments of $27.9 million that included three PSVs and two CTVs. Of the amount of unfunded capital commitments, $17.2 million is payable during the remainder of 2020 and $10.7 million is payable during 2021. The Company has indefinitely deferred an additional $9.6 million of orders with respect to one FSV that the Company had previously reported as unfunded capital commitments.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1" w:name="page52"/>
    <w:bookmarkEnd w:id="51"/>
    <w:p>
      <w:pPr>
        <w:jc w:val="both"/>
        <w:ind w:right="20" w:firstLine="749"/>
        <w:spacing w:after="0" w:line="250" w:lineRule="auto"/>
        <w:rPr>
          <w:sz w:val="20"/>
          <w:szCs w:val="20"/>
          <w:color w:val="auto"/>
        </w:rPr>
      </w:pPr>
      <w:r>
        <w:rPr>
          <w:rFonts w:ascii="Arial" w:cs="Arial" w:eastAsia="Arial" w:hAnsi="Arial"/>
          <w:sz w:val="22"/>
          <w:szCs w:val="22"/>
          <w:color w:val="auto"/>
        </w:rPr>
        <w:t>As of June 30, 2020, the Company had outstanding debt of $499.5 million, net of debt discount and issue costs. The Company’s contractual long-term debt maturities as of June 30, 2020,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Actual</w:t>
            </w:r>
          </w:p>
        </w:tc>
      </w:tr>
      <w:tr>
        <w:trPr>
          <w:trHeight w:val="212"/>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2020</w:t>
            </w:r>
          </w:p>
        </w:tc>
        <w:tc>
          <w:tcPr>
            <w:tcW w:w="380" w:type="dxa"/>
            <w:vAlign w:val="bottom"/>
            <w:tcBorders>
              <w:top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15,488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2021</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35,743</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63,286</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2023</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244,127</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123,331</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Years subsequent to 2024</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70,991</w:t>
            </w:r>
          </w:p>
        </w:tc>
        <w:tc>
          <w:tcPr>
            <w:tcW w:w="100" w:type="dxa"/>
            <w:vAlign w:val="bottom"/>
          </w:tcPr>
          <w:p>
            <w:pPr>
              <w:spacing w:after="0"/>
              <w:rPr>
                <w:sz w:val="18"/>
                <w:szCs w:val="18"/>
                <w:color w:val="auto"/>
              </w:rPr>
            </w:pPr>
          </w:p>
        </w:tc>
      </w:tr>
      <w:tr>
        <w:trPr>
          <w:trHeight w:val="209"/>
        </w:trPr>
        <w:tc>
          <w:tcPr>
            <w:tcW w:w="9260" w:type="dxa"/>
            <w:vAlign w:val="bottom"/>
          </w:tcPr>
          <w:p>
            <w:pPr>
              <w:spacing w:after="0"/>
              <w:rPr>
                <w:sz w:val="18"/>
                <w:szCs w:val="18"/>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552,966</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As of June 30, 2020, the Company held balances of cash, cash equivalents, restricted cash and construction reserve funds totaling $58.1 million, of which $4.2 million was construction reserve funds held as cash. Additionally, the Company had $1.4 million available under subsidiary credit facilities. In addition, as a result of the CARES Act and the entry into the Tax Refund Agreement, the Company expects to receive a net amount of cash tax refunds of approximately $28.2 million, with approximately $23.7 million expected to be received within the next nine months, subject to the filing of the necessary tax refund claims and the refund schedule of the Internal Revenue Service.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six months ended June 30, the following is a summary of the Company’s cash flows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78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76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(20,138)</w:t>
            </w: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(1,693)</w:t>
            </w: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(25,093)</w:t>
            </w: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(8,724)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(11,380)</w:t>
            </w: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(1,643)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w:t>
            </w:r>
          </w:p>
        </w:tc>
        <w:tc>
          <w:tcPr>
            <w:tcW w:w="120" w:type="dxa"/>
            <w:vAlign w:val="bottom"/>
            <w:shd w:val="clear" w:color="auto" w:fill="CFF0FC"/>
          </w:tcPr>
          <w:p>
            <w:pPr>
              <w:spacing w:after="0"/>
              <w:rPr>
                <w:sz w:val="19"/>
                <w:szCs w:val="19"/>
                <w:color w:val="auto"/>
              </w:rPr>
            </w:pPr>
          </w:p>
        </w:tc>
      </w:tr>
      <w:tr>
        <w:trPr>
          <w:trHeight w:val="213"/>
        </w:trPr>
        <w:tc>
          <w:tcPr>
            <w:tcW w:w="69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7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FF0FC"/>
            </w:tcBorders>
          </w:tcPr>
          <w:p>
            <w:pPr>
              <w:spacing w:after="0"/>
              <w:rPr>
                <w:sz w:val="18"/>
                <w:szCs w:val="18"/>
                <w:color w:val="auto"/>
              </w:rPr>
            </w:pP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Restricted Cash and Cash Equivalents</w:t>
            </w:r>
          </w:p>
        </w:tc>
        <w:tc>
          <w:tcPr>
            <w:tcW w:w="1760" w:type="dxa"/>
            <w:vAlign w:val="bottom"/>
            <w:gridSpan w:val="2"/>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(28,997)</w:t>
            </w: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(35,840)</w:t>
            </w: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2" w:name="page53"/>
    <w:bookmarkEnd w:id="52"/>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used in continuing operating activities decreased by $18.4 million in the Current Six Months compared with the Prior Six Months. The components of cash flows used in operating activities during the Current Six Months and Prior Six Months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6"/>
          </w:tcPr>
          <w:p>
            <w:pPr>
              <w:jc w:val="right"/>
              <w:ind w:right="88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0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12"/>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primarily West Africa</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6,544</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8,414</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4,756</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Europe, Continuing Operations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6,374</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leased-in equipment (excluding amortization of deferred gains)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(7,652)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(9,728)</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(23,128)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(20,151)</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SEACOR Holdings management and guarantee fees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w:t>
            </w:r>
          </w:p>
        </w:tc>
      </w:tr>
      <w:tr>
        <w:trPr>
          <w:trHeight w:val="213"/>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6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FF0FC"/>
            </w:tcBorders>
          </w:tcPr>
          <w:p>
            <w:pPr>
              <w:spacing w:after="0"/>
              <w:rPr>
                <w:sz w:val="18"/>
                <w:szCs w:val="18"/>
                <w:color w:val="auto"/>
              </w:rPr>
            </w:pPr>
          </w:p>
        </w:tc>
      </w:tr>
      <w:tr>
        <w:trPr>
          <w:trHeight w:val="213"/>
        </w:trPr>
        <w:tc>
          <w:tcPr>
            <w:tcW w:w="70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(2,354)</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(16,437)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7,845</w:t>
            </w:r>
          </w:p>
        </w:tc>
        <w:tc>
          <w:tcPr>
            <w:tcW w:w="1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Director share awards</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Restricted stock vested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(282)</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Cash settlements on derivative transactions, net</w:t>
            </w: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FF0FC"/>
          </w:tcPr>
          <w:p>
            <w:pPr>
              <w:spacing w:after="0"/>
              <w:rPr>
                <w:sz w:val="19"/>
                <w:szCs w:val="19"/>
                <w:color w:val="auto"/>
              </w:rPr>
            </w:pPr>
          </w:p>
        </w:tc>
      </w:tr>
      <w:tr>
        <w:trPr>
          <w:trHeight w:val="216"/>
        </w:trPr>
        <w:tc>
          <w:tcPr>
            <w:tcW w:w="7040" w:type="dxa"/>
            <w:vAlign w:val="bottom"/>
          </w:tcPr>
          <w:p>
            <w:pPr>
              <w:spacing w:after="0" w:line="216"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(9,273)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(10,564)</w:t>
            </w:r>
          </w:p>
        </w:tc>
      </w:tr>
      <w:tr>
        <w:trPr>
          <w:trHeight w:val="216"/>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received</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FF0FC"/>
          </w:tcPr>
          <w:p>
            <w:pPr>
              <w:spacing w:after="0"/>
              <w:rPr>
                <w:sz w:val="18"/>
                <w:szCs w:val="18"/>
                <w:color w:val="auto"/>
              </w:rPr>
            </w:pPr>
          </w:p>
        </w:tc>
      </w:tr>
      <w:tr>
        <w:trPr>
          <w:trHeight w:val="213"/>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 refunded, net</w:t>
            </w:r>
          </w:p>
        </w:tc>
        <w:tc>
          <w:tcPr>
            <w:tcW w:w="6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Borders>
              <w:bottom w:val="single" w:sz="8" w:color="CFF0FC"/>
            </w:tcBorders>
          </w:tcPr>
          <w:p>
            <w:pPr>
              <w:spacing w:after="0"/>
              <w:rPr>
                <w:sz w:val="18"/>
                <w:szCs w:val="18"/>
                <w:color w:val="auto"/>
              </w:rPr>
            </w:pPr>
          </w:p>
        </w:tc>
      </w:tr>
      <w:tr>
        <w:trPr>
          <w:trHeight w:val="20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Total cash flows provided by (used in) operating activities</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(20,138)</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(1,693)</w:t>
            </w:r>
          </w:p>
        </w:tc>
      </w:tr>
      <w:tr>
        <w:trPr>
          <w:trHeight w:val="20"/>
        </w:trPr>
        <w:tc>
          <w:tcPr>
            <w:tcW w:w="70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8890</wp:posOffset>
            </wp:positionV>
            <wp:extent cx="21602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ind w:left="380" w:hanging="372"/>
        <w:spacing w:after="0" w:line="293" w:lineRule="auto"/>
        <w:tabs>
          <w:tab w:leader="none" w:pos="380" w:val="left"/>
        </w:tabs>
        <w:numPr>
          <w:ilvl w:val="0"/>
          <w:numId w:val="27"/>
        </w:numPr>
        <w:rPr>
          <w:rFonts w:ascii="Arial" w:cs="Arial" w:eastAsia="Arial" w:hAnsi="Arial"/>
          <w:sz w:val="15"/>
          <w:szCs w:val="15"/>
          <w:color w:val="auto"/>
        </w:rPr>
      </w:pPr>
      <w:r>
        <w:rPr>
          <w:rFonts w:ascii="Arial" w:cs="Arial" w:eastAsia="Arial" w:hAnsi="Arial"/>
          <w:sz w:val="16"/>
          <w:szCs w:val="16"/>
          <w:color w:val="auto"/>
        </w:rPr>
        <w:t>During the Current Six Months and the Prior Six Months, capitalized interest paid and included in purchases of property and equipment for continuing operations was $0.5 million and $0.7 million, respectively.</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During the Current Six Months, net cash provided by investing activities was $1.5 million, primarily for the following:</w:t>
      </w:r>
    </w:p>
    <w:p>
      <w:pPr>
        <w:spacing w:after="0" w:line="133" w:lineRule="exact"/>
        <w:rPr>
          <w:sz w:val="20"/>
          <w:szCs w:val="20"/>
          <w:color w:val="auto"/>
        </w:rPr>
      </w:pPr>
    </w:p>
    <w:p>
      <w:pPr>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capital expenditures were $19.8 million;</w:t>
      </w:r>
    </w:p>
    <w:p>
      <w:pPr>
        <w:spacing w:after="0" w:line="98" w:lineRule="exact"/>
        <w:rPr>
          <w:rFonts w:ascii="Arial" w:cs="Arial" w:eastAsia="Arial" w:hAnsi="Arial"/>
          <w:sz w:val="22"/>
          <w:szCs w:val="22"/>
          <w:color w:val="auto"/>
        </w:rPr>
      </w:pPr>
    </w:p>
    <w:p>
      <w:pPr>
        <w:jc w:val="both"/>
        <w:ind w:left="1260" w:hanging="510"/>
        <w:spacing w:after="0" w:line="238"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sold two AHTS vessels and one specialty vessel previously retired and removed from service, four FSVs, one vessel under construction and other equipment for net proceeds of $18.6 million ($17.7 million cash and $0.6 million in previously received deposits). In addition, the Company received $0.6 million in deposits for future sales;</w:t>
      </w:r>
    </w:p>
    <w:p>
      <w:pPr>
        <w:spacing w:after="0" w:line="76" w:lineRule="exact"/>
        <w:rPr>
          <w:rFonts w:ascii="Arial" w:cs="Arial" w:eastAsia="Arial" w:hAnsi="Arial"/>
          <w:sz w:val="22"/>
          <w:szCs w:val="22"/>
          <w:color w:val="auto"/>
        </w:rPr>
      </w:pPr>
    </w:p>
    <w:p>
      <w:pPr>
        <w:ind w:left="1260" w:hanging="510"/>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$12.9 million;</w:t>
      </w:r>
    </w:p>
    <w:p>
      <w:pPr>
        <w:spacing w:after="0" w:line="98" w:lineRule="exact"/>
        <w:rPr>
          <w:rFonts w:ascii="Arial" w:cs="Arial" w:eastAsia="Arial" w:hAnsi="Arial"/>
          <w:sz w:val="22"/>
          <w:szCs w:val="22"/>
          <w:color w:val="auto"/>
        </w:rPr>
      </w:pPr>
    </w:p>
    <w:p>
      <w:pPr>
        <w:jc w:val="both"/>
        <w:ind w:left="1260" w:hanging="510"/>
        <w:spacing w:after="0" w:line="236"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completed the acquisition of the SEACOSCO Interests that it did not already own from the SEACOSCO Sellers. As a result of the completion of the acquisition, the Company owns 100% of the membership interests in SEACOR Offshore Delta LLC (formerly known as SEACOSCO Offshore LLC). The price payable by SEACOR Offshore Asia for the membership interests is $28.2 million, $8.4 million of which was paid to the Sellers at the closing of the transaction.</w:t>
      </w:r>
    </w:p>
    <w:p>
      <w:pPr>
        <w:spacing w:after="0" w:line="79" w:lineRule="exact"/>
        <w:rPr>
          <w:rFonts w:ascii="Arial" w:cs="Arial" w:eastAsia="Arial" w:hAnsi="Arial"/>
          <w:sz w:val="22"/>
          <w:szCs w:val="22"/>
          <w:color w:val="auto"/>
        </w:rPr>
      </w:pPr>
    </w:p>
    <w:p>
      <w:pPr>
        <w:ind w:left="1260" w:hanging="510"/>
        <w:spacing w:after="0"/>
        <w:tabs>
          <w:tab w:leader="none" w:pos="1260"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$0.3 million.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ind w:firstLine="749"/>
        <w:spacing w:after="0" w:line="250" w:lineRule="auto"/>
        <w:rPr>
          <w:sz w:val="20"/>
          <w:szCs w:val="20"/>
          <w:color w:val="auto"/>
        </w:rPr>
      </w:pPr>
      <w:r>
        <w:rPr>
          <w:rFonts w:ascii="Arial" w:cs="Arial" w:eastAsia="Arial" w:hAnsi="Arial"/>
          <w:sz w:val="22"/>
          <w:szCs w:val="22"/>
          <w:color w:val="auto"/>
        </w:rPr>
        <w:t>During the Prior Six Months, net cash used in investing activities was $25.1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capital expenditures were $40.0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sold three AHTS vessels and one specialty vessel previously retired and removed from service, one ERRV, two FSVs, two supply vessels and one vessel under construction for net proceeds of $14.0 million ($9.7 million cash plus $4.3 million previously received deposit);</w:t>
      </w:r>
    </w:p>
    <w:p>
      <w:pPr>
        <w:spacing w:after="0" w:line="78" w:lineRule="exact"/>
        <w:rPr>
          <w:rFonts w:ascii="Arial" w:cs="Arial" w:eastAsia="Arial" w:hAnsi="Arial"/>
          <w:sz w:val="22"/>
          <w:szCs w:val="22"/>
          <w:color w:val="auto"/>
        </w:rPr>
      </w:pPr>
    </w:p>
    <w:p>
      <w:pPr>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$7.9 million; and</w:t>
      </w:r>
    </w:p>
    <w:p>
      <w:pPr>
        <w:spacing w:after="0" w:line="98"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made investments in, and advances to, its 50% or less owned companies of $2.7 million, comprised primarily of its capital contribution in the SEACOSCO joint venture.</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During the Current Six Months, net cash used in financing activities was $8.7 million. The Company made scheduled payments on long-term debt and obligations of $8.7 million.</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Six Months, net cash used in financing activities was $11.4 million. The Company:</w:t>
      </w:r>
    </w:p>
    <w:p>
      <w:pPr>
        <w:spacing w:after="0" w:line="98"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made scheduled payments on long-term debt and obligations of $8.1 million;</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purchased subsidiary shares from holders of noncontrolling interests for $3.4 million;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issued Common Stok for proceeds of $0.1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 As noted above under “Overview”, there are a number of steps the Company has and can take to mitigate any further adverse effects to the Company’s liquidity stemming from the COVID-19 pandemic and the resulting depressed oil and natural gas price environment, including sales of assets, workforce reduction and other cost reduction measures. In addition, we expect to receive a meaningful amount of tax refunds over the next 9 months as a result of the changes in the current U.S. tax law included in the CARES Act. While the COVID-19 pandemic has reduced the demand for our products and services, the COVID-19 pandemic has not had a material impact on the Company’s liquidity or, except as noted in “Note 5. Long-Term Debt” in the unaudited consolidated financial statements included in Part I. Item 1. “Financial Statements” elsewhere in this Quarterly Report on Form 10-Q, on the Company’s ability to meet its financial maintenance covenants in its various credit facilities. However, the Company's primary credit facility requires the Company to maintain a minimum of $35 million of cash on hand (including restricted cash) at all times. As of June 30, 2020 the Company's cash balances used to test compliance with this covenant was $58.1 million and the Company expects cash flow from operations and tax refunds the Company expects to receive (as described under "--Recent Developments-Tax Refund Agreement" which would be included in the covenant calculation) will be sufficient to maintain compliance with this covenant for the foreseeable future. However, if the effect of the COVID-19 pandemic on the Company's business becomes more severe, for example by further reducing the demand for the Company’s products and services or causing customers not to make their payments on time, or the Company does not receive its expected tax refunds in a timely manner, the Company may be required to seek amendments to the covenant to avoid a default under the facility.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4" w:name="page55"/>
    <w:bookmarkEnd w:id="54"/>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off-balance sheet arrangements, refer to Liquidity and Capital Resources in the Company’s 2019 Annual Report. There has been no material change in the Company’s off-balance sheet arrangements during the six months ended June 30, 2020.</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5. Long-Term Debt” in the unaudited consolidated financial statements included in Part I. Item 1. “Financial Statements” elsewhere in this Quarterly Report on Form 10-Q and in “Note 8. Long-Term Debt” in the Company’s audited consolidated financial statements included in its 2019 Annual Report.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contractual obligations and commercial commitments, refer to Liquidity and Capital Resources in the Company’s Annual Report on Form 10-K for the year ended December 31, 2019. There has been no material change in the Company’s contractual obligations and commercial commitments.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8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of June 30, 2020, SEACOR Holdings has guaranteed $14.6 million on behalf of the Company for various obligations including: performance obligations under sale-leaseback arrangements and invoiced amounts for funding deficits under the Merchant Navy Officers Pension Fund. SEACOR Holdings charges the Company a fee of 0.5% per annum on outstanding guaranteed amounts, which declines as the obligations are settled by the Company.</w:t>
      </w:r>
    </w:p>
    <w:p>
      <w:pPr>
        <w:spacing w:after="0" w:line="13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the normal course of its business, the Company becomes involved in various other litigation matters including, among other things,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2019 Annual Report. There has been no material change in the Company’s exposure to market risk during the six months ended June 30, 2020.</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June 30, 2020. Based on their evaluation, the Company’s principal executive officer and principal financial officer concluded that the Company’s disclosure controls and procedures were not effective as of June 30, 2020 solely as a result of the material weakness in the Company’s internal control over financial reporting described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5" w:name="page56"/>
    <w:bookmarkEnd w:id="55"/>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Weakness in Internal Control Over Financial Reporting Existing as of June 30, 2020</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During the preparation of the Company’s financial statements as of and for the three months ended March 31, 2020, prior to public dissemination of the condensed consolidated financial statements and related information for the period, an error was identified related to the accounting for the bifurcated conversion option liability derivative embedded in the Company’s Convertible Senior Notes (See “Note 8. Derivative Instruments and Hedging Strategies” in the unaudited consolidated financial statements included in Part I. Item 1. “Financial Statements” elsewhere in this Quarterly Report on Form 10-Q). As a result, the Company’s management evaluated the effectiveness of the related internal control over financial reporting as of March 31, 2020 and determined that a material weakness existed and re-evaluated the effectiveness of the related internal control over financial reporting as of June 30, 2020 and determined that the material weakness continued to exist. Specifically, management determined the Company did not maintain effective controls over the journal entry review of estimates utilizing third-party information, as the control did not operate at the designed level of precision to initially detect the error.</w:t>
      </w:r>
    </w:p>
    <w:p>
      <w:pPr>
        <w:spacing w:after="0" w:line="13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Notwithstanding the identified material weakness, management believes the condensed consolidated financial statements, as included in this Quarterly Report on Form 10-Q, fairly represent, in all material respects, the Company’s financial condition, results of operations and cash flows as of and for the periods presented in accordance with generally accepted accounting principles in the United States. No previously reported financial statements were affected by this error.</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Remediation Plans</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Management and the board of directors of SEACOR Marine (the “Board of Directors”) take the Company’s internal control over financial reporting and the integrity of its financial statements seriously. In an effort to remediate the material weakness discussed above, management has reviewed our current journal entry review process to determine appropriate improvements and implement enhanced procedures. These enhanced procedures include training and educating the applicable accounting employees over the journal entry “review controls” requirements. Specifically, these measures will include:</w:t>
      </w:r>
    </w:p>
    <w:p>
      <w:pPr>
        <w:spacing w:after="0" w:line="39" w:lineRule="exact"/>
        <w:rPr>
          <w:sz w:val="20"/>
          <w:szCs w:val="20"/>
          <w:color w:val="auto"/>
        </w:rPr>
      </w:pPr>
    </w:p>
    <w:p>
      <w:pPr>
        <w:jc w:val="both"/>
        <w:ind w:left="1260" w:hanging="510"/>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key and complex journal entries utilizing third party information going through a group review meeting including the preparer, reviewer, the Corporate Controller and the Chief Accounting Officer; the key and complex journal entries including, but not limited to the option derivative valuation;</w:t>
      </w:r>
    </w:p>
    <w:p>
      <w:pPr>
        <w:spacing w:after="0" w:line="78" w:lineRule="exact"/>
        <w:rPr>
          <w:rFonts w:ascii="Arial" w:cs="Arial" w:eastAsia="Arial" w:hAnsi="Arial"/>
          <w:sz w:val="22"/>
          <w:szCs w:val="22"/>
          <w:color w:val="auto"/>
        </w:rPr>
      </w:pPr>
    </w:p>
    <w:p>
      <w:pPr>
        <w:ind w:left="1260" w:right="20" w:hanging="510"/>
        <w:spacing w:after="0" w:line="250" w:lineRule="auto"/>
        <w:tabs>
          <w:tab w:leader="none" w:pos="12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documenting written procedures for key and complex journal entries to ensure that the journal entries are accurately prepared and supported, and to facilitate the review of journal entries;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6" w:name="page57"/>
    <w:bookmarkEnd w:id="56"/>
    <w:p>
      <w:pPr>
        <w:ind w:left="1260" w:hanging="510"/>
        <w:spacing w:after="0" w:line="251"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expanding, formalizing and documenting additional variance analysis at a more precise level for the consolidated financial statements at corporate level and financial statements at the regional level; and</w:t>
      </w:r>
    </w:p>
    <w:p>
      <w:pPr>
        <w:spacing w:after="0" w:line="65" w:lineRule="exact"/>
        <w:rPr>
          <w:rFonts w:ascii="Arial" w:cs="Arial" w:eastAsia="Arial" w:hAnsi="Arial"/>
          <w:sz w:val="22"/>
          <w:szCs w:val="22"/>
          <w:color w:val="auto"/>
        </w:rPr>
      </w:pPr>
    </w:p>
    <w:p>
      <w:pPr>
        <w:ind w:left="1260" w:hanging="510"/>
        <w:spacing w:after="0" w:line="328" w:lineRule="auto"/>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reducing the established variance threshold to any variance over $500K; or any variance over $100K and 10% comparing Quarter-to-Date balances from current year vs last year for both Balance Sheet and Income Statements.</w:t>
      </w:r>
    </w:p>
    <w:p>
      <w:pPr>
        <w:spacing w:after="0" w:line="6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Management and the Board of Directors are committed to maintaining a strong internal control environment and will make every effort to ensure that the material weakness described above is promptly remediated, however, the material weakness cannot be considered remediated until the applicable remedial controls as discussed above are implemented and operate for a sufficient period of time to allow management to conclude, through testing, that this remediation plan is implemented and the control is operating effectively. As of June 30, 2020, management is in the process of implementing the remediation procedures designed to address the material weakness discussed above for the year ended 2020. The company expects that the remediation of this material weakness will be completed prior to the end of fiscal year 2020.</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Other than the identification of the material weakness discussed above, there have been no changes in the Company’s internal control over financial reporting (as defined in Rules 13a-15(f) and 15d-15(f) under the Exchange Act) that occurred during the six months ended June 30,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2019 Annual Report, see “Note 12.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risk factors, refer to “Risk Factors” included in the Company’s 2019 Annual Report. Except as set forth below, there have been no material changes in the Company’s risk factors during the Current Three Months.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Company is exposed to fluctuating prices of oil and decreased demand for oil. The coronavirus (“COVID-19”) pandemic has resulted in a decrease in the price of and demand for oil, which has caused, and may continue to cause, a decrease in the demand for the Company’s services.</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In the recent months, oil prices have experienced record declines in response to a significant amount of anticipated oversupply in oil and natural gas caused by (i) the COVID-19 pandemic that began in late 2019 and has led to a substantial decrease in global economic activity and (ii) supply decisions principally by Russia and Saudi Arabia resulting in failure to agree on terms to maintain production limits and the ensuing influx of additional oil to an already oversupplied market. These declines in oil and natural gas prices come on top of prices that have, for the last few years, been below historic averages. On January 2, 2020, WTI crude oil prices closed at a price of $61.18 per barrel. On April 20, 2020, the NYMEX WTI oil futures price for May 2020 went “negative” to -$37.63 per barrel. By June 30, 2020, the last trading date of the second quarter of 2020, WTI crude oil prices closed at a price of $39.27 per barrel, still well below historic average. While OPEC+ members have implemented production cut, the cuts have failed to return oil and natural gas prices to levels seen prior to the COVID-19 pandemic. To the extent that the outbreak of COVID-19 continues to negatively impact demand, the Company expects there to be excess supply of oil and natural gas for the foreseeable future. This excess supply could, in turn, result in transportation and storage capacity constraints in the United States, or even the elimination of available storage.</w:t>
      </w:r>
    </w:p>
    <w:p>
      <w:pPr>
        <w:spacing w:after="0" w:line="13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market for the Company’s offshore support services is impacted by the comparative price for exploring, developing, and producing oil and natural gas and by the corresponding supply and demand for oil and natural gas, both globally and regionally. Since developing offshore oil fields, particularly in deep waters, is one of the most expensive sources of hydrocarbons and providing transportation and logistics services to these markets is the largest component of the Company’s business, the Company is particularly exposed to depressed oil and natural gas prices that last for some period of time. When the Company’s customers experience low commodity prices or come to believe that they will be low in the future, they generally reduce their capital spending for offshore drilling, exploration and field development. The significant decrease in oil and natural gas prices that began in the second half of 2014 caused a reduction in many of the Company’s customers’ exploratory, drilling, completion and other production activities and, as a result, related spending on the Company’s services. The decrease in prices caused by COVID-19 could cause the Company’s customers’ to further reduce exploratory, drilling, completion and other production activities, which could have a material adverse effect on the Company’s business and liquidity.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2"/>
          <w:szCs w:val="22"/>
          <w:b w:val="1"/>
          <w:bCs w:val="1"/>
          <w:i w:val="1"/>
          <w:iCs w:val="1"/>
          <w:color w:val="auto"/>
        </w:rPr>
        <w:t>The Company’s operation and workforce faces risks related to the COVID-19 pandemic, which could significantly disrupt the Company’s operations</w:t>
      </w:r>
      <w:r>
        <w:rPr>
          <w:rFonts w:ascii="Arial" w:cs="Arial" w:eastAsia="Arial" w:hAnsi="Arial"/>
          <w:sz w:val="22"/>
          <w:szCs w:val="22"/>
          <w:color w:val="auto"/>
        </w:rPr>
        <w:t>.</w:t>
      </w:r>
    </w:p>
    <w:p>
      <w:pPr>
        <w:spacing w:after="0" w:line="14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Company’s business could be adversely affected by the effects of the COVID-19 pandemic. The pandemic may affect the health of the Company’s workforce, and international, national and local government interventions enacted to reduce the spread of COVID-19 may render the Company’s employees unable to commute to work and/or travel. Although the Company’s workforce is largely considered to be “essential” under guidance issued by the U.S. Cybersecurity and Infrastructure Security Agency, work, travel and other restrictions may vary in other regions of the world in which the Company has significant operations, such as Africa, Middle East and Asia, Latin America and Europe. Therefore, the Company may experience reduced productivity and an inability to fully support its offshore operations if the Company’s onshore personnel work remotely due to restrictions related to COVID-19.</w:t>
      </w:r>
    </w:p>
    <w:p>
      <w:pPr>
        <w:spacing w:after="0" w:line="13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Additionally, any outbreak of COVID-19 on any of the Company’s vessels may result in the vessel, or some or all of the vessel crew, being quarantined, which would hinder the vessel’s ability to generate revenue and the crew’s ability to man any substitute vessel. The Company may also experience challenges in connection with the Company’s offshore crew changes due to health and travel restrictions related to COVID-19. The duration and severity of the business disruption and related financial impact from the COVID-19 pandemic cannot be reasonably estimated at this time. If the impact of the COVID-19 pandemic continues for an extended period of time, not only could it materially adversely affect the demand for the Company’s services but also the ability of the Company to provide such services, either of which could have a material adverse effect on the Company’s business. To the extent the COVID-19 pandemic adversely affects the Company’s operations and business, it may also have the effect of heightening many of the other risks set forth in the Company’s SEC filings, such as those relating to the Company’s financial performance and debt obligations.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i w:val="1"/>
          <w:iCs w:val="1"/>
          <w:color w:val="auto"/>
        </w:rPr>
        <w:t>Restrictions imposed by the terms of the Company’s existing credit facilities may limit the Company’s operating and financial flexibility. In addition, there can be no assurance that the Company will meet the requirements of its financial covenants on an ongoing basis or that if it should fail to meet such covenants in the future, the lender under the relevant credit agreement will agree to waivers or amendments with respect thereto.</w:t>
      </w:r>
    </w:p>
    <w:p>
      <w:pPr>
        <w:spacing w:after="0" w:line="147"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Many of the Company’s existing credit facilities impose restrictions, such as negative covenants and maintenance of financial ratio covenants, which may limit its operating and financial flexibility. Negative covenants such as limitations on additional indebtedness or liens may affect the Company’s ability to incur additional debt if needed, while asset sale covenants could affect its ability to sell assets to generate liquidity. The Company’s ability to maintain financial ratio covenants may be affected by general economic conditions or other events beyond the Company’s control and no assurance can be given that such ratios will be met in the future. If the Company is unable to meet such ratios, it may be unable to reach agreements with the lenders under such agreements for waivers and/or amendments to the applicable covenants. For example, the Company is currently in non-compliance with the net financial debt covenant included in the Sea-Cat Crewzer III Term Loan Facility and the Company and its lenders under this facility are in discussions to waive or otherwise modify the terms of this covenant.</w:t>
      </w:r>
    </w:p>
    <w:p>
      <w:pPr>
        <w:spacing w:after="0" w:line="11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Failure to achieve and maintain effective internal controls over financial reporting in accordance with Section 404 of the Sarbanes-Oxley Act could have a material adverse effect on the Company.</w:t>
      </w:r>
    </w:p>
    <w:p>
      <w:pPr>
        <w:spacing w:after="0" w:line="13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As a public company, SEACOR Marine is required to maintain internal control over financial reporting and to report any material weaknesses in such internal control. Section 404 of the Sarbanes-Oxley Act of 2002 (the “Sarbanes-Oxley Act”), requires that we evaluate and determine the effectiveness of our internal control over financial reporting and provide a management report on the internal control over financial reporting. Our independent registered public accounting firm is not required to audit the effectiveness of our internal control over financial reporting until after we are no longer an “emerging growth company,” as defined in the Jumpstart Our Business Startups Act, or JOBS Act, which would be no later than our annual report for the fiscal year ending December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9" w:name="page60"/>
    <w:bookmarkEnd w:id="59"/>
    <w:p>
      <w:pPr>
        <w:jc w:val="both"/>
        <w:ind w:firstLine="749"/>
        <w:spacing w:after="0" w:line="238" w:lineRule="auto"/>
        <w:rPr>
          <w:sz w:val="20"/>
          <w:szCs w:val="20"/>
          <w:color w:val="auto"/>
        </w:rPr>
      </w:pPr>
      <w:r>
        <w:rPr>
          <w:rFonts w:ascii="Arial" w:cs="Arial" w:eastAsia="Arial" w:hAnsi="Arial"/>
          <w:sz w:val="22"/>
          <w:szCs w:val="22"/>
          <w:color w:val="auto"/>
        </w:rPr>
        <w:t>In connection with the preparation of its Quarterly Report on Form 10-Q for the period ended March 31, 2020, it was determined that there was a material weakness in the Company’s internal control over financial reporting limited to the journal entry review of estimates utilizing third-party information as described in Part II, Item 4 of this Quarterly Report on Form 10-Q. This material weakness continued to exist as of June 30, 2020.</w:t>
      </w:r>
    </w:p>
    <w:p>
      <w:pPr>
        <w:spacing w:after="0" w:line="15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To address this material weakness, we have immediately begun evaluating a comprehensive remediation plan, which will include enhancements to the journal entry review of estimates utilizing third-party information control. While we will be implementing such enhancements to this review process to remediate this material weakness, we cannot predict the success of such plan or the outcome of our assessment of this plan at this time. If our steps are insufficient to successfully remediate the material weakness and otherwise establish and maintain an effective system of internal control over financial reporting, the reliability of our financial reporting, investor confidence in us and the value of our common stock could be materially and adversely affected. We can give no assurance that this implementation will remediate this deficiency in internal control or that additional material weaknesses in our internal control over financial reporting will not be identified in the future. If the Company is unable to maintain adequate internal control over financial reporting, it may be unable to report its financial information on a timely basis, may violate applicable stock exchange listing rules or suffer other adverse regulatory consequences and may breach the covenants under its credit facilities. There could also be a negative reaction in the price of the Company’s Common Stock due to a loss of investor confidence in the Company and the reliability of its financial statements. It cannot be assumed that the Company will not have another material weakness in its internal controls over financial reporting in the future.</w:t>
      </w:r>
    </w:p>
    <w:p>
      <w:pPr>
        <w:spacing w:after="0" w:line="11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Moreover, the Company’s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w:t>
      </w:r>
    </w:p>
    <w:p>
      <w:pPr>
        <w:spacing w:after="0" w:line="14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For as long as we are an “emerging growth company” under the JOBS Act, our independent registered public accounting firm will not be required to attest to the effectiveness of our internal control over financial reporting pursuant to Section 404. We could be an “emerging growth company” for up to two more fiscal years.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Company’s Third Amended and Restated By-Laws include a forum selection clause, which could limit the Company’s stockholders’ ability to obtain a favorable judicial forum for disputes with the Company.</w:t>
      </w:r>
    </w:p>
    <w:p>
      <w:pPr>
        <w:spacing w:after="0" w:line="13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The Company’s Third Amended and Restated By-Laws (“By-Laws”) require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w:t>
      </w:r>
    </w:p>
    <w:p>
      <w:pPr>
        <w:spacing w:after="0" w:line="3" w:lineRule="exact"/>
        <w:rPr>
          <w:sz w:val="20"/>
          <w:szCs w:val="20"/>
          <w:color w:val="auto"/>
        </w:rPr>
      </w:pPr>
    </w:p>
    <w:p>
      <w:pPr>
        <w:ind w:firstLine="8"/>
        <w:spacing w:after="0" w:line="236" w:lineRule="auto"/>
        <w:tabs>
          <w:tab w:leader="none" w:pos="393"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action asserting a claim arising pursuant to any provision of the Delaware General Corporation Law or (iv) any action asserting a claim governed by the internal affairs doctrine.</w:t>
      </w:r>
    </w:p>
    <w:p>
      <w:pPr>
        <w:spacing w:after="0" w:line="14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This exclusive forum provision will not apply to claims under the Securities Exchange Act of 1934, but will apply to other state and federal law claims including actions arising under the Securities Act of 1933 (although the Company’s stockholders will not be deemed to have waived the Company’s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Any person or entity purchasing or otherwise acquiring any interest in shares of the Company’s capital stock is deemed to have notice of and consented to the foregoing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0" w:name="page61"/>
    <w:bookmarkEnd w:id="60"/>
    <w:p>
      <w:pPr>
        <w:jc w:val="both"/>
        <w:spacing w:after="0" w:line="297" w:lineRule="auto"/>
        <w:rPr>
          <w:sz w:val="20"/>
          <w:szCs w:val="20"/>
          <w:color w:val="auto"/>
        </w:rPr>
      </w:pPr>
      <w:r>
        <w:rPr>
          <w:rFonts w:ascii="Arial" w:cs="Arial" w:eastAsia="Arial" w:hAnsi="Arial"/>
          <w:sz w:val="19"/>
          <w:szCs w:val="19"/>
          <w:color w:val="auto"/>
        </w:rPr>
        <w:t>provisions. This forum selection provision in the Company’s By-Laws may limit the Company’s stockholders’ ability to obtain a favorable judicial forum for disputes with the Company. It is also possible that, notwithstanding the forum selection clause included in the Company’s By-Laws, a court could rule that such a provision is inapplicable or unenforceable.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Number of</w:t>
            </w:r>
          </w:p>
        </w:tc>
        <w:tc>
          <w:tcPr>
            <w:tcW w:w="140" w:type="dxa"/>
            <w:vAlign w:val="bottom"/>
          </w:tcPr>
          <w:p>
            <w:pPr>
              <w:spacing w:after="0"/>
              <w:rPr>
                <w:sz w:val="17"/>
                <w:szCs w:val="17"/>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 Withheld</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April 1, 2020 to April 30, 2020</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3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36"/>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May 1, 2020 to May 31, 2020</w:t>
            </w:r>
          </w:p>
        </w:tc>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20"/>
                <w:szCs w:val="20"/>
                <w:color w:val="auto"/>
              </w:rPr>
            </w:pPr>
          </w:p>
        </w:tc>
      </w:tr>
      <w:tr>
        <w:trPr>
          <w:trHeight w:val="24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June 1, 2020 to June 30, 2020</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80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78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the three months ended June 30, 2020, the Company acquired for treasury 1,028 shares of Common Stock for an aggregate purchase price of $3,339 from its employees to cover their tax withholding obligations upon the lapsing of restrictions on share awards. These shares were purchased in accordance with the terms of the Company’s 2017 Equity Incentive Plan.</w:t>
      </w:r>
    </w:p>
    <w:p>
      <w:pPr>
        <w:spacing w:after="0" w:line="87"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ITEM 6.EXHIBITS</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10.1</w:t>
            </w:r>
          </w:p>
        </w:tc>
        <w:tc>
          <w:tcPr>
            <w:tcW w:w="10060" w:type="dxa"/>
            <w:vAlign w:val="bottom"/>
            <w:gridSpan w:val="19"/>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Sixth Consent and Agreement, dated April 29, 2020, by and among Falcon Global USA LLC, the other loan parties thereto, JPMorgan</w:t>
              </w:r>
            </w:hyperlink>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Chase Bank, N.A. and the lenders party thereto (incorporated herein by reference to Exhibit 10.1 of SEACOR Marine Holdings Inc.’s Form</w:t>
              </w:r>
            </w:hyperlink>
          </w:p>
        </w:tc>
      </w:tr>
      <w:tr>
        <w:trPr>
          <w:trHeight w:val="196"/>
        </w:trPr>
        <w:tc>
          <w:tcPr>
            <w:tcW w:w="1060" w:type="dxa"/>
            <w:vAlign w:val="bottom"/>
          </w:tcPr>
          <w:p>
            <w:pPr>
              <w:spacing w:after="0"/>
              <w:rPr>
                <w:sz w:val="17"/>
                <w:szCs w:val="17"/>
                <w:color w:val="auto"/>
              </w:rPr>
            </w:pPr>
          </w:p>
        </w:tc>
        <w:tc>
          <w:tcPr>
            <w:tcW w:w="10060" w:type="dxa"/>
            <w:vAlign w:val="bottom"/>
            <w:gridSpan w:val="19"/>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8-K filed with the Commission on May 1, 2020 (File No. 001-37966)).</w:t>
              </w:r>
            </w:hyperlink>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10.2</w:t>
            </w:r>
          </w:p>
        </w:tc>
        <w:tc>
          <w:tcPr>
            <w:tcW w:w="10060" w:type="dxa"/>
            <w:vAlign w:val="bottom"/>
            <w:gridSpan w:val="19"/>
          </w:tcPr>
          <w:p>
            <w:pPr>
              <w:spacing w:after="0"/>
              <w:rPr>
                <w:rFonts w:ascii="Arial" w:cs="Arial" w:eastAsia="Arial" w:hAnsi="Arial"/>
                <w:sz w:val="18"/>
                <w:szCs w:val="18"/>
                <w:color w:val="0000EE"/>
                <w:w w:val="93"/>
              </w:rPr>
            </w:pPr>
            <w:hyperlink r:id="rId78">
              <w:r>
                <w:rPr>
                  <w:rFonts w:ascii="Arial" w:cs="Arial" w:eastAsia="Arial" w:hAnsi="Arial"/>
                  <w:sz w:val="18"/>
                  <w:szCs w:val="18"/>
                  <w:color w:val="0000EE"/>
                  <w:w w:val="93"/>
                </w:rPr>
                <w:t>Sale and Purchase Agreement by and between China Shipping Fan Tai Limited, China Shipping Industry (Hong Kong) Co. Limited and</w:t>
              </w:r>
            </w:hyperlink>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060" w:type="dxa"/>
            <w:vAlign w:val="bottom"/>
            <w:gridSpan w:val="19"/>
          </w:tcPr>
          <w:p>
            <w:pPr>
              <w:spacing w:after="0" w:line="196" w:lineRule="exact"/>
              <w:rPr>
                <w:rFonts w:ascii="Arial" w:cs="Arial" w:eastAsia="Arial" w:hAnsi="Arial"/>
                <w:sz w:val="18"/>
                <w:szCs w:val="18"/>
                <w:color w:val="0000EE"/>
                <w:w w:val="93"/>
              </w:rPr>
            </w:pPr>
            <w:hyperlink r:id="rId78">
              <w:r>
                <w:rPr>
                  <w:rFonts w:ascii="Arial" w:cs="Arial" w:eastAsia="Arial" w:hAnsi="Arial"/>
                  <w:sz w:val="18"/>
                  <w:szCs w:val="18"/>
                  <w:color w:val="0000EE"/>
                  <w:w w:val="93"/>
                </w:rPr>
                <w:t>SEACOR Offshore Asia LLC, dated May 31, 2020 (incorporated herein by reference to Exhibit 10.1 of SEACOR Marine Holdings Inc.’s</w:t>
              </w:r>
            </w:hyperlink>
          </w:p>
        </w:tc>
      </w:tr>
      <w:tr>
        <w:trPr>
          <w:trHeight w:val="196"/>
        </w:trPr>
        <w:tc>
          <w:tcPr>
            <w:tcW w:w="106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Form 8-K filed with the Commission on June 4, 2020 (File No. 001-37966)).</w:t>
              </w:r>
            </w:hyperlink>
          </w:p>
        </w:tc>
        <w:tc>
          <w:tcPr>
            <w:tcW w:w="4360" w:type="dxa"/>
            <w:vAlign w:val="bottom"/>
            <w:tcBorders>
              <w:top w:val="single" w:sz="8" w:color="0000EE"/>
            </w:tcBorders>
            <w:gridSpan w:val="8"/>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344"/>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10.3</w:t>
            </w:r>
          </w:p>
        </w:tc>
        <w:tc>
          <w:tcPr>
            <w:tcW w:w="9700" w:type="dxa"/>
            <w:vAlign w:val="bottom"/>
            <w:tcBorders>
              <w:bottom w:val="single" w:sz="8" w:color="0000EE"/>
            </w:tcBorders>
            <w:gridSpan w:val="10"/>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Parent Guarantee by SEACOR Marine Holdings Inc. in favour of China Shipping Fan Tai Limited and China Shipping Industry (Hong</w:t>
              </w:r>
            </w:hyperlink>
          </w:p>
        </w:tc>
        <w:tc>
          <w:tcPr>
            <w:tcW w:w="360" w:type="dxa"/>
            <w:vAlign w:val="bottom"/>
            <w:gridSpan w:val="9"/>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994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Kong) Co., Limited, dated May 31, 2020 (incorporated herein by reference to Exhibit 10.2 of SEACOR Marine Holdings Inc.’s Form 8-K</w:t>
              </w:r>
            </w:hyperlink>
          </w:p>
        </w:tc>
        <w:tc>
          <w:tcPr>
            <w:tcW w:w="12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4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filed with the Commission on June 4, 2020 (File No. 001-37966)).</w:t>
              </w:r>
            </w:hyperlink>
          </w:p>
        </w:tc>
        <w:tc>
          <w:tcPr>
            <w:tcW w:w="5280" w:type="dxa"/>
            <w:vAlign w:val="bottom"/>
            <w:gridSpan w:val="15"/>
          </w:tcPr>
          <w:p>
            <w:pPr>
              <w:spacing w:after="0"/>
              <w:rPr>
                <w:sz w:val="17"/>
                <w:szCs w:val="17"/>
                <w:color w:val="auto"/>
              </w:rPr>
            </w:pPr>
          </w:p>
        </w:tc>
      </w:tr>
      <w:tr>
        <w:trPr>
          <w:trHeight w:val="345"/>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10.4</w:t>
            </w:r>
          </w:p>
        </w:tc>
        <w:tc>
          <w:tcPr>
            <w:tcW w:w="10060" w:type="dxa"/>
            <w:vAlign w:val="bottom"/>
            <w:gridSpan w:val="19"/>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Form of Parent Guarantee by SEACOR Marine Holdings Inc. and COSCO Shipping Heavy Industry (Guangdong) Co., Ltd. (incorporated</w:t>
              </w:r>
            </w:hyperlink>
          </w:p>
        </w:tc>
      </w:tr>
      <w:tr>
        <w:trPr>
          <w:trHeight w:val="196"/>
        </w:trPr>
        <w:tc>
          <w:tcPr>
            <w:tcW w:w="1060" w:type="dxa"/>
            <w:vAlign w:val="bottom"/>
          </w:tcPr>
          <w:p>
            <w:pPr>
              <w:spacing w:after="0"/>
              <w:rPr>
                <w:sz w:val="17"/>
                <w:szCs w:val="17"/>
                <w:color w:val="auto"/>
              </w:rPr>
            </w:pPr>
          </w:p>
        </w:tc>
        <w:tc>
          <w:tcPr>
            <w:tcW w:w="994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herein by reference to Exhibit 10.3 of SEACOR Marine Holdings Inc.’s Form 8-K filed with the Commission on June 4, 2020 (File No.</w:t>
              </w:r>
            </w:hyperlink>
          </w:p>
        </w:tc>
        <w:tc>
          <w:tcPr>
            <w:tcW w:w="12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001-37966)).</w:t>
              </w:r>
            </w:hyperlink>
          </w:p>
        </w:tc>
        <w:tc>
          <w:tcPr>
            <w:tcW w:w="19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10.5</w:t>
            </w:r>
          </w:p>
        </w:tc>
        <w:tc>
          <w:tcPr>
            <w:tcW w:w="10060" w:type="dxa"/>
            <w:vAlign w:val="bottom"/>
            <w:gridSpan w:val="19"/>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Tax Refund and Indemnification Agreement, dated as of June 26, 2020, by and between SEACOR Marine Holdings Inc. and SEACOR</w:t>
              </w:r>
            </w:hyperlink>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99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Holdings Inc. (incorporated herein by reference to Exhibit 10.1 of SEACOR Marine Holdings Inc.’s Form 8-K filed with the Commission</w:t>
              </w:r>
            </w:hyperlink>
          </w:p>
        </w:tc>
        <w:tc>
          <w:tcPr>
            <w:tcW w:w="14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60" w:type="dxa"/>
            <w:vAlign w:val="bottom"/>
            <w:gridSpan w:val="19"/>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on June 29, 2020 (File No. 001-37966)).</w:t>
              </w:r>
            </w:hyperlink>
          </w:p>
        </w:tc>
      </w:tr>
      <w:tr>
        <w:trPr>
          <w:trHeight w:val="20"/>
        </w:trPr>
        <w:tc>
          <w:tcPr>
            <w:tcW w:w="10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10.6</w:t>
            </w:r>
          </w:p>
        </w:tc>
        <w:tc>
          <w:tcPr>
            <w:tcW w:w="10060" w:type="dxa"/>
            <w:vAlign w:val="bottom"/>
            <w:gridSpan w:val="19"/>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Amendment No. 3 to Credit Agreement and Parent Guaranty, dated as of June 29, 2020, by and among SEACOR Marine Foreign Holdings</w:t>
              </w:r>
            </w:hyperlink>
          </w:p>
        </w:tc>
      </w:tr>
      <w:tr>
        <w:trPr>
          <w:trHeight w:val="196"/>
        </w:trPr>
        <w:tc>
          <w:tcPr>
            <w:tcW w:w="1060" w:type="dxa"/>
            <w:vAlign w:val="bottom"/>
          </w:tcPr>
          <w:p>
            <w:pPr>
              <w:spacing w:after="0"/>
              <w:rPr>
                <w:sz w:val="17"/>
                <w:szCs w:val="17"/>
                <w:color w:val="auto"/>
              </w:rPr>
            </w:pPr>
          </w:p>
        </w:tc>
        <w:tc>
          <w:tcPr>
            <w:tcW w:w="1002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Inc., SEACOR Marine Holdings Inc., DNB Bank ASA, New York Branch, DNB Capital LLC, Clifford Capital Pte, Ltd, Hancock Whitney</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Bank, Citicorp North America, Inc., and the entities identified on schedules thereto (incorporated herein by reference to Exhibit 10.1 of</w:t>
              </w:r>
            </w:hyperlink>
          </w:p>
        </w:tc>
        <w:tc>
          <w:tcPr>
            <w:tcW w:w="26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798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SEACOR Marine Holdings Inc.’s Form 8-K filed with the Commission on July 6, 2020 (File No. 001-37966)).</w:t>
              </w:r>
            </w:hyperlink>
          </w:p>
        </w:tc>
        <w:tc>
          <w:tcPr>
            <w:tcW w:w="2080" w:type="dxa"/>
            <w:vAlign w:val="bottom"/>
            <w:gridSpan w:val="12"/>
          </w:tcPr>
          <w:p>
            <w:pPr>
              <w:spacing w:after="0"/>
              <w:rPr>
                <w:sz w:val="17"/>
                <w:szCs w:val="17"/>
                <w:color w:val="auto"/>
              </w:rPr>
            </w:pPr>
          </w:p>
        </w:tc>
      </w:tr>
      <w:tr>
        <w:trPr>
          <w:trHeight w:val="344"/>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31.1</w:t>
            </w:r>
          </w:p>
        </w:tc>
        <w:tc>
          <w:tcPr>
            <w:tcW w:w="93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700" w:type="dxa"/>
            <w:vAlign w:val="bottom"/>
            <w:gridSpan w:val="11"/>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amended.</w:t>
              </w:r>
            </w:hyperlink>
          </w:p>
        </w:tc>
        <w:tc>
          <w:tcPr>
            <w:tcW w:w="9360" w:type="dxa"/>
            <w:vAlign w:val="bottom"/>
            <w:gridSpan w:val="18"/>
          </w:tcPr>
          <w:p>
            <w:pPr>
              <w:spacing w:after="0"/>
              <w:rPr>
                <w:sz w:val="17"/>
                <w:szCs w:val="17"/>
                <w:color w:val="auto"/>
              </w:rPr>
            </w:pPr>
          </w:p>
        </w:tc>
      </w:tr>
      <w:tr>
        <w:trPr>
          <w:trHeight w:val="385"/>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31.2</w:t>
            </w:r>
          </w:p>
        </w:tc>
        <w:tc>
          <w:tcPr>
            <w:tcW w:w="10060" w:type="dxa"/>
            <w:vAlign w:val="bottom"/>
            <w:gridSpan w:val="19"/>
          </w:tcPr>
          <w:p>
            <w:pPr>
              <w:spacing w:after="0"/>
              <w:rPr>
                <w:rFonts w:ascii="Arial" w:cs="Arial" w:eastAsia="Arial" w:hAnsi="Arial"/>
                <w:sz w:val="18"/>
                <w:szCs w:val="18"/>
                <w:u w:val="single" w:color="auto"/>
                <w:color w:val="0000EE"/>
                <w:w w:val="91"/>
              </w:rPr>
            </w:pPr>
            <w:hyperlink w:anchor="page65">
              <w:r>
                <w:rPr>
                  <w:rFonts w:ascii="Arial" w:cs="Arial" w:eastAsia="Arial" w:hAnsi="Arial"/>
                  <w:sz w:val="18"/>
                  <w:szCs w:val="18"/>
                  <w:u w:val="single" w:color="auto"/>
                  <w:color w:val="0000EE"/>
                  <w:w w:val="91"/>
                </w:rPr>
                <w:t>Certification by the Principal Financial Officer pursuant to Rule 13a-14(a) and Rule 15d-14(a) of the Securities Exchange Act, as amended.</w:t>
              </w:r>
            </w:hyperlink>
          </w:p>
        </w:tc>
      </w:tr>
    </w:tbl>
    <w:p>
      <w:pPr>
        <w:spacing w:after="0" w:line="134" w:lineRule="exact"/>
        <w:rPr>
          <w:sz w:val="20"/>
          <w:szCs w:val="20"/>
          <w:color w:val="auto"/>
        </w:rPr>
      </w:pPr>
    </w:p>
    <w:p>
      <w:pPr>
        <w:ind w:left="1160" w:right="340" w:hanging="1062"/>
        <w:spacing w:after="0" w:line="277" w:lineRule="auto"/>
        <w:tabs>
          <w:tab w:leader="none" w:pos="1160" w:val="left"/>
        </w:tabs>
        <w:numPr>
          <w:ilvl w:val="0"/>
          <w:numId w:val="35"/>
        </w:numPr>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Section 906 of the Sarbanes-Oxley Act of 2002</w:t>
        </w:r>
        <w:r>
          <w:rPr>
            <w:rFonts w:ascii="Arial" w:cs="Arial" w:eastAsia="Arial" w:hAnsi="Arial"/>
            <w:sz w:val="18"/>
            <w:szCs w:val="18"/>
            <w:u w:val="single" w:color="auto"/>
            <w:color w:val="000000"/>
          </w:rPr>
          <w:t>.</w:t>
        </w:r>
      </w:hyperlink>
    </w:p>
    <w:p>
      <w:pPr>
        <w:sectPr>
          <w:pgSz w:w="11900" w:h="16838" w:orient="portrait"/>
          <w:cols w:equalWidth="0" w:num="1">
            <w:col w:w="11240"/>
          </w:cols>
          <w:pgMar w:left="320" w:top="112" w:right="33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03" w:lineRule="exact"/>
        <w:rPr>
          <w:rFonts w:ascii="Arial" w:cs="Arial" w:eastAsia="Arial" w:hAnsi="Arial"/>
          <w:sz w:val="18"/>
          <w:szCs w:val="18"/>
          <w:color w:val="auto"/>
        </w:rPr>
      </w:pPr>
    </w:p>
    <w:p>
      <w:pPr>
        <w:sectPr>
          <w:pgSz w:w="11900" w:h="16838" w:orient="portrait"/>
          <w:cols w:equalWidth="0" w:num="2">
            <w:col w:w="800" w:space="360"/>
            <w:col w:w="10080"/>
          </w:cols>
          <w:pgMar w:left="320" w:top="11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11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11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11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11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112" w:right="339" w:bottom="1440" w:gutter="0" w:footer="0" w:header="0"/>
          <w:type w:val="continuous"/>
        </w:sectPr>
      </w:pPr>
    </w:p>
    <w:p>
      <w:pPr>
        <w:ind w:left="1160" w:right="540" w:hanging="115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June 30, 2020, has been formatted in Inline XBRL.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9030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23" w:lineRule="exact"/>
        <w:rPr>
          <w:rFonts w:ascii="Arial" w:cs="Arial" w:eastAsia="Arial" w:hAnsi="Arial"/>
          <w:sz w:val="18"/>
          <w:szCs w:val="18"/>
          <w:color w:val="auto"/>
        </w:rPr>
      </w:pPr>
    </w:p>
    <w:p>
      <w:pPr>
        <w:ind w:left="380" w:right="20" w:hanging="372"/>
        <w:spacing w:after="0" w:line="273"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A copy of any omitted schedule will be furnished to the SEC upon request.</w:t>
      </w:r>
    </w:p>
    <w:p>
      <w:pPr>
        <w:spacing w:after="0" w:line="2"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1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6, 2020</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6, 2020</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3740" w:type="dxa"/>
            <w:vAlign w:val="bottom"/>
          </w:tcPr>
          <w:p>
            <w:pPr>
              <w:spacing w:after="0"/>
              <w:rPr>
                <w:sz w:val="20"/>
                <w:szCs w:val="20"/>
                <w:color w:val="auto"/>
              </w:rPr>
            </w:pPr>
            <w:r>
              <w:rPr>
                <w:rFonts w:ascii="Arial" w:cs="Arial" w:eastAsia="Arial" w:hAnsi="Arial"/>
                <w:sz w:val="22"/>
                <w:szCs w:val="22"/>
                <w:color w:val="auto"/>
              </w:rPr>
              <w:t>DATE: August 6, 2020</w:t>
            </w:r>
          </w:p>
        </w:tc>
        <w:tc>
          <w:tcPr>
            <w:tcW w:w="4020" w:type="dxa"/>
            <w:vAlign w:val="bottom"/>
          </w:tcPr>
          <w:p>
            <w:pPr>
              <w:ind w:left="33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3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37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37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r>
        <w:trPr>
          <w:trHeight w:val="918"/>
        </w:trPr>
        <w:tc>
          <w:tcPr>
            <w:tcW w:w="3740" w:type="dxa"/>
            <w:vAlign w:val="bottom"/>
          </w:tcPr>
          <w:p>
            <w:pPr>
              <w:spacing w:after="0"/>
              <w:rPr>
                <w:sz w:val="24"/>
                <w:szCs w:val="24"/>
                <w:color w:val="auto"/>
              </w:rPr>
            </w:pPr>
          </w:p>
        </w:tc>
        <w:tc>
          <w:tcPr>
            <w:tcW w:w="4020" w:type="dxa"/>
            <w:vAlign w:val="bottom"/>
          </w:tcPr>
          <w:p>
            <w:pPr>
              <w:jc w:val="right"/>
              <w:ind w:right="1992"/>
              <w:spacing w:after="0"/>
              <w:rPr>
                <w:sz w:val="20"/>
                <w:szCs w:val="20"/>
                <w:color w:val="auto"/>
              </w:rPr>
            </w:pPr>
            <w:r>
              <w:rPr>
                <w:rFonts w:ascii="Arial" w:cs="Arial" w:eastAsia="Arial" w:hAnsi="Arial"/>
                <w:sz w:val="22"/>
                <w:szCs w:val="22"/>
                <w:color w:val="auto"/>
              </w:rPr>
              <w:t>61</w:t>
            </w:r>
          </w:p>
        </w:tc>
        <w:tc>
          <w:tcPr>
            <w:tcW w:w="340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August 6,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June 30, 2020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August 6, 2020</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August 6, 2020</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Roman"/>
      <w:start w:val="2"/>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9"/>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2"/>
    </w:lvl>
  </w:abstractNum>
  <w:abstractNum w:abstractNumId="18">
    <w:nsid w:val="3A95F874"/>
    <w:multiLevelType w:val="hybridMultilevel"/>
    <w:lvl w:ilvl="0">
      <w:lvlJc w:val="left"/>
      <w:lvlText w:val="%1."/>
      <w:numFmt w:val="decimal"/>
      <w:start w:val="13"/>
    </w:lvl>
  </w:abstractNum>
  <w:abstractNum w:abstractNumId="19">
    <w:nsid w:val="8138641"/>
    <w:multiLevelType w:val="hybridMultilevel"/>
    <w:lvl w:ilvl="0">
      <w:lvlJc w:val="left"/>
      <w:lvlText w:val="%1."/>
      <w:numFmt w:val="decimal"/>
      <w:start w:val="14"/>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5"/>
    </w:lvl>
  </w:abstractNum>
  <w:abstractNum w:abstractNumId="23">
    <w:nsid w:val="6CEAF087"/>
    <w:multiLevelType w:val="hybridMultilevel"/>
    <w:lvl w:ilvl="0">
      <w:lvlJc w:val="left"/>
      <w:lvlText w:val="(%1)"/>
      <w:numFmt w:val="lowerLetter"/>
      <w:start w:val="2"/>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1"/>
    </w:lvl>
  </w:abstractNum>
  <w:abstractNum w:abstractNumId="31">
    <w:nsid w:val="5072367"/>
    <w:multiLevelType w:val="hybridMultilevel"/>
    <w:lvl w:ilvl="0">
      <w:lvlJc w:val="left"/>
      <w:lvlText w:val="(%1)"/>
      <w:numFmt w:val="lowerRoman"/>
      <w:start w:val="3"/>
    </w:lvl>
  </w:abstractNum>
  <w:abstractNum w:abstractNumId="32">
    <w:nsid w:val="3804823E"/>
    <w:multiLevelType w:val="hybridMultilevel"/>
    <w:lvl w:ilvl="0">
      <w:lvlJc w:val="left"/>
      <w:lvlText w:val="(%1)"/>
      <w:numFmt w:val="lowerRoman"/>
      <w:start w:val="3"/>
    </w:lvl>
  </w:abstractNum>
  <w:abstractNum w:abstractNumId="33">
    <w:nsid w:val="77465F01"/>
    <w:multiLevelType w:val="hybridMultilevel"/>
    <w:lvl w:ilvl="0">
      <w:lvlJc w:val="left"/>
      <w:lvlText w:val="(%1)"/>
      <w:numFmt w:val="lowerLetter"/>
      <w:start w:val="3"/>
    </w:lvl>
  </w:abstractNum>
  <w:abstractNum w:abstractNumId="34">
    <w:nsid w:val="7724C67E"/>
    <w:multiLevelType w:val="hybridMultilevel"/>
    <w:lvl w:ilvl="0">
      <w:lvlJc w:val="left"/>
      <w:lvlText w:val="%1"/>
      <w:numFmt w:val="decimal"/>
      <w:start w:val="32"/>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77" Type="http://schemas.openxmlformats.org/officeDocument/2006/relationships/hyperlink" Target="http://www.sec.gov/Archives/edgar/data/1690334/000119312520131063/d924794dex101.htm" TargetMode="External"/><Relationship Id="rId78" Type="http://schemas.openxmlformats.org/officeDocument/2006/relationships/hyperlink" Target="http://www.sec.gov/Archives/edgar/data/1690334/000119312520160742/d939332dex101.htm" TargetMode="External"/><Relationship Id="rId79" Type="http://schemas.openxmlformats.org/officeDocument/2006/relationships/hyperlink" Target="http://www.sec.gov/Archives/edgar/data/1690334/000119312520160742/d939332dex102.htm" TargetMode="External"/><Relationship Id="rId80" Type="http://schemas.openxmlformats.org/officeDocument/2006/relationships/hyperlink" Target="http://www.sec.gov/Archives/edgar/data/1690334/000119312520160742/d939332dex103.htm" TargetMode="External"/><Relationship Id="rId81" Type="http://schemas.openxmlformats.org/officeDocument/2006/relationships/hyperlink" Target="http://www.sec.gov/Archives/edgar/data/1690334/000095012320006442/d903262dex101.htm" TargetMode="External"/><Relationship Id="rId82" Type="http://schemas.openxmlformats.org/officeDocument/2006/relationships/hyperlink" Target="http://www.sec.gov/Archives/edgar/data/1690334/000119312520187867/d386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2020-08-06T16:17:59Z</dcterms:created>
  <dcterms:modified xsi:type="dcterms:W3CDTF">2020-08-06T16:17:59Z</dcterms:modified>
</cp:coreProperties>
</file>