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1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19"/>
        <w:spacing w:after="0"/>
        <w:tabs>
          <w:tab w:leader="none" w:pos="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1-37966</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70"/>
              <w:spacing w:after="0"/>
              <w:rPr>
                <w:sz w:val="20"/>
                <w:szCs w:val="20"/>
                <w:color w:val="auto"/>
              </w:rPr>
            </w:pPr>
            <w:r>
              <w:rPr>
                <w:rFonts w:ascii="Arial" w:cs="Arial" w:eastAsia="Arial" w:hAnsi="Arial"/>
                <w:sz w:val="18"/>
                <w:szCs w:val="18"/>
                <w:b w:val="1"/>
                <w:bCs w:val="1"/>
                <w:color w:val="auto"/>
              </w:rPr>
              <w:t>47-2564547</w:t>
            </w:r>
          </w:p>
        </w:tc>
      </w:t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(State or Other Jurisdiction of</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Incorporation or Organization)</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Identification No.)</w:t>
            </w:r>
          </w:p>
        </w:tc>
      </w:tr>
      <w:tr>
        <w:trPr>
          <w:trHeight w:val="338"/>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12121 Wickchester Lane, Suite 500, Houston, TX</w:t>
            </w:r>
          </w:p>
        </w:tc>
        <w:tc>
          <w:tcPr>
            <w:tcW w:w="3200" w:type="dxa"/>
            <w:vAlign w:val="bottom"/>
          </w:tcPr>
          <w:p>
            <w:pPr>
              <w:jc w:val="right"/>
              <w:ind w:right="390"/>
              <w:spacing w:after="0"/>
              <w:rPr>
                <w:sz w:val="20"/>
                <w:szCs w:val="20"/>
                <w:color w:val="auto"/>
              </w:rPr>
            </w:pPr>
            <w:r>
              <w:rPr>
                <w:rFonts w:ascii="Arial" w:cs="Arial" w:eastAsia="Arial" w:hAnsi="Arial"/>
                <w:sz w:val="18"/>
                <w:szCs w:val="18"/>
                <w:b w:val="1"/>
                <w:bCs w:val="1"/>
                <w:color w:val="auto"/>
              </w:rPr>
              <w:t>77079</w:t>
            </w:r>
          </w:p>
        </w:tc>
      </w:tr>
      <w:tr>
        <w:trPr>
          <w:trHeight w:val="297"/>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7"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520" w:type="dxa"/>
            <w:vAlign w:val="bottom"/>
            <w:tcBorders>
              <w:top w:val="single" w:sz="8" w:color="auto"/>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
        </w:trPr>
        <w:tc>
          <w:tcPr>
            <w:tcW w:w="1580" w:type="dxa"/>
            <w:vAlign w:val="bottom"/>
            <w:tcBorders>
              <w:left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45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rPr>
              <w:t>SMHI</w:t>
            </w:r>
          </w:p>
        </w:tc>
        <w:tc>
          <w:tcPr>
            <w:tcW w:w="560" w:type="dxa"/>
            <w:vAlign w:val="bottom"/>
            <w:tcBorders>
              <w:bottom w:val="single" w:sz="8" w:color="auto"/>
            </w:tcBorders>
          </w:tcPr>
          <w:p>
            <w:pPr>
              <w:spacing w:after="0"/>
              <w:rPr>
                <w:sz w:val="18"/>
                <w:szCs w:val="18"/>
                <w:color w:val="auto"/>
              </w:rPr>
            </w:pPr>
          </w:p>
        </w:tc>
        <w:tc>
          <w:tcPr>
            <w:tcW w:w="3920" w:type="dxa"/>
            <w:vAlign w:val="bottom"/>
            <w:tcBorders>
              <w:bottom w:val="single" w:sz="8" w:color="auto"/>
              <w:right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1"/>
              </w:rPr>
              <w:t>New York Stock Exchange</w:t>
            </w:r>
          </w:p>
        </w:tc>
      </w:tr>
    </w:tbl>
    <w:p>
      <w:pPr>
        <w:spacing w:after="0" w:line="107"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512" w:right="339" w:bottom="1440" w:gutter="0" w:footer="0" w:header="0"/>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spacing w:after="0"/>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Emerging growth</w:t>
      </w:r>
    </w:p>
    <w:p>
      <w:pPr>
        <w:spacing w:after="0" w:line="58"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00"/>
        <w:spacing w:after="0" w:line="161" w:lineRule="exact"/>
        <w:rPr>
          <w:sz w:val="20"/>
          <w:szCs w:val="20"/>
          <w:color w:val="auto"/>
        </w:rPr>
      </w:pPr>
      <w:r>
        <w:rPr>
          <w:rFonts w:ascii="MS PGothic" w:cs="MS PGothic" w:eastAsia="MS PGothic" w:hAnsi="MS PGothic"/>
          <w:sz w:val="16"/>
          <w:szCs w:val="16"/>
          <w:color w:val="auto"/>
        </w:rPr>
        <w:t>☒</w:t>
      </w:r>
    </w:p>
    <w:p>
      <w:pPr>
        <w:spacing w:after="0" w:line="426" w:lineRule="exact"/>
        <w:rPr>
          <w:sz w:val="24"/>
          <w:szCs w:val="24"/>
          <w:color w:val="auto"/>
        </w:rPr>
      </w:pPr>
    </w:p>
    <w:p>
      <w:pPr>
        <w:sectPr>
          <w:pgSz w:w="11900" w:h="16838" w:orient="portrait"/>
          <w:cols w:equalWidth="0" w:num="9">
            <w:col w:w="1620" w:space="80"/>
            <w:col w:w="160" w:space="400"/>
            <w:col w:w="1200" w:space="500"/>
            <w:col w:w="160" w:space="400"/>
            <w:col w:w="1520" w:space="160"/>
            <w:col w:w="160" w:space="420"/>
            <w:col w:w="1260" w:space="420"/>
            <w:col w:w="1820" w:space="400"/>
            <w:col w:w="560"/>
          </w:cols>
          <w:pgMar w:left="320" w:top="512" w:right="339" w:bottom="1440" w:gutter="0" w:footer="0" w:header="0"/>
          <w:type w:val="continuous"/>
        </w:sectPr>
      </w:pPr>
    </w:p>
    <w:p>
      <w:pPr>
        <w:ind w:right="20" w:firstLine="74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760"/>
        <w:spacing w:after="0"/>
        <w:rPr>
          <w:sz w:val="20"/>
          <w:szCs w:val="20"/>
          <w:color w:val="auto"/>
        </w:rPr>
      </w:pPr>
      <w:r>
        <w:rPr>
          <w:rFonts w:ascii="Arial" w:cs="Arial" w:eastAsia="Arial" w:hAnsi="Arial"/>
          <w:sz w:val="16"/>
          <w:szCs w:val="16"/>
          <w:color w:val="auto"/>
        </w:rPr>
        <w:t>The total number of shares of common stock, par value $.01 per share (“Common Stock”), outstanding as of October 29, 2021 was 24,375,642.</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gridSpan w:val="11"/>
          </w:tcPr>
          <w:p>
            <w:pPr>
              <w:jc w:val="center"/>
              <w:ind w:right="3180"/>
              <w:spacing w:after="0"/>
              <w:rPr>
                <w:sz w:val="20"/>
                <w:szCs w:val="20"/>
                <w:color w:val="auto"/>
              </w:rPr>
            </w:pPr>
            <w:r>
              <w:rPr>
                <w:rFonts w:ascii="Arial" w:cs="Arial" w:eastAsia="Arial" w:hAnsi="Arial"/>
                <w:sz w:val="18"/>
                <w:szCs w:val="18"/>
                <w:b w:val="1"/>
                <w:bCs w:val="1"/>
                <w:color w:val="auto"/>
              </w:rPr>
              <w:t>SEACOR MARINE HOLDINGS INC.</w:t>
            </w:r>
          </w:p>
        </w:tc>
        <w:tc>
          <w:tcPr>
            <w:tcW w:w="86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gridSpan w:val="9"/>
          </w:tcPr>
          <w:p>
            <w:pPr>
              <w:jc w:val="center"/>
              <w:ind w:right="3460"/>
              <w:spacing w:after="0"/>
              <w:rPr>
                <w:sz w:val="20"/>
                <w:szCs w:val="20"/>
                <w:color w:val="auto"/>
              </w:rPr>
            </w:pPr>
            <w:r>
              <w:rPr>
                <w:rFonts w:ascii="Arial" w:cs="Arial" w:eastAsia="Arial" w:hAnsi="Arial"/>
                <w:sz w:val="18"/>
                <w:szCs w:val="18"/>
                <w:b w:val="1"/>
                <w:bCs w:val="1"/>
                <w:color w:val="auto"/>
                <w:w w:val="89"/>
              </w:rPr>
              <w:t>Table of Contents</w:t>
            </w:r>
          </w:p>
        </w:tc>
        <w:tc>
          <w:tcPr>
            <w:tcW w:w="86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Part I.</w:t>
            </w:r>
          </w:p>
        </w:tc>
        <w:tc>
          <w:tcPr>
            <w:tcW w:w="164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Financial Information</w:t>
              </w:r>
            </w:hyperlink>
          </w:p>
        </w:tc>
        <w:tc>
          <w:tcPr>
            <w:tcW w:w="782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06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5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2021 and December 31, 2020</w:t>
              </w:r>
            </w:hyperlink>
          </w:p>
        </w:tc>
        <w:tc>
          <w:tcPr>
            <w:tcW w:w="190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4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(Loss) for the Three and Nine Months Ended September 30, 2021 and</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gridSpan w:val="19"/>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Comprehensive Income (Loss) for the Three and Nine Months Ended</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2021 and 2020</w:t>
              </w:r>
            </w:hyperlink>
          </w:p>
        </w:tc>
        <w:tc>
          <w:tcPr>
            <w:tcW w:w="5700" w:type="dxa"/>
            <w:vAlign w:val="bottom"/>
            <w:tcBorders>
              <w:top w:val="single" w:sz="8" w:color="0000EE"/>
            </w:tcBorders>
            <w:gridSpan w:val="8"/>
          </w:tcPr>
          <w:p>
            <w:pPr>
              <w:spacing w:after="0"/>
              <w:rPr>
                <w:sz w:val="17"/>
                <w:szCs w:val="17"/>
                <w:color w:val="auto"/>
              </w:rPr>
            </w:pPr>
          </w:p>
        </w:tc>
        <w:tc>
          <w:tcPr>
            <w:tcW w:w="62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Equity for the Three and Nine Months Ended September 30, 2021</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and 2020</w:t>
              </w:r>
            </w:hyperlink>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80" w:type="dxa"/>
            <w:vAlign w:val="bottom"/>
            <w:gridSpan w:val="19"/>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Cash Flows for the Nine Months Ended September 30, 2021 and 2020</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920" w:type="dxa"/>
            <w:vAlign w:val="bottom"/>
            <w:tcBorders>
              <w:top w:val="single" w:sz="8" w:color="0000EE"/>
            </w:tcBorders>
            <w:gridSpan w:val="6"/>
          </w:tcPr>
          <w:p>
            <w:pPr>
              <w:spacing w:after="0"/>
              <w:rPr>
                <w:sz w:val="24"/>
                <w:szCs w:val="24"/>
                <w:color w:val="auto"/>
              </w:rPr>
            </w:pPr>
          </w:p>
        </w:tc>
        <w:tc>
          <w:tcPr>
            <w:tcW w:w="560" w:type="dxa"/>
            <w:vAlign w:val="bottom"/>
            <w:gridSpan w:val="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Discussion and Analysis of Financial Condition and Results of Operations</w:t>
              </w:r>
            </w:hyperlink>
          </w:p>
        </w:tc>
        <w:tc>
          <w:tcPr>
            <w:tcW w:w="202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Quantitative and Qualitative Disclosures About Market Risk</w:t>
              </w:r>
            </w:hyperlink>
          </w:p>
        </w:tc>
        <w:tc>
          <w:tcPr>
            <w:tcW w:w="41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48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Part II.</w:t>
            </w:r>
          </w:p>
        </w:tc>
        <w:tc>
          <w:tcPr>
            <w:tcW w:w="13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Other Information</w:t>
              </w:r>
            </w:hyperlink>
          </w:p>
        </w:tc>
        <w:tc>
          <w:tcPr>
            <w:tcW w:w="814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Legal Proceedings</w:t>
              </w:r>
            </w:hyperlink>
          </w:p>
        </w:tc>
        <w:tc>
          <w:tcPr>
            <w:tcW w:w="7140" w:type="dxa"/>
            <w:vAlign w:val="bottom"/>
            <w:gridSpan w:val="13"/>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848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48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Unregistered Sales of Equity Securities and Use of Proceeds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Default Upon Senior Securities</w:t>
              </w:r>
            </w:hyperlink>
          </w:p>
        </w:tc>
        <w:tc>
          <w:tcPr>
            <w:tcW w:w="2080" w:type="dxa"/>
            <w:vAlign w:val="bottom"/>
            <w:tcBorders>
              <w:top w:val="single" w:sz="8" w:color="0000EE"/>
            </w:tcBorders>
            <w:gridSpan w:val="3"/>
          </w:tcPr>
          <w:p>
            <w:pPr>
              <w:spacing w:after="0"/>
              <w:rPr>
                <w:sz w:val="24"/>
                <w:szCs w:val="24"/>
                <w:color w:val="auto"/>
              </w:rPr>
            </w:pPr>
          </w:p>
        </w:tc>
        <w:tc>
          <w:tcPr>
            <w:tcW w:w="4140" w:type="dxa"/>
            <w:vAlign w:val="bottom"/>
            <w:gridSpan w:val="7"/>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480" w:type="dxa"/>
            <w:vAlign w:val="bottom"/>
            <w:gridSpan w:val="1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Mine Safety Disclosures</w:t>
              </w:r>
            </w:hyperlink>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6720" w:type="dxa"/>
            <w:vAlign w:val="bottom"/>
            <w:gridSpan w:val="12"/>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57">
              <w:r>
                <w:rPr>
                  <w:rFonts w:ascii="Arial" w:cs="Arial" w:eastAsia="Arial" w:hAnsi="Arial"/>
                  <w:sz w:val="18"/>
                  <w:szCs w:val="18"/>
                  <w:color w:val="0000EE"/>
                  <w:w w:val="98"/>
                </w:rPr>
                <w:t>Exhibits</w:t>
              </w:r>
            </w:hyperlink>
          </w:p>
        </w:tc>
        <w:tc>
          <w:tcPr>
            <w:tcW w:w="782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I—FINANCIAL INFORMATION</w:t>
      </w:r>
    </w:p>
    <w:p>
      <w:pPr>
        <w:spacing w:after="0" w:line="1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2"/>
          <w:szCs w:val="22"/>
          <w:b w:val="1"/>
          <w:bCs w:val="1"/>
          <w:color w:val="auto"/>
        </w:rPr>
        <w:t>FINANCIAL STATEMENTS</w:t>
      </w:r>
    </w:p>
    <w:p>
      <w:pPr>
        <w:spacing w:after="0" w:line="7"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SEACOR MARINE HOLDINGS INC. UNAUDITED CONDENSED CONSOLIDATED BALANCE SHEETS (in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0"/>
              </w:rPr>
              <w:t>September 30, 2021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December 31, 2020</w:t>
            </w:r>
          </w:p>
        </w:tc>
      </w:tr>
      <w:tr>
        <w:trPr>
          <w:trHeight w:val="142"/>
        </w:trPr>
        <w:tc>
          <w:tcPr>
            <w:tcW w:w="7820" w:type="dxa"/>
            <w:vAlign w:val="bottom"/>
            <w:tcBorders>
              <w:top w:val="single" w:sz="8" w:color="CFF0FC"/>
            </w:tcBorders>
            <w:shd w:val="clear" w:color="auto" w:fill="CFF0FC"/>
          </w:tcPr>
          <w:p>
            <w:pPr>
              <w:ind w:left="3580"/>
              <w:spacing w:after="0" w:line="142" w:lineRule="exact"/>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42,194</w:t>
            </w:r>
          </w:p>
        </w:tc>
        <w:tc>
          <w:tcPr>
            <w:tcW w:w="1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32,666</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4,160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3,352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Receivables: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500"/>
              <w:spacing w:after="0"/>
              <w:rPr>
                <w:sz w:val="20"/>
                <w:szCs w:val="20"/>
                <w:color w:val="auto"/>
              </w:rPr>
            </w:pPr>
            <w:r>
              <w:rPr>
                <w:rFonts w:ascii="Arial" w:cs="Arial" w:eastAsia="Arial" w:hAnsi="Arial"/>
                <w:sz w:val="13"/>
                <w:szCs w:val="13"/>
                <w:color w:val="auto"/>
              </w:rPr>
              <w:t>Trade, net of allowance for credit loss accounts of $724 and $582 in 2021 and 2020, respectively</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50,343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45,325</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13,750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10,924</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Receivable from SEACOR Holdings</w:t>
            </w:r>
          </w:p>
        </w:tc>
        <w:tc>
          <w:tcPr>
            <w:tcW w:w="140" w:type="dxa"/>
            <w:vAlign w:val="bottom"/>
          </w:tcPr>
          <w:p>
            <w:pPr>
              <w:spacing w:after="0"/>
              <w:rPr>
                <w:sz w:val="12"/>
                <w:szCs w:val="1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18,832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Tax Receivable</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13,556</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576</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Prepaid expenses and other</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Assets held for sale</w:t>
            </w:r>
          </w:p>
        </w:tc>
        <w:tc>
          <w:tcPr>
            <w:tcW w:w="140" w:type="dxa"/>
            <w:vAlign w:val="bottom"/>
          </w:tcPr>
          <w:p>
            <w:pPr>
              <w:spacing w:after="0"/>
              <w:rPr>
                <w:sz w:val="12"/>
                <w:szCs w:val="1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50,235</w:t>
            </w:r>
          </w:p>
        </w:tc>
        <w:tc>
          <w:tcPr>
            <w:tcW w:w="120" w:type="dxa"/>
            <w:vAlign w:val="bottom"/>
          </w:tcPr>
          <w:p>
            <w:pPr>
              <w:spacing w:after="0"/>
              <w:rPr>
                <w:sz w:val="12"/>
                <w:szCs w:val="12"/>
                <w:color w:val="auto"/>
              </w:rPr>
            </w:pPr>
          </w:p>
        </w:tc>
      </w:tr>
      <w:tr>
        <w:trPr>
          <w:trHeight w:val="142"/>
        </w:trPr>
        <w:tc>
          <w:tcPr>
            <w:tcW w:w="782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assets</w:t>
            </w: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114,875</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178,696</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Property and Equipment:</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Historical cost</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989,910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1,012,873</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Accumulated depreciation</w:t>
            </w:r>
          </w:p>
        </w:tc>
        <w:tc>
          <w:tcPr>
            <w:tcW w:w="14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color w:val="auto"/>
              </w:rPr>
              <w:t>(303,178)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(291,538)</w:t>
            </w:r>
          </w:p>
        </w:tc>
      </w:tr>
      <w:tr>
        <w:trPr>
          <w:trHeight w:val="142"/>
        </w:trPr>
        <w:tc>
          <w:tcPr>
            <w:tcW w:w="78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686,732</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721,335</w:t>
            </w: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Construction in progress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15,577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32,327</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Net property and equipment</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702,309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753,662</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Right-of-Use Asset - Operating Leases</w:t>
            </w:r>
          </w:p>
        </w:tc>
        <w:tc>
          <w:tcPr>
            <w:tcW w:w="14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4,670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7,134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Right-of-Use Asset - Finance Leases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spacing w:after="0"/>
              <w:rPr>
                <w:sz w:val="20"/>
                <w:szCs w:val="20"/>
                <w:color w:val="auto"/>
              </w:rPr>
            </w:pPr>
            <w:r>
              <w:rPr>
                <w:rFonts w:ascii="Arial" w:cs="Arial" w:eastAsia="Arial" w:hAnsi="Arial"/>
                <w:sz w:val="13"/>
                <w:szCs w:val="13"/>
                <w:color w:val="auto"/>
              </w:rPr>
              <w:t>Investments, at Equity, and Advances to 50% or Less Owned Companies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77,426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75,308</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Other Assets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2,672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2,734</w:t>
            </w:r>
          </w:p>
        </w:tc>
        <w:tc>
          <w:tcPr>
            <w:tcW w:w="120" w:type="dxa"/>
            <w:vAlign w:val="bottom"/>
            <w:shd w:val="clear" w:color="auto" w:fill="CFF0FC"/>
          </w:tcPr>
          <w:p>
            <w:pPr>
              <w:spacing w:after="0"/>
              <w:rPr>
                <w:sz w:val="12"/>
                <w:szCs w:val="12"/>
                <w:color w:val="auto"/>
              </w:rPr>
            </w:pPr>
          </w:p>
        </w:tc>
      </w:tr>
      <w:tr>
        <w:trPr>
          <w:trHeight w:val="182"/>
        </w:trPr>
        <w:tc>
          <w:tcPr>
            <w:tcW w:w="7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assets</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902,060</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1,017,663</w:t>
            </w:r>
          </w:p>
        </w:tc>
        <w:tc>
          <w:tcPr>
            <w:tcW w:w="120" w:type="dxa"/>
            <w:vAlign w:val="bottom"/>
            <w:tcBorders>
              <w:bottom w:val="single" w:sz="8" w:color="CFF0FC"/>
            </w:tcBorders>
          </w:tcPr>
          <w:p>
            <w:pPr>
              <w:spacing w:after="0"/>
              <w:rPr>
                <w:sz w:val="15"/>
                <w:szCs w:val="15"/>
                <w:color w:val="auto"/>
              </w:rPr>
            </w:pPr>
          </w:p>
        </w:tc>
      </w:tr>
      <w:tr>
        <w:trPr>
          <w:trHeight w:val="129"/>
        </w:trPr>
        <w:tc>
          <w:tcPr>
            <w:tcW w:w="7820" w:type="dxa"/>
            <w:vAlign w:val="bottom"/>
            <w:shd w:val="clear" w:color="auto" w:fill="CFF0FC"/>
          </w:tcPr>
          <w:p>
            <w:pPr>
              <w:ind w:left="3020"/>
              <w:spacing w:after="0" w:line="129" w:lineRule="exact"/>
              <w:rPr>
                <w:sz w:val="20"/>
                <w:szCs w:val="20"/>
                <w:color w:val="auto"/>
              </w:rPr>
            </w:pPr>
            <w:r>
              <w:rPr>
                <w:rFonts w:ascii="Arial" w:cs="Arial" w:eastAsia="Arial" w:hAnsi="Arial"/>
                <w:sz w:val="13"/>
                <w:szCs w:val="13"/>
                <w:b w:val="1"/>
                <w:bCs w:val="1"/>
                <w:color w:val="auto"/>
              </w:rPr>
              <w:t>LIABILITIES AND EQUITY</w:t>
            </w:r>
          </w:p>
        </w:tc>
        <w:tc>
          <w:tcPr>
            <w:tcW w:w="14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portion of operating lease liabilities</w:t>
            </w:r>
          </w:p>
        </w:tc>
        <w:tc>
          <w:tcPr>
            <w:tcW w:w="140" w:type="dxa"/>
            <w:vAlign w:val="bottom"/>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1,269</w:t>
            </w:r>
          </w:p>
        </w:tc>
        <w:tc>
          <w:tcPr>
            <w:tcW w:w="1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Current portion of financing lease liabilities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portion of long-term debt:</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500"/>
              <w:spacing w:after="0"/>
              <w:rPr>
                <w:sz w:val="20"/>
                <w:szCs w:val="20"/>
                <w:color w:val="auto"/>
              </w:rPr>
            </w:pPr>
            <w:r>
              <w:rPr>
                <w:rFonts w:ascii="Arial" w:cs="Arial" w:eastAsia="Arial" w:hAnsi="Arial"/>
                <w:sz w:val="13"/>
                <w:szCs w:val="13"/>
                <w:color w:val="auto"/>
              </w:rPr>
              <w:t>Recourse</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28,875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26,734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Non-recourse</w:t>
            </w:r>
          </w:p>
        </w:tc>
        <w:tc>
          <w:tcPr>
            <w:tcW w:w="14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5,643</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Accounts payable and accrued expenses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23,578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29,967</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Due to SEACOR Holdings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Accrued wages and benefits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1,531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1,744</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interest</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1,664</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Deferred revenue and unearned revenue</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2,356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4,452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capital, repair, and maintenance expenditures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11,328</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Accrued insurance deductibles and premiums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3,087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2,274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professional fees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975</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Derivatives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4,591</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current liabilities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5,872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4,439</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Liabilities held for sale</w:t>
            </w:r>
          </w:p>
        </w:tc>
        <w:tc>
          <w:tcPr>
            <w:tcW w:w="140" w:type="dxa"/>
            <w:vAlign w:val="bottom"/>
          </w:tcPr>
          <w:p>
            <w:pPr>
              <w:spacing w:after="0"/>
              <w:rPr>
                <w:sz w:val="12"/>
                <w:szCs w:val="12"/>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30,927</w:t>
            </w:r>
          </w:p>
        </w:tc>
        <w:tc>
          <w:tcPr>
            <w:tcW w:w="120" w:type="dxa"/>
            <w:vAlign w:val="bottom"/>
          </w:tcPr>
          <w:p>
            <w:pPr>
              <w:spacing w:after="0"/>
              <w:rPr>
                <w:sz w:val="12"/>
                <w:szCs w:val="12"/>
                <w:color w:val="auto"/>
              </w:rPr>
            </w:pPr>
          </w:p>
        </w:tc>
      </w:tr>
      <w:tr>
        <w:trPr>
          <w:trHeight w:val="142"/>
        </w:trPr>
        <w:tc>
          <w:tcPr>
            <w:tcW w:w="7820" w:type="dxa"/>
            <w:vAlign w:val="bottom"/>
            <w:tcBorders>
              <w:top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current liabilities</w:t>
            </w: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75,139</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3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131,804</w:t>
            </w:r>
          </w:p>
        </w:tc>
        <w:tc>
          <w:tcPr>
            <w:tcW w:w="120" w:type="dxa"/>
            <w:vAlign w:val="bottom"/>
            <w:tcBorders>
              <w:top w:val="single" w:sz="8" w:color="CFF0FC"/>
            </w:tcBorders>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Long-Term Operating Lease Liabilities</w:t>
            </w:r>
          </w:p>
        </w:tc>
        <w:tc>
          <w:tcPr>
            <w:tcW w:w="14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4,000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4,345</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Long-Term Financing Lease Liabilities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Long-Term Debt:</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Recourse</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316,185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328,690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Non-recourse</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5,456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111,820</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Conversion Option Liability on Convertible Senior Notes</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43,463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35,822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Deferred Gains and Other Liabilities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2,925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3,239</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liabilities</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447,257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615,827</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Equity:</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SEACOR Marine Holdings Inc. stockholders’ equity:</w:t>
            </w: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5"/>
              </w:rPr>
              <w:t>Common stock, $.01 par value, 60,000,000 shares authorized; 24,503,380 and 23,504,050 shares issued in 2021 and 2020, respectively</w:t>
            </w:r>
          </w:p>
        </w:tc>
        <w:tc>
          <w:tcPr>
            <w:tcW w:w="14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Additional paid-in capital</w:t>
            </w:r>
          </w:p>
        </w:tc>
        <w:tc>
          <w:tcPr>
            <w:tcW w:w="14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455,373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451,179</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Retained Earnings (Accumulated deficit)</w:t>
            </w:r>
          </w:p>
        </w:tc>
        <w:tc>
          <w:tcPr>
            <w:tcW w:w="14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(7,059)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(51,839)</w:t>
            </w: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Shares held in treasury of 127,738 and 73,284, respectively, at cost</w:t>
            </w:r>
          </w:p>
        </w:tc>
        <w:tc>
          <w:tcPr>
            <w:tcW w:w="140" w:type="dxa"/>
            <w:vAlign w:val="bottom"/>
          </w:tcPr>
          <w:p>
            <w:pPr>
              <w:spacing w:after="0"/>
              <w:rPr>
                <w:sz w:val="12"/>
                <w:szCs w:val="12"/>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color w:val="auto"/>
              </w:rPr>
              <w:t>(1,120)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(848)</w:t>
            </w: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Accumulated other comprehensive gain, net of tax</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7,044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2,790</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454,483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401,517</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Noncontrolling interests in subsidiaries</w:t>
            </w:r>
          </w:p>
        </w:tc>
        <w:tc>
          <w:tcPr>
            <w:tcW w:w="14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equity</w:t>
            </w: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454,803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401,836</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tcBorders>
              <w:bottom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liabilities and equity</w:t>
            </w: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902,060</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1,017,663</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7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INCOME (LOSS)</w:t>
      </w:r>
    </w:p>
    <w:p>
      <w:pPr>
        <w:jc w:val="center"/>
        <w:spacing w:after="0"/>
        <w:rPr>
          <w:sz w:val="20"/>
          <w:szCs w:val="20"/>
          <w:color w:val="auto"/>
        </w:rPr>
      </w:pPr>
      <w:r>
        <w:rPr>
          <w:rFonts w:ascii="Arial" w:cs="Arial" w:eastAsia="Arial" w:hAnsi="Arial"/>
          <w:sz w:val="22"/>
          <w:szCs w:val="22"/>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2300" w:type="dxa"/>
            <w:vAlign w:val="bottom"/>
            <w:gridSpan w:val="6"/>
          </w:tcPr>
          <w:p>
            <w:pPr>
              <w:jc w:val="right"/>
              <w:ind w:right="6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30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4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43,663</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122,974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860" w:type="dxa"/>
            <w:vAlign w:val="bottom"/>
          </w:tcPr>
          <w:p>
            <w:pPr>
              <w:spacing w:after="0"/>
              <w:rPr>
                <w:sz w:val="20"/>
                <w:szCs w:val="20"/>
                <w:color w:val="auto"/>
              </w:rPr>
            </w:pPr>
            <w:r>
              <w:rPr>
                <w:rFonts w:ascii="Arial" w:cs="Arial" w:eastAsia="Arial" w:hAnsi="Arial"/>
                <w:sz w:val="16"/>
                <w:szCs w:val="16"/>
                <w:color w:val="auto"/>
              </w:rPr>
              <w:t>Costs and Expenses:</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33,448</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24,719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92,370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9,134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8,885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26,897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14,306</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14,833</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43,197</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57,997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49,637</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165,885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144,749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860" w:type="dxa"/>
            <w:vAlign w:val="bottom"/>
          </w:tcPr>
          <w:p>
            <w:pPr>
              <w:spacing w:after="0"/>
              <w:rPr>
                <w:sz w:val="20"/>
                <w:szCs w:val="20"/>
                <w:color w:val="auto"/>
              </w:rPr>
            </w:pPr>
            <w:r>
              <w:rPr>
                <w:rFonts w:ascii="Arial" w:cs="Arial" w:eastAsia="Arial" w:hAnsi="Arial"/>
                <w:sz w:val="16"/>
                <w:szCs w:val="16"/>
                <w:color w:val="auto"/>
              </w:rPr>
              <w:t>Gains (Losses) on Asset Dispositions and Impairments, Net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20,436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(15,792)</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(14,278)</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(13,180)</w:t>
            </w:r>
          </w:p>
        </w:tc>
        <w:tc>
          <w:tcPr>
            <w:tcW w:w="2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(22,475)</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(54,725)</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(6,403)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(8,312)</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(21,731)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(22,403)</w:t>
            </w: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Holdings guarantee fees</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Gain on Debt Extinguishment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61,994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gains, net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Foreign currency gains (losses), net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(911)</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(878)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8"/>
              </w:rPr>
              <w:t>Gain from return of investments in 50% or less owned companies and other, net</w:t>
            </w:r>
          </w:p>
        </w:tc>
        <w:tc>
          <w:tcPr>
            <w:tcW w:w="2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9,441</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3,410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(9,195)</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50,451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(16,031)</w:t>
            </w:r>
          </w:p>
        </w:tc>
        <w:tc>
          <w:tcPr>
            <w:tcW w:w="0" w:type="dxa"/>
            <w:vAlign w:val="bottom"/>
          </w:tcPr>
          <w:p>
            <w:pPr>
              <w:spacing w:after="0"/>
              <w:rPr>
                <w:sz w:val="1"/>
                <w:szCs w:val="1"/>
                <w:color w:val="auto"/>
              </w:rPr>
            </w:pPr>
          </w:p>
        </w:tc>
      </w:tr>
      <w:tr>
        <w:trPr>
          <w:trHeight w:val="20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8"/>
              </w:rPr>
              <w:t>(Loss) Income from Continuing Operations Before Income Tax Benefit and Equity in</w:t>
            </w: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Earnings of 50% or Less Owned Companies</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(10,868)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(22,375)</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27,976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(70,756)</w:t>
            </w:r>
          </w:p>
        </w:tc>
        <w:tc>
          <w:tcPr>
            <w:tcW w:w="0" w:type="dxa"/>
            <w:vAlign w:val="bottom"/>
          </w:tcPr>
          <w:p>
            <w:pPr>
              <w:spacing w:after="0"/>
              <w:rPr>
                <w:sz w:val="1"/>
                <w:szCs w:val="1"/>
                <w:color w:val="auto"/>
              </w:rPr>
            </w:pPr>
          </w:p>
        </w:tc>
      </w:tr>
      <w:tr>
        <w:trPr>
          <w:trHeight w:val="240"/>
        </w:trPr>
        <w:tc>
          <w:tcPr>
            <w:tcW w:w="5860" w:type="dxa"/>
            <w:vAlign w:val="bottom"/>
          </w:tcPr>
          <w:p>
            <w:pPr>
              <w:spacing w:after="0"/>
              <w:rPr>
                <w:sz w:val="20"/>
                <w:szCs w:val="20"/>
                <w:color w:val="auto"/>
              </w:rPr>
            </w:pPr>
            <w:r>
              <w:rPr>
                <w:rFonts w:ascii="Arial" w:cs="Arial" w:eastAsia="Arial" w:hAnsi="Arial"/>
                <w:sz w:val="16"/>
                <w:szCs w:val="16"/>
                <w:color w:val="auto"/>
              </w:rPr>
              <w:t>Income Tax (Benefit) Expense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(725)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(3,120)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12,502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(24,789)</w:t>
            </w:r>
          </w:p>
        </w:tc>
        <w:tc>
          <w:tcPr>
            <w:tcW w:w="0" w:type="dxa"/>
            <w:vAlign w:val="bottom"/>
          </w:tcPr>
          <w:p>
            <w:pPr>
              <w:spacing w:after="0"/>
              <w:rPr>
                <w:sz w:val="1"/>
                <w:szCs w:val="1"/>
                <w:color w:val="auto"/>
              </w:rPr>
            </w:pPr>
          </w:p>
        </w:tc>
      </w:tr>
      <w:tr>
        <w:trPr>
          <w:trHeight w:val="20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7"/>
              </w:rPr>
              <w:t>(Loss) Income from Continuing Operations Before Equity in Earnings of 50% or Less</w:t>
            </w: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Owned Companies</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(10,143)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(19,255)</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15,474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(45,967)</w:t>
            </w:r>
          </w:p>
        </w:tc>
        <w:tc>
          <w:tcPr>
            <w:tcW w:w="0" w:type="dxa"/>
            <w:vAlign w:val="bottom"/>
          </w:tcPr>
          <w:p>
            <w:pPr>
              <w:spacing w:after="0"/>
              <w:rPr>
                <w:sz w:val="1"/>
                <w:szCs w:val="1"/>
                <w:color w:val="auto"/>
              </w:rPr>
            </w:pPr>
          </w:p>
        </w:tc>
      </w:tr>
      <w:tr>
        <w:trPr>
          <w:trHeight w:val="240"/>
        </w:trPr>
        <w:tc>
          <w:tcPr>
            <w:tcW w:w="5860" w:type="dxa"/>
            <w:vAlign w:val="bottom"/>
          </w:tcPr>
          <w:p>
            <w:pPr>
              <w:spacing w:after="0"/>
              <w:rPr>
                <w:sz w:val="20"/>
                <w:szCs w:val="20"/>
                <w:color w:val="auto"/>
              </w:rPr>
            </w:pPr>
            <w:r>
              <w:rPr>
                <w:rFonts w:ascii="Arial" w:cs="Arial" w:eastAsia="Arial" w:hAnsi="Arial"/>
                <w:sz w:val="16"/>
                <w:szCs w:val="16"/>
                <w:color w:val="auto"/>
              </w:rPr>
              <w:t>Equity in Earnings Gains (Losses) of 50% or Less Owned Companies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(588)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10,584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Income from Continuing Operations</w:t>
            </w: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(5,829)</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(19,843)</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26,058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(44,449)</w:t>
            </w:r>
          </w:p>
        </w:tc>
        <w:tc>
          <w:tcPr>
            <w:tcW w:w="0" w:type="dxa"/>
            <w:vAlign w:val="bottom"/>
          </w:tcPr>
          <w:p>
            <w:pPr>
              <w:spacing w:after="0"/>
              <w:rPr>
                <w:sz w:val="1"/>
                <w:szCs w:val="1"/>
                <w:color w:val="auto"/>
              </w:rPr>
            </w:pPr>
          </w:p>
        </w:tc>
      </w:tr>
      <w:tr>
        <w:trPr>
          <w:trHeight w:val="240"/>
        </w:trPr>
        <w:tc>
          <w:tcPr>
            <w:tcW w:w="5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on Discontinued Operations, Net of Tax (see Note 12)</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1,766</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22,925</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(5,829)</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(18,077)</w:t>
            </w: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(44,135)</w:t>
            </w:r>
          </w:p>
        </w:tc>
        <w:tc>
          <w:tcPr>
            <w:tcW w:w="0" w:type="dxa"/>
            <w:vAlign w:val="bottom"/>
          </w:tcPr>
          <w:p>
            <w:pPr>
              <w:spacing w:after="0"/>
              <w:rPr>
                <w:sz w:val="1"/>
                <w:szCs w:val="1"/>
                <w:color w:val="auto"/>
              </w:rPr>
            </w:pPr>
          </w:p>
        </w:tc>
      </w:tr>
      <w:tr>
        <w:trPr>
          <w:trHeight w:val="240"/>
        </w:trPr>
        <w:tc>
          <w:tcPr>
            <w:tcW w:w="586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 in Subsidiaries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(4,036)</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(Loss) Income Attributable to SEACOR Marine Holdings Inc.</w:t>
            </w: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(5,829)</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(18,081)</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48,982</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(40,099)</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(Loss) Per Common Share from Continuing Operations:</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Basic</w:t>
            </w:r>
          </w:p>
        </w:tc>
        <w:tc>
          <w:tcPr>
            <w:tcW w:w="4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(0.23)</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(0.79)</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46"/>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4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(0.23)</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(0.79)</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6"/>
                <w:szCs w:val="16"/>
                <w:color w:val="auto"/>
              </w:rPr>
              <w:t>Net Earnings (Loss) Per Share from Discontinued Operations: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4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0.90</w:t>
            </w:r>
          </w:p>
        </w:tc>
        <w:tc>
          <w:tcPr>
            <w:tcW w:w="16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60" w:type="dxa"/>
            <w:vAlign w:val="bottom"/>
          </w:tcPr>
          <w:p>
            <w:pPr>
              <w:ind w:left="260"/>
              <w:spacing w:after="0"/>
              <w:rPr>
                <w:sz w:val="20"/>
                <w:szCs w:val="20"/>
                <w:color w:val="auto"/>
              </w:rPr>
            </w:pPr>
            <w:r>
              <w:rPr>
                <w:rFonts w:ascii="Arial" w:cs="Arial" w:eastAsia="Arial" w:hAnsi="Arial"/>
                <w:sz w:val="16"/>
                <w:szCs w:val="16"/>
                <w:color w:val="auto"/>
              </w:rPr>
              <w:t>Diluted</w:t>
            </w:r>
          </w:p>
        </w:tc>
        <w:tc>
          <w:tcPr>
            <w:tcW w:w="46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0.90</w:t>
            </w: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Earnings (Loss) per Share:</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2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(0.23)</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(0.72)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58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(0.23)</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(0.72)</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 Average Common Stock and Warrants Outstanding:</w:t>
            </w: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25,515,569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24,989,977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25,419,303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24,611,666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26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25,515,569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24,989,977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25,430,762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24,611,666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COMPREHENSIVE INCOME (LOSS)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4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(5,829)</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(18,077)</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(44,135)</w:t>
            </w: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color w:val="auto"/>
              </w:rPr>
              <w:t>Other Comprehensive (Loss) Income:</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(losses) gains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(504)</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Derivative losses on cash flow hedges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(54)</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derivative losses on cash flow hedges to interest expense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840" w:type="dxa"/>
            <w:vAlign w:val="bottom"/>
          </w:tcPr>
          <w:p>
            <w:pPr>
              <w:ind w:left="260"/>
              <w:spacing w:after="0"/>
              <w:rPr>
                <w:sz w:val="20"/>
                <w:szCs w:val="20"/>
                <w:color w:val="auto"/>
              </w:rPr>
            </w:pPr>
            <w:r>
              <w:rPr>
                <w:rFonts w:ascii="Arial" w:cs="Arial" w:eastAsia="Arial" w:hAnsi="Arial"/>
                <w:sz w:val="16"/>
                <w:szCs w:val="16"/>
                <w:color w:val="auto"/>
              </w:rPr>
              <w:t>Reclassification of derivative gains (losses) on cash flows hedges to equity in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40" w:type="dxa"/>
            <w:vAlign w:val="bottom"/>
          </w:tcPr>
          <w:p>
            <w:pPr>
              <w:ind w:left="260"/>
              <w:spacing w:after="0"/>
              <w:rPr>
                <w:sz w:val="20"/>
                <w:szCs w:val="20"/>
                <w:color w:val="auto"/>
              </w:rPr>
            </w:pPr>
            <w:r>
              <w:rPr>
                <w:rFonts w:ascii="Arial" w:cs="Arial" w:eastAsia="Arial" w:hAnsi="Arial"/>
                <w:sz w:val="16"/>
                <w:szCs w:val="16"/>
                <w:color w:val="auto"/>
              </w:rPr>
              <w:t>earnings of 50% or less owned companies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(282)</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(787)</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
        </w:trPr>
        <w:tc>
          <w:tcPr>
            <w:tcW w:w="58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4,254</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Comprehensive (Loss) Income</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(5,892)</w:t>
            </w:r>
          </w:p>
        </w:tc>
        <w:tc>
          <w:tcPr>
            <w:tcW w:w="3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(15,916)</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53,237</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(46,063)</w:t>
            </w:r>
          </w:p>
        </w:tc>
        <w:tc>
          <w:tcPr>
            <w:tcW w:w="0" w:type="dxa"/>
            <w:vAlign w:val="bottom"/>
          </w:tcPr>
          <w:p>
            <w:pPr>
              <w:spacing w:after="0"/>
              <w:rPr>
                <w:sz w:val="1"/>
                <w:szCs w:val="1"/>
                <w:color w:val="auto"/>
              </w:rPr>
            </w:pPr>
          </w:p>
        </w:tc>
      </w:tr>
      <w:tr>
        <w:trPr>
          <w:trHeight w:val="203"/>
        </w:trPr>
        <w:tc>
          <w:tcPr>
            <w:tcW w:w="58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Comprehensive Income (Loss) Attributable to Noncontrolling Interests in</w:t>
            </w: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Subsidiaries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(4,036)</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Comprehensive (Loss) Income attributable to SEACOR Marine Holdings Inc.</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vMerge w:val="continue"/>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(5,892)</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(15,920)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53,236</w:t>
            </w:r>
          </w:p>
        </w:tc>
        <w:tc>
          <w:tcPr>
            <w:tcW w:w="240" w:type="dxa"/>
            <w:vAlign w:val="bottom"/>
          </w:tcPr>
          <w:p>
            <w:pPr>
              <w:spacing w:after="0"/>
              <w:rPr>
                <w:sz w:val="17"/>
                <w:szCs w:val="17"/>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(42,027)</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90"/>
              </w:rPr>
              <w:t>Shares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7"/>
              </w:rPr>
              <w:t>Retained</w:t>
            </w: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8"/>
              </w:rPr>
              <w:t>Accumulated</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i w:val="1"/>
                <w:iCs w:val="1"/>
                <w:color w:val="auto"/>
              </w:rPr>
              <w:t>Non-</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8"/>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90"/>
              </w:rPr>
              <w:t>Additional</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Shares</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93"/>
              </w:rPr>
              <w:t>Earnings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i w:val="1"/>
                <w:iCs w:val="1"/>
                <w:color w:val="auto"/>
                <w:w w:val="90"/>
              </w:rPr>
              <w:t>Other</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Controlling</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9"/>
              </w:rPr>
              <w:t>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0"/>
              <w:spacing w:after="0" w:line="149" w:lineRule="exact"/>
              <w:rPr>
                <w:sz w:val="20"/>
                <w:szCs w:val="20"/>
                <w:color w:val="auto"/>
              </w:rPr>
            </w:pPr>
            <w:r>
              <w:rPr>
                <w:rFonts w:ascii="Arial" w:cs="Arial" w:eastAsia="Arial" w:hAnsi="Arial"/>
                <w:sz w:val="14"/>
                <w:szCs w:val="14"/>
                <w:b w:val="1"/>
                <w:bCs w:val="1"/>
                <w:i w:val="1"/>
                <w:iCs w:val="1"/>
                <w:color w:val="auto"/>
                <w:w w:val="85"/>
              </w:rPr>
              <w:t>Common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98"/>
              </w:rPr>
              <w:t>Paid-In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4"/>
              </w:rPr>
              <w:t>Held in</w:t>
            </w:r>
          </w:p>
        </w:tc>
        <w:tc>
          <w:tcPr>
            <w:tcW w:w="8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i w:val="1"/>
                <w:iCs w:val="1"/>
                <w:color w:val="auto"/>
              </w:rPr>
              <w:t>Treasury</w:t>
            </w:r>
          </w:p>
        </w:tc>
        <w:tc>
          <w:tcPr>
            <w:tcW w:w="106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8"/>
              </w:rPr>
              <w:t>(Accumulated</w:t>
            </w:r>
          </w:p>
        </w:tc>
        <w:tc>
          <w:tcPr>
            <w:tcW w:w="12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7"/>
              </w:rPr>
              <w:t>Comprehensive</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Interests In</w:t>
            </w:r>
          </w:p>
        </w:tc>
        <w:tc>
          <w:tcPr>
            <w:tcW w:w="14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67"/>
        </w:trPr>
        <w:tc>
          <w:tcPr>
            <w:tcW w:w="250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9"/>
              </w:rPr>
              <w:t>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i w:val="1"/>
                <w:iCs w:val="1"/>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i w:val="1"/>
                <w:iCs w:val="1"/>
                <w:color w:val="auto"/>
                <w:w w:val="94"/>
              </w:rPr>
              <w:t>Capital</w:t>
            </w:r>
          </w:p>
        </w:tc>
        <w:tc>
          <w:tcPr>
            <w:tcW w:w="7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7"/>
              </w:rPr>
              <w:t>Treasury</w:t>
            </w:r>
          </w:p>
        </w:tc>
        <w:tc>
          <w:tcPr>
            <w:tcW w:w="2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92"/>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i w:val="1"/>
                <w:iCs w:val="1"/>
                <w:color w:val="auto"/>
                <w:w w:val="96"/>
              </w:rPr>
              <w:t>Gain</w:t>
            </w:r>
          </w:p>
        </w:tc>
        <w:tc>
          <w:tcPr>
            <w:tcW w:w="9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Subsidiaries</w:t>
            </w: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w w:val="98"/>
              </w:rPr>
              <w:t>Equity</w:t>
            </w:r>
          </w:p>
        </w:tc>
        <w:tc>
          <w:tcPr>
            <w:tcW w:w="0" w:type="dxa"/>
            <w:vAlign w:val="bottom"/>
          </w:tcPr>
          <w:p>
            <w:pPr>
              <w:spacing w:after="0"/>
              <w:rPr>
                <w:sz w:val="1"/>
                <w:szCs w:val="1"/>
                <w:color w:val="auto"/>
              </w:rPr>
            </w:pPr>
          </w:p>
        </w:tc>
      </w:tr>
      <w:tr>
        <w:trPr>
          <w:trHeight w:val="196"/>
        </w:trPr>
        <w:tc>
          <w:tcPr>
            <w:tcW w:w="250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September 30, 2021</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23,430,766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451,179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73,284</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(51,839)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815,550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00" w:type="dxa"/>
            <w:vAlign w:val="bottom"/>
          </w:tcPr>
          <w:p>
            <w:pPr>
              <w:ind w:left="260"/>
              <w:spacing w:after="0"/>
              <w:rPr>
                <w:sz w:val="20"/>
                <w:szCs w:val="20"/>
                <w:color w:val="auto"/>
              </w:rPr>
            </w:pPr>
            <w:r>
              <w:rPr>
                <w:rFonts w:ascii="Arial" w:cs="Arial" w:eastAsia="Arial" w:hAnsi="Arial"/>
                <w:sz w:val="16"/>
                <w:szCs w:val="16"/>
                <w:color w:val="auto"/>
                <w:w w:val="98"/>
              </w:rPr>
              <w:t>Amortization of employee share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3,759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(54,454)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54,454</w:t>
            </w: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3"/>
        </w:trPr>
        <w:tc>
          <w:tcPr>
            <w:tcW w:w="2500" w:type="dxa"/>
            <w:vAlign w:val="bottom"/>
          </w:tcPr>
          <w:p>
            <w:pPr>
              <w:ind w:left="260"/>
              <w:spacing w:after="0"/>
              <w:rPr>
                <w:sz w:val="20"/>
                <w:szCs w:val="20"/>
                <w:color w:val="auto"/>
              </w:rPr>
            </w:pPr>
            <w:r>
              <w:rPr>
                <w:rFonts w:ascii="Arial" w:cs="Arial" w:eastAsia="Arial" w:hAnsi="Arial"/>
                <w:sz w:val="16"/>
                <w:szCs w:val="16"/>
                <w:color w:val="auto"/>
              </w:rPr>
              <w:t>Director share awards</w:t>
            </w:r>
          </w:p>
        </w:tc>
        <w:tc>
          <w:tcPr>
            <w:tcW w:w="840" w:type="dxa"/>
            <w:vAlign w:val="bottom"/>
          </w:tcPr>
          <w:p>
            <w:pPr>
              <w:jc w:val="right"/>
              <w:spacing w:after="0"/>
              <w:rPr>
                <w:sz w:val="20"/>
                <w:szCs w:val="20"/>
                <w:color w:val="auto"/>
              </w:rPr>
            </w:pPr>
            <w:r>
              <w:rPr>
                <w:rFonts w:ascii="Arial" w:cs="Arial" w:eastAsia="Arial" w:hAnsi="Arial"/>
                <w:sz w:val="16"/>
                <w:szCs w:val="16"/>
                <w:color w:val="auto"/>
              </w:rPr>
              <w:t>189,030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435</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Forfeiture of employee share</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(5,250)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500" w:type="dxa"/>
            <w:vAlign w:val="bottom"/>
          </w:tcPr>
          <w:p>
            <w:pPr>
              <w:ind w:left="260"/>
              <w:spacing w:after="0"/>
              <w:rPr>
                <w:sz w:val="20"/>
                <w:szCs w:val="20"/>
                <w:color w:val="auto"/>
              </w:rPr>
            </w:pPr>
            <w:r>
              <w:rPr>
                <w:rFonts w:ascii="Arial" w:cs="Arial" w:eastAsia="Arial" w:hAnsi="Arial"/>
                <w:sz w:val="16"/>
                <w:szCs w:val="16"/>
                <w:color w:val="auto"/>
              </w:rPr>
              <w:t>Sale of Windcat Workboats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(4,202)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(4,202)</w:t>
            </w:r>
          </w:p>
        </w:tc>
        <w:tc>
          <w:tcPr>
            <w:tcW w:w="0" w:type="dxa"/>
            <w:vAlign w:val="bottom"/>
          </w:tcPr>
          <w:p>
            <w:pPr>
              <w:spacing w:after="0"/>
              <w:rPr>
                <w:sz w:val="1"/>
                <w:szCs w:val="1"/>
                <w:color w:val="auto"/>
              </w:rPr>
            </w:pPr>
          </w:p>
        </w:tc>
      </w:tr>
      <w:tr>
        <w:trPr>
          <w:trHeight w:val="219"/>
        </w:trPr>
        <w:tc>
          <w:tcPr>
            <w:tcW w:w="250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48,982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500" w:type="dxa"/>
            <w:vAlign w:val="bottom"/>
          </w:tcPr>
          <w:p>
            <w:pPr>
              <w:spacing w:after="0"/>
              <w:rPr>
                <w:sz w:val="20"/>
                <w:szCs w:val="20"/>
                <w:color w:val="auto"/>
              </w:rPr>
            </w:pPr>
            <w:r>
              <w:rPr>
                <w:rFonts w:ascii="Arial" w:cs="Arial" w:eastAsia="Arial" w:hAnsi="Arial"/>
                <w:sz w:val="16"/>
                <w:szCs w:val="16"/>
                <w:b w:val="1"/>
                <w:bCs w:val="1"/>
                <w:color w:val="auto"/>
              </w:rPr>
              <w:t>September 30, 2021</w:t>
            </w: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24,375,642</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455,373</w:t>
            </w: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127,738</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 (1,120)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(7,059)</w:t>
            </w:r>
          </w:p>
        </w:tc>
        <w:tc>
          <w:tcPr>
            <w:tcW w:w="2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7,044</w:t>
            </w:r>
          </w:p>
        </w:tc>
        <w:tc>
          <w:tcPr>
            <w:tcW w:w="22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320</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454,803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50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September 30, 2021</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 2021</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24,380,892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454,079</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127,738</w:t>
            </w:r>
          </w:p>
        </w:tc>
        <w:tc>
          <w:tcPr>
            <w:tcW w:w="8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(1,120)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459,401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00" w:type="dxa"/>
            <w:vAlign w:val="bottom"/>
          </w:tcPr>
          <w:p>
            <w:pPr>
              <w:ind w:left="260"/>
              <w:spacing w:after="0"/>
              <w:rPr>
                <w:sz w:val="20"/>
                <w:szCs w:val="20"/>
                <w:color w:val="auto"/>
              </w:rPr>
            </w:pPr>
            <w:r>
              <w:rPr>
                <w:rFonts w:ascii="Arial" w:cs="Arial" w:eastAsia="Arial" w:hAnsi="Arial"/>
                <w:sz w:val="16"/>
                <w:szCs w:val="16"/>
                <w:color w:val="auto"/>
                <w:w w:val="98"/>
              </w:rPr>
              <w:t>Amortization of employee share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1,294</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Forfeiture of employee share</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(5,250)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(5,829)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(5,829)</w:t>
            </w:r>
          </w:p>
        </w:tc>
        <w:tc>
          <w:tcPr>
            <w:tcW w:w="0" w:type="dxa"/>
            <w:vAlign w:val="bottom"/>
          </w:tcPr>
          <w:p>
            <w:pPr>
              <w:spacing w:after="0"/>
              <w:rPr>
                <w:sz w:val="1"/>
                <w:szCs w:val="1"/>
                <w:color w:val="auto"/>
              </w:rPr>
            </w:pPr>
          </w:p>
        </w:tc>
      </w:tr>
      <w:tr>
        <w:trPr>
          <w:trHeight w:val="219"/>
        </w:trPr>
        <w:tc>
          <w:tcPr>
            <w:tcW w:w="2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6"/>
                <w:szCs w:val="16"/>
                <w:b w:val="1"/>
                <w:bCs w:val="1"/>
                <w:color w:val="auto"/>
              </w:rPr>
              <w:t>September 30, 2021</w:t>
            </w: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0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9"/>
              </w:rPr>
              <w:t>24,375,642</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245</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455,373</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127,738</w:t>
            </w:r>
          </w:p>
        </w:tc>
        <w:tc>
          <w:tcPr>
            <w:tcW w:w="880" w:type="dxa"/>
            <w:vAlign w:val="bottom"/>
            <w:gridSpan w:val="3"/>
          </w:tcPr>
          <w:p>
            <w:pPr>
              <w:jc w:val="right"/>
              <w:ind w:right="80"/>
              <w:spacing w:after="0"/>
              <w:rPr>
                <w:sz w:val="20"/>
                <w:szCs w:val="20"/>
                <w:color w:val="auto"/>
              </w:rPr>
            </w:pPr>
            <w:r>
              <w:rPr>
                <w:rFonts w:ascii="Arial" w:cs="Arial" w:eastAsia="Arial" w:hAnsi="Arial"/>
                <w:sz w:val="16"/>
                <w:szCs w:val="16"/>
                <w:color w:val="auto"/>
              </w:rPr>
              <w:t>$ (1,120)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(7,059)</w:t>
            </w:r>
          </w:p>
        </w:tc>
        <w:tc>
          <w:tcPr>
            <w:tcW w:w="26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7,044</w:t>
            </w:r>
          </w:p>
        </w:tc>
        <w:tc>
          <w:tcPr>
            <w:tcW w:w="2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320</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454,803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7"/>
              </w:rPr>
              <w:t>Shares of</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i w:val="1"/>
                <w:iCs w:val="1"/>
                <w:color w:val="auto"/>
                <w:w w:val="88"/>
              </w:rPr>
              <w:t>Accumulated</w:t>
            </w:r>
          </w:p>
        </w:tc>
        <w:tc>
          <w:tcPr>
            <w:tcW w:w="14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i w:val="1"/>
                <w:iCs w:val="1"/>
                <w:color w:val="auto"/>
              </w:rPr>
              <w:t>Non-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i w:val="1"/>
                <w:iCs w:val="1"/>
                <w:color w:val="auto"/>
                <w:w w:val="88"/>
              </w:rPr>
              <w:t>Common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90"/>
              </w:rPr>
              <w:t>Additional</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5"/>
              </w:rPr>
              <w:t>Shares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i w:val="1"/>
                <w:iCs w:val="1"/>
                <w:color w:val="auto"/>
                <w:w w:val="90"/>
              </w:rPr>
              <w:t>Other</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Controlling</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83"/>
              </w:rPr>
              <w:t>Stock</w:t>
            </w:r>
          </w:p>
        </w:tc>
        <w:tc>
          <w:tcPr>
            <w:tcW w:w="100" w:type="dxa"/>
            <w:vAlign w:val="bottom"/>
          </w:tcPr>
          <w:p>
            <w:pPr>
              <w:spacing w:after="0"/>
              <w:rPr>
                <w:sz w:val="12"/>
                <w:szCs w:val="12"/>
                <w:color w:val="auto"/>
              </w:rPr>
            </w:pPr>
          </w:p>
        </w:tc>
        <w:tc>
          <w:tcPr>
            <w:tcW w:w="640" w:type="dxa"/>
            <w:vAlign w:val="bottom"/>
          </w:tcPr>
          <w:p>
            <w:pPr>
              <w:jc w:val="right"/>
              <w:ind w:right="20"/>
              <w:spacing w:after="0" w:line="149" w:lineRule="exact"/>
              <w:rPr>
                <w:sz w:val="20"/>
                <w:szCs w:val="20"/>
                <w:color w:val="auto"/>
              </w:rPr>
            </w:pPr>
            <w:r>
              <w:rPr>
                <w:rFonts w:ascii="Arial" w:cs="Arial" w:eastAsia="Arial" w:hAnsi="Arial"/>
                <w:sz w:val="14"/>
                <w:szCs w:val="14"/>
                <w:b w:val="1"/>
                <w:bCs w:val="1"/>
                <w:i w:val="1"/>
                <w:iCs w:val="1"/>
                <w:color w:val="auto"/>
                <w:w w:val="85"/>
              </w:rPr>
              <w:t>Common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98"/>
              </w:rPr>
              <w:t>Paid-In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94"/>
              </w:rPr>
              <w:t>Held in</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i w:val="1"/>
                <w:iCs w:val="1"/>
                <w:color w:val="auto"/>
              </w:rPr>
              <w:t>Treasury</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i w:val="1"/>
                <w:iCs w:val="1"/>
                <w:color w:val="auto"/>
                <w:w w:val="91"/>
              </w:rPr>
              <w:t>Retained</w:t>
            </w:r>
          </w:p>
        </w:tc>
        <w:tc>
          <w:tcPr>
            <w:tcW w:w="1240" w:type="dxa"/>
            <w:vAlign w:val="bottom"/>
            <w:gridSpan w:val="4"/>
          </w:tcPr>
          <w:p>
            <w:pPr>
              <w:ind w:left="80"/>
              <w:spacing w:after="0" w:line="149" w:lineRule="exact"/>
              <w:rPr>
                <w:sz w:val="20"/>
                <w:szCs w:val="20"/>
                <w:color w:val="auto"/>
              </w:rPr>
            </w:pPr>
            <w:r>
              <w:rPr>
                <w:rFonts w:ascii="Arial" w:cs="Arial" w:eastAsia="Arial" w:hAnsi="Arial"/>
                <w:sz w:val="14"/>
                <w:szCs w:val="14"/>
                <w:b w:val="1"/>
                <w:bCs w:val="1"/>
                <w:i w:val="1"/>
                <w:iCs w:val="1"/>
                <w:color w:val="auto"/>
              </w:rPr>
              <w:t>Comprehensive</w:t>
            </w: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i w:val="1"/>
                <w:iCs w:val="1"/>
                <w:color w:val="auto"/>
              </w:rPr>
              <w:t>Interests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67"/>
        </w:trPr>
        <w:tc>
          <w:tcPr>
            <w:tcW w:w="256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i w:val="1"/>
                <w:iCs w:val="1"/>
                <w:color w:val="auto"/>
                <w:w w:val="87"/>
              </w:rPr>
              <w:t>Outstanding</w:t>
            </w:r>
          </w:p>
        </w:tc>
        <w:tc>
          <w:tcPr>
            <w:tcW w:w="100" w:type="dxa"/>
            <w:vAlign w:val="bottom"/>
          </w:tcPr>
          <w:p>
            <w:pPr>
              <w:spacing w:after="0"/>
              <w:rPr>
                <w:sz w:val="14"/>
                <w:szCs w:val="14"/>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i w:val="1"/>
                <w:iCs w:val="1"/>
                <w:color w:val="auto"/>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94"/>
              </w:rPr>
              <w:t>Capital</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i w:val="1"/>
                <w:iCs w:val="1"/>
                <w:color w:val="auto"/>
                <w:w w:val="91"/>
              </w:rPr>
              <w:t>Treasury</w:t>
            </w:r>
          </w:p>
        </w:tc>
        <w:tc>
          <w:tcPr>
            <w:tcW w:w="10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i w:val="1"/>
                <w:iCs w:val="1"/>
                <w:color w:val="auto"/>
                <w:w w:val="83"/>
              </w:rPr>
              <w:t>Stock</w:t>
            </w:r>
          </w:p>
        </w:tc>
        <w:tc>
          <w:tcPr>
            <w:tcW w:w="8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i w:val="1"/>
                <w:iCs w:val="1"/>
                <w:color w:val="auto"/>
                <w:w w:val="90"/>
              </w:rPr>
              <w:t>Earnings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5"/>
              </w:rPr>
              <w:t>Loss</w:t>
            </w:r>
          </w:p>
        </w:tc>
        <w:tc>
          <w:tcPr>
            <w:tcW w:w="8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Subsidiaries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i w:val="1"/>
                <w:iCs w:val="1"/>
                <w:color w:val="auto"/>
                <w:w w:val="98"/>
              </w:rPr>
              <w:t>Equity</w:t>
            </w:r>
          </w:p>
        </w:tc>
        <w:tc>
          <w:tcPr>
            <w:tcW w:w="0" w:type="dxa"/>
            <w:vAlign w:val="bottom"/>
          </w:tcPr>
          <w:p>
            <w:pPr>
              <w:spacing w:after="0"/>
              <w:rPr>
                <w:sz w:val="1"/>
                <w:szCs w:val="1"/>
                <w:color w:val="auto"/>
              </w:rPr>
            </w:pPr>
          </w:p>
        </w:tc>
      </w:tr>
      <w:tr>
        <w:trPr>
          <w:trHeight w:val="196"/>
        </w:trPr>
        <w:tc>
          <w:tcPr>
            <w:tcW w:w="25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Nine Months Ended</w:t>
            </w: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September 30, 2020</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b w:val="1"/>
                <w:bCs w:val="1"/>
                <w:color w:val="auto"/>
              </w:rPr>
              <w:t>December 31, 2019</w:t>
            </w:r>
          </w:p>
        </w:tc>
        <w:tc>
          <w:tcPr>
            <w:tcW w:w="840" w:type="dxa"/>
            <w:vAlign w:val="bottom"/>
          </w:tcPr>
          <w:p>
            <w:pPr>
              <w:jc w:val="right"/>
              <w:spacing w:after="0"/>
              <w:rPr>
                <w:sz w:val="20"/>
                <w:szCs w:val="20"/>
                <w:color w:val="auto"/>
              </w:rPr>
            </w:pPr>
            <w:r>
              <w:rPr>
                <w:rFonts w:ascii="Arial" w:cs="Arial" w:eastAsia="Arial" w:hAnsi="Arial"/>
                <w:sz w:val="16"/>
                <w:szCs w:val="16"/>
                <w:color w:val="auto"/>
              </w:rPr>
              <w:t>21,881,487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429,318</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(669)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21,432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478,924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Forfeiture of employee share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awards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(8,182)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289,452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Amortization of employee share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awards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3,210</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Warrants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338,320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60" w:type="dxa"/>
            <w:vAlign w:val="bottom"/>
          </w:tcPr>
          <w:p>
            <w:pPr>
              <w:ind w:left="260"/>
              <w:spacing w:after="0"/>
              <w:rPr>
                <w:sz w:val="20"/>
                <w:szCs w:val="20"/>
                <w:color w:val="auto"/>
              </w:rPr>
            </w:pPr>
            <w:r>
              <w:rPr>
                <w:rFonts w:ascii="Arial" w:cs="Arial" w:eastAsia="Arial" w:hAnsi="Arial"/>
                <w:sz w:val="16"/>
                <w:szCs w:val="16"/>
                <w:color w:val="auto"/>
              </w:rPr>
              <w:t>Restricted stock vesting</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(25,743)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25,743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Director share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Acquisition of consolidated joint</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venture</w:t>
            </w:r>
          </w:p>
        </w:tc>
        <w:tc>
          <w:tcPr>
            <w:tcW w:w="840" w:type="dxa"/>
            <w:vAlign w:val="bottom"/>
          </w:tcPr>
          <w:p>
            <w:pPr>
              <w:jc w:val="right"/>
              <w:spacing w:after="0"/>
              <w:rPr>
                <w:sz w:val="20"/>
                <w:szCs w:val="20"/>
                <w:color w:val="auto"/>
              </w:rPr>
            </w:pPr>
            <w:r>
              <w:rPr>
                <w:rFonts w:ascii="Arial" w:cs="Arial" w:eastAsia="Arial" w:hAnsi="Arial"/>
                <w:sz w:val="16"/>
                <w:szCs w:val="16"/>
                <w:color w:val="auto"/>
              </w:rPr>
              <w:t>900,000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13,689</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(17,046)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(3,357)</w:t>
            </w: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(40,099)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(4,036)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(44,135)</w:t>
            </w:r>
          </w:p>
        </w:tc>
        <w:tc>
          <w:tcPr>
            <w:tcW w:w="0" w:type="dxa"/>
            <w:vAlign w:val="bottom"/>
          </w:tcPr>
          <w:p>
            <w:pPr>
              <w:spacing w:after="0"/>
              <w:rPr>
                <w:sz w:val="1"/>
                <w:szCs w:val="1"/>
                <w:color w:val="auto"/>
              </w:rPr>
            </w:pPr>
          </w:p>
        </w:tc>
      </w:tr>
      <w:tr>
        <w:trPr>
          <w:trHeight w:val="429"/>
        </w:trPr>
        <w:tc>
          <w:tcPr>
            <w:tcW w:w="256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(1,928)</w:t>
            </w:r>
          </w:p>
        </w:tc>
        <w:tc>
          <w:tcPr>
            <w:tcW w:w="14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(1,928)</w:t>
            </w: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23,435,234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450,320</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73,284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(13,023)</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(380)</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436,654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6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September 30, 2020</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60" w:type="dxa"/>
            <w:vAlign w:val="bottom"/>
          </w:tcPr>
          <w:p>
            <w:pPr>
              <w:spacing w:after="0"/>
              <w:rPr>
                <w:sz w:val="20"/>
                <w:szCs w:val="20"/>
                <w:color w:val="auto"/>
              </w:rPr>
            </w:pPr>
            <w:r>
              <w:rPr>
                <w:rFonts w:ascii="Arial" w:cs="Arial" w:eastAsia="Arial" w:hAnsi="Arial"/>
                <w:sz w:val="16"/>
                <w:szCs w:val="16"/>
                <w:b w:val="1"/>
                <w:bCs w:val="1"/>
                <w:color w:val="auto"/>
              </w:rPr>
              <w:t>June 30, 2020</w:t>
            </w:r>
          </w:p>
        </w:tc>
        <w:tc>
          <w:tcPr>
            <w:tcW w:w="840" w:type="dxa"/>
            <w:vAlign w:val="bottom"/>
          </w:tcPr>
          <w:p>
            <w:pPr>
              <w:jc w:val="right"/>
              <w:spacing w:after="0"/>
              <w:rPr>
                <w:sz w:val="20"/>
                <w:szCs w:val="20"/>
                <w:color w:val="auto"/>
              </w:rPr>
            </w:pPr>
            <w:r>
              <w:rPr>
                <w:rFonts w:ascii="Arial" w:cs="Arial" w:eastAsia="Arial" w:hAnsi="Arial"/>
                <w:sz w:val="16"/>
                <w:szCs w:val="16"/>
                <w:color w:val="auto"/>
              </w:rPr>
              <w:t>23,096,914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449,116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72,930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5,058</w:t>
            </w:r>
          </w:p>
        </w:tc>
        <w:tc>
          <w:tcPr>
            <w:tcW w:w="14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(2,541)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451,364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Warrants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338,320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560" w:type="dxa"/>
            <w:vAlign w:val="bottom"/>
          </w:tcPr>
          <w:p>
            <w:pPr>
              <w:ind w:left="260"/>
              <w:spacing w:after="0"/>
              <w:rPr>
                <w:sz w:val="20"/>
                <w:szCs w:val="20"/>
                <w:color w:val="auto"/>
              </w:rPr>
            </w:pPr>
            <w:r>
              <w:rPr>
                <w:rFonts w:ascii="Arial" w:cs="Arial" w:eastAsia="Arial" w:hAnsi="Arial"/>
                <w:sz w:val="16"/>
                <w:szCs w:val="16"/>
                <w:color w:val="auto"/>
              </w:rPr>
              <w:t>Amortization of employee share</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60" w:type="dxa"/>
            <w:vAlign w:val="bottom"/>
          </w:tcPr>
          <w:p>
            <w:pPr>
              <w:ind w:left="260"/>
              <w:spacing w:after="0"/>
              <w:rPr>
                <w:sz w:val="20"/>
                <w:szCs w:val="20"/>
                <w:color w:val="auto"/>
              </w:rPr>
            </w:pPr>
            <w:r>
              <w:rPr>
                <w:rFonts w:ascii="Arial" w:cs="Arial" w:eastAsia="Arial" w:hAnsi="Arial"/>
                <w:sz w:val="16"/>
                <w:szCs w:val="16"/>
                <w:color w:val="auto"/>
              </w:rPr>
              <w:t>awards</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1,204</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(loss) income</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(18,081)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(18,077)</w:t>
            </w:r>
          </w:p>
        </w:tc>
        <w:tc>
          <w:tcPr>
            <w:tcW w:w="0" w:type="dxa"/>
            <w:vAlign w:val="bottom"/>
          </w:tcPr>
          <w:p>
            <w:pPr>
              <w:spacing w:after="0"/>
              <w:rPr>
                <w:sz w:val="1"/>
                <w:szCs w:val="1"/>
                <w:color w:val="auto"/>
              </w:rPr>
            </w:pPr>
          </w:p>
        </w:tc>
      </w:tr>
      <w:tr>
        <w:trPr>
          <w:trHeight w:val="213"/>
        </w:trPr>
        <w:tc>
          <w:tcPr>
            <w:tcW w:w="2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comprehensive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September 30, 2020</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23,435,234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450,320</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73,284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(848)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(13,023)</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(380)</w:t>
            </w: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436,654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40" w:type="dxa"/>
            <w:vAlign w:val="bottom"/>
          </w:tcPr>
          <w:p>
            <w:pPr>
              <w:spacing w:after="0"/>
              <w:rPr>
                <w:sz w:val="13"/>
                <w:szCs w:val="13"/>
                <w:color w:val="auto"/>
              </w:rPr>
            </w:pPr>
          </w:p>
        </w:tc>
        <w:tc>
          <w:tcPr>
            <w:tcW w:w="294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3"/>
                <w:szCs w:val="13"/>
                <w:b w:val="1"/>
                <w:bCs w:val="1"/>
                <w:color w:val="auto"/>
              </w:rPr>
              <w:t>Nine Months Ended September 30,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45"/>
              <w:spacing w:after="0" w:line="142" w:lineRule="exact"/>
              <w:rPr>
                <w:sz w:val="20"/>
                <w:szCs w:val="20"/>
                <w:color w:val="auto"/>
              </w:rPr>
            </w:pPr>
            <w:r>
              <w:rPr>
                <w:rFonts w:ascii="Arial" w:cs="Arial" w:eastAsia="Arial" w:hAnsi="Arial"/>
                <w:sz w:val="13"/>
                <w:szCs w:val="13"/>
                <w:b w:val="1"/>
                <w:bCs w:val="1"/>
                <w:color w:val="auto"/>
              </w:rPr>
              <w:t>2020</w:t>
            </w: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Continuing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3"/>
                <w:szCs w:val="13"/>
                <w:color w:val="auto"/>
              </w:rPr>
              <w:t>Net Income (Loss)</w:t>
            </w:r>
          </w:p>
        </w:tc>
        <w:tc>
          <w:tcPr>
            <w:tcW w:w="1000" w:type="dxa"/>
            <w:vAlign w:val="bottom"/>
          </w:tcPr>
          <w:p>
            <w:pPr>
              <w:jc w:val="right"/>
              <w:ind w:right="855"/>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48,983</w:t>
            </w:r>
          </w:p>
        </w:tc>
        <w:tc>
          <w:tcPr>
            <w:tcW w:w="420" w:type="dxa"/>
            <w:vAlign w:val="bottom"/>
          </w:tcPr>
          <w:p>
            <w:pPr>
              <w:spacing w:after="0"/>
              <w:rPr>
                <w:sz w:val="14"/>
                <w:szCs w:val="14"/>
                <w:color w:val="auto"/>
              </w:rPr>
            </w:pPr>
          </w:p>
        </w:tc>
        <w:tc>
          <w:tcPr>
            <w:tcW w:w="980" w:type="dxa"/>
            <w:vAlign w:val="bottom"/>
          </w:tcPr>
          <w:p>
            <w:pPr>
              <w:jc w:val="right"/>
              <w:ind w:right="865"/>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(44,449)</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43,197</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41,920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financing costs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769</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3,922</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discount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5,252</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Bad debt recoveries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278</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Loss from equipment sales, retirements or impairments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(20,436)</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Gain on the Sale of Windcat Workboats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(22,756)</w:t>
            </w: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from return of investments in 50% or less owned companies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(9,442)</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Gain on Debt Extinguishment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(62,749)</w:t>
            </w: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Derivative gains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(387)</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(5,204)</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Interest on Finance Lease</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settlement payments on derivative transactions, net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(1,747)</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(890)</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Currency losses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878</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7,641</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Equity Earnings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(10,584)</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(1,518)</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Dividends received from equity investees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4,515</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receivables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23,594</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(37,833)</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Other assets</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1,457</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liabilities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(7,444)</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(15,536)</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00"/>
              <w:spacing w:after="0"/>
              <w:rPr>
                <w:sz w:val="20"/>
                <w:szCs w:val="20"/>
                <w:color w:val="auto"/>
              </w:rPr>
            </w:pPr>
            <w:r>
              <w:rPr>
                <w:rFonts w:ascii="Arial" w:cs="Arial" w:eastAsia="Arial" w:hAnsi="Arial"/>
                <w:sz w:val="13"/>
                <w:szCs w:val="13"/>
                <w:color w:val="auto"/>
              </w:rPr>
              <w:t>Net cash provided by (used in) operating activities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4,944</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(27,397)</w:t>
            </w:r>
          </w:p>
        </w:tc>
        <w:tc>
          <w:tcPr>
            <w:tcW w:w="0" w:type="dxa"/>
            <w:vAlign w:val="bottom"/>
          </w:tcPr>
          <w:p>
            <w:pPr>
              <w:spacing w:after="0"/>
              <w:rPr>
                <w:sz w:val="1"/>
                <w:szCs w:val="1"/>
                <w:color w:val="auto"/>
              </w:rPr>
            </w:pPr>
          </w:p>
        </w:tc>
      </w:tr>
      <w:tr>
        <w:trPr>
          <w:trHeight w:val="155"/>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Flows from Continuing Investing Activities:</w:t>
            </w: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(6,560)</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(18,308)</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disposition of property and equipment</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30,137</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Construction reserve funds utilized</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Construction reserve funds transferred to short-term cash</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Purchase of subsidiary from joint venture</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(8,445)</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 xml:space="preserve">Proceeds from sale of Windcat Workboats, net of transaction costs and cash sold </w:t>
            </w:r>
            <w:r>
              <w:rPr>
                <w:rFonts w:ascii="Arial" w:cs="Arial" w:eastAsia="Arial" w:hAnsi="Arial"/>
                <w:sz w:val="11"/>
                <w:szCs w:val="11"/>
                <w:color w:val="auto"/>
              </w:rPr>
              <w:t>(1)</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38,715</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Investments in and advances to 50% or less owned companies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(736)</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(958)</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Excess distributions from equity investees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9,442</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Principal payments on notes due from equity investees</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3,975</w:t>
            </w:r>
          </w:p>
        </w:tc>
        <w:tc>
          <w:tcPr>
            <w:tcW w:w="4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cash provided by investing activities</w:t>
            </w: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74,973</w:t>
            </w:r>
          </w:p>
        </w:tc>
        <w:tc>
          <w:tcPr>
            <w:tcW w:w="420" w:type="dxa"/>
            <w:vAlign w:val="bottom"/>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6,346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40" w:type="dxa"/>
            <w:vAlign w:val="bottom"/>
          </w:tcPr>
          <w:p>
            <w:pPr>
              <w:spacing w:after="0"/>
              <w:rPr>
                <w:sz w:val="20"/>
                <w:szCs w:val="20"/>
                <w:color w:val="auto"/>
              </w:rPr>
            </w:pPr>
            <w:r>
              <w:rPr>
                <w:rFonts w:ascii="Arial" w:cs="Arial" w:eastAsia="Arial" w:hAnsi="Arial"/>
                <w:sz w:val="13"/>
                <w:szCs w:val="13"/>
                <w:color w:val="auto"/>
              </w:rPr>
              <w:t>Cash Flows from Continuing Financing Activities: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on long-term debt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(72,143)</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(16,821)</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Payments on debt extinguishment cost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(755)</w:t>
            </w:r>
          </w:p>
        </w:tc>
        <w:tc>
          <w:tcPr>
            <w:tcW w:w="9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on finance lease</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(21)</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Proceeds from exercise of warrant options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 stock</w:t>
            </w: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420" w:type="dxa"/>
            <w:vAlign w:val="bottom"/>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Pr>
          <w:p>
            <w:pPr>
              <w:ind w:left="500"/>
              <w:spacing w:after="0"/>
              <w:rPr>
                <w:sz w:val="20"/>
                <w:szCs w:val="20"/>
                <w:color w:val="auto"/>
              </w:rPr>
            </w:pPr>
            <w:r>
              <w:rPr>
                <w:rFonts w:ascii="Arial" w:cs="Arial" w:eastAsia="Arial" w:hAnsi="Arial"/>
                <w:sz w:val="13"/>
                <w:szCs w:val="13"/>
                <w:color w:val="auto"/>
              </w:rPr>
              <w:t>Net cash used in financing activities</w:t>
            </w:r>
          </w:p>
        </w:tc>
        <w:tc>
          <w:tcPr>
            <w:tcW w:w="100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(72,909)</w:t>
            </w:r>
          </w:p>
        </w:tc>
        <w:tc>
          <w:tcPr>
            <w:tcW w:w="9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(16,820)</w:t>
            </w:r>
          </w:p>
        </w:tc>
        <w:tc>
          <w:tcPr>
            <w:tcW w:w="0" w:type="dxa"/>
            <w:vAlign w:val="bottom"/>
          </w:tcPr>
          <w:p>
            <w:pPr>
              <w:spacing w:after="0"/>
              <w:rPr>
                <w:sz w:val="1"/>
                <w:szCs w:val="1"/>
                <w:color w:val="auto"/>
              </w:rPr>
            </w:pPr>
          </w:p>
        </w:tc>
      </w:tr>
      <w:tr>
        <w:trPr>
          <w:trHeight w:val="20"/>
        </w:trPr>
        <w:tc>
          <w:tcPr>
            <w:tcW w:w="76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Effects of Exchange Rate Changes on Cash and Cash Equivalents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(21)</w:t>
            </w:r>
          </w:p>
        </w:tc>
        <w:tc>
          <w:tcPr>
            <w:tcW w:w="9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(949)</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3"/>
                <w:szCs w:val="13"/>
                <w:color w:val="auto"/>
              </w:rPr>
              <w:t>Net Increase (Decrease) in Cash, Restricted Cash and Cash Equivalents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6,987</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(38,820)</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Discontinued Operations: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Operating Activities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(171)</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Investing Activities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(6,882)</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Financing Activities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Effects of Exchange Rate Changes on Cash, Restricted Cash and Cash Equivalents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00"/>
              <w:spacing w:after="0"/>
              <w:rPr>
                <w:sz w:val="20"/>
                <w:szCs w:val="20"/>
                <w:color w:val="auto"/>
              </w:rPr>
            </w:pPr>
            <w:r>
              <w:rPr>
                <w:rFonts w:ascii="Arial" w:cs="Arial" w:eastAsia="Arial" w:hAnsi="Arial"/>
                <w:sz w:val="13"/>
                <w:szCs w:val="13"/>
                <w:color w:val="auto"/>
              </w:rPr>
              <w:t>Net (Decrease) Increase in Cash, Restricted Cash and Cash Equivalents on Discontinued Operations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(171)</w:t>
            </w:r>
          </w:p>
        </w:tc>
        <w:tc>
          <w:tcPr>
            <w:tcW w:w="9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Increase (Decrease) in Cash, Restricted Cash and Cash Equivalents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6,816</w:t>
            </w:r>
          </w:p>
        </w:tc>
        <w:tc>
          <w:tcPr>
            <w:tcW w:w="4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(38,516)</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Restricted Cash and Cash Equivalents, Beginning of Period</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39,538</w:t>
            </w:r>
          </w:p>
        </w:tc>
        <w:tc>
          <w:tcPr>
            <w:tcW w:w="42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87,047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Restricted Cash and Cash Equivalents, End of Period</w:t>
            </w:r>
          </w:p>
        </w:tc>
        <w:tc>
          <w:tcPr>
            <w:tcW w:w="1000" w:type="dxa"/>
            <w:vAlign w:val="bottom"/>
            <w:tcBorders>
              <w:bottom w:val="single" w:sz="8" w:color="auto"/>
            </w:tcBorders>
            <w:shd w:val="clear" w:color="auto" w:fill="CFF0FC"/>
          </w:tcPr>
          <w:p>
            <w:pPr>
              <w:jc w:val="right"/>
              <w:ind w:right="855"/>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46,354</w:t>
            </w:r>
          </w:p>
        </w:tc>
        <w:tc>
          <w:tcPr>
            <w:tcW w:w="420" w:type="dxa"/>
            <w:vAlign w:val="bottom"/>
            <w:tcBorders>
              <w:bottom w:val="single" w:sz="8" w:color="CFF0FC"/>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865"/>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48,531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3"/>
                <w:szCs w:val="13"/>
                <w:color w:val="auto"/>
              </w:rPr>
              <w:t>Supplemental disclosures:</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interest, excluding capitalized interest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(15,231)</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(15,387)</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Income taxes refunded, net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32,759</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Investing and Financing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Arial" w:cs="Arial" w:eastAsia="Arial" w:hAnsi="Arial"/>
                <w:sz w:val="13"/>
                <w:szCs w:val="13"/>
                <w:color w:val="auto"/>
              </w:rPr>
              <w:t>Increase in property, plant and equipment related to an acquisition</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142,282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Decrease in joint venture investments related to an acquisition</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Arial" w:cs="Arial" w:eastAsia="Arial" w:hAnsi="Arial"/>
                <w:sz w:val="13"/>
                <w:szCs w:val="13"/>
                <w:color w:val="auto"/>
              </w:rPr>
              <w:t>Increase in long-term debt related to an acquisition</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75,569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Increase in long-term debt related to asset purchases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6,500</w:t>
            </w:r>
          </w:p>
        </w:tc>
        <w:tc>
          <w:tcPr>
            <w:tcW w:w="4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Arial" w:cs="Arial" w:eastAsia="Arial" w:hAnsi="Arial"/>
                <w:sz w:val="13"/>
                <w:szCs w:val="13"/>
                <w:color w:val="auto"/>
              </w:rPr>
              <w:t>Decrease in debt related to debt settlement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(62,749)</w:t>
            </w:r>
          </w:p>
        </w:tc>
        <w:tc>
          <w:tcPr>
            <w:tcW w:w="9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Decrease in capital expenditures in accounts payable and accrued liabilities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(10,379)</w:t>
            </w:r>
          </w:p>
        </w:tc>
        <w:tc>
          <w:tcPr>
            <w:tcW w:w="9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(5,444)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4"/>
          <w:szCs w:val="14"/>
          <w:color w:val="auto"/>
        </w:rPr>
        <w:t>Refer to Note 2. Equipment Acquisitions and Dispositions for a reconciliation of the cash received from the sale of Windcat Workboats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8" w:name="page9"/>
    <w:bookmarkEnd w:id="8"/>
    <w:p>
      <w:pPr>
        <w:jc w:val="center"/>
        <w:spacing w:after="0" w:line="244" w:lineRule="auto"/>
        <w:rPr>
          <w:sz w:val="20"/>
          <w:szCs w:val="20"/>
          <w:color w:val="auto"/>
        </w:rPr>
      </w:pPr>
      <w:r>
        <w:rPr>
          <w:rFonts w:ascii="Arial" w:cs="Arial" w:eastAsia="Arial" w:hAnsi="Arial"/>
          <w:sz w:val="22"/>
          <w:szCs w:val="22"/>
          <w:b w:val="1"/>
          <w:bCs w:val="1"/>
          <w:color w:val="auto"/>
        </w:rPr>
        <w:t>SEACOR MARINE HOLDINGS INC. NOTES TO CONDENSED CONSOLIDATED FINANCIAL STATEMENTS (unaudited)</w:t>
      </w:r>
    </w:p>
    <w:p>
      <w:pPr>
        <w:spacing w:after="0" w:line="390" w:lineRule="exact"/>
        <w:rPr>
          <w:sz w:val="20"/>
          <w:szCs w:val="20"/>
          <w:color w:val="auto"/>
        </w:rPr>
      </w:pPr>
    </w:p>
    <w:p>
      <w:pPr>
        <w:ind w:left="760" w:hanging="752"/>
        <w:spacing w:after="0"/>
        <w:tabs>
          <w:tab w:leader="none" w:pos="7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 AND ACCOUNTING POLICIES</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6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Certain information and footnote disclosures normally included in financial statements prepared in accordance with generally accepted accounting principles in the United States (“GAAP”) have been condensed or omitted. These condensed consolidated financial statements should be read in conjunction with the Company’s financial statements and related notes thereto included in the Company’s Annual Report on Form 10-K for the year ended December 31, 2020 (the “2020 Annual Report”).</w:t>
      </w:r>
    </w:p>
    <w:p>
      <w:pPr>
        <w:spacing w:after="0" w:line="1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outbreak of the novel coronavirus (“COVID-19”) has caused significant disruptions and volatility in the global economy and marketplace. There remains continuing uncertainty regarding the length and severity of the impact of COVID-19 on the economy, in general, and the energy industry, in particular, each of which has a significant effect on the outlook for the Company’s business. The decrease in oil and natural gas prices experienced at the beginning stages of the COVID-19 pandemic led to a decrease in the demand for the Company’s products and services. Although the underlying commodity prices supporting such demand have recovered substantially, the risk of continued volatility in the commodity prices remains. A prolonged period of severely depressed oil and natural gas prices compared to historic averages could have a material adverse effect on the business.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Adopted Accounting Standards.</w:t>
      </w:r>
    </w:p>
    <w:p>
      <w:pPr>
        <w:spacing w:after="0" w:line="166"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On December 18, 2019, the FASB issued ASU 2019-12, Income Taxes (Topic 740): Simplifying the Accounting for Income Taxes. The guidance is effective for fiscal years, and interim periods within those fiscal years, beginning after December 15, 2020. The adoption of the standard by the Company did not have a material impact on its consolidated financial position or on its results of operations and cash flows.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Issued Accounting Standards</w:t>
      </w:r>
    </w:p>
    <w:p>
      <w:pPr>
        <w:spacing w:after="0" w:line="17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On October 29, 2020, the FASB issued ASU 2020-10, Codification Improvements: Amendments that improve the consistency of the Codification by including all disclosure guidance in the appropriate Disclosure section. The guidance was effective for annual periods beginning after December 15, 2020, and interim periods within the annual periods beginning after December 15, 2022. The Company has not yet determined the impact adoption of the standard will have on the disclosures included herein.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 w:name="page10"/>
    <w:bookmarkEnd w:id="9"/>
    <w:p>
      <w:pPr>
        <w:jc w:val="both"/>
        <w:ind w:firstLine="749"/>
        <w:spacing w:after="0" w:line="277" w:lineRule="auto"/>
        <w:rPr>
          <w:sz w:val="20"/>
          <w:szCs w:val="20"/>
          <w:color w:val="auto"/>
        </w:rPr>
      </w:pPr>
      <w:r>
        <w:rPr>
          <w:rFonts w:ascii="Arial" w:cs="Arial" w:eastAsia="Arial" w:hAnsi="Arial"/>
          <w:sz w:val="19"/>
          <w:szCs w:val="19"/>
          <w:color w:val="auto"/>
        </w:rPr>
        <w:t>On August 5, 2020, the FASB issued ASU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guidance is effective for fiscal years, and interim periods within those fiscal years, beginning after December 15, 2021. While early adoption is permitted, the Company has determined it will not early adopt the standards. The Company has not yet determined the impact that the adoption of the standard will have on the Company’s consolidated financial position, results of operations and disclosures.</w:t>
      </w:r>
    </w:p>
    <w:p>
      <w:pPr>
        <w:spacing w:after="0" w:line="12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On March 12, 2020, the FASB issued ASU 2020-04, Reference Rate Reform (Topic 848): Facilitation of the Effects of Reference Rate Reform on Financial Reporting, which provides temporary optional guidance to ease the potential burden in accounting for reference rate reform.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ASU is intended to help stakeholders during the global market-wide reference rate transition period. Therefore, it will be in effect for a limited time through December 31, 2022. As of September 30, 2021, the reference rates for the Company’s existing debt and interest rate swaps have not changed as a result of any such amendment. The Company will continue to monitor changes to reference rates in applicable agreements and adopt the standard as needed.</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Critical Accounting Policies.</w:t>
      </w:r>
    </w:p>
    <w:p>
      <w:pPr>
        <w:spacing w:after="0" w:line="16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Basis of Consolidation. </w:t>
      </w:r>
      <w:r>
        <w:rPr>
          <w:rFonts w:ascii="Arial" w:cs="Arial" w:eastAsia="Arial" w:hAnsi="Arial"/>
          <w:sz w:val="21"/>
          <w:szCs w:val="21"/>
          <w:color w:val="auto"/>
        </w:rPr>
        <w:t>The consolidated financial statements include the accounts of SEACOR Marine and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controlled subsidiaries. Control is generally deemed to exist if the Company has greater than 50% of the voting rights of a subsidiary. All significant intercompany accounts and transactions are eliminated in the combination and consolidation.</w:t>
      </w:r>
    </w:p>
    <w:p>
      <w:pPr>
        <w:spacing w:after="0" w:line="14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acquisition of controlling interests by the Company, any previous noncontrolled equity investment in the subsidiary is measured at fair value and a gain or loss is recognized in net income (loss) based on such fair value.</w:t>
      </w:r>
    </w:p>
    <w:p>
      <w:pPr>
        <w:spacing w:after="0" w:line="13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net income (loss) as equity in earnings (losses) of 50% or less owned companies, net of tax.</w:t>
      </w:r>
    </w:p>
    <w:p>
      <w:pPr>
        <w:spacing w:after="0" w:line="120"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Certain reclassifications were made to previously reported amounts in the consolidated financial statements and notes thereto to make them consistent with the current period presentation.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 w:name="page11"/>
    <w:bookmarkEnd w:id="10"/>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Use of Estimates. </w:t>
      </w:r>
      <w:r>
        <w:rPr>
          <w:rFonts w:ascii="Arial" w:cs="Arial" w:eastAsia="Arial" w:hAnsi="Arial"/>
          <w:sz w:val="19"/>
          <w:szCs w:val="19"/>
          <w:color w:val="auto"/>
        </w:rPr>
        <w:t>The preparation of financial statements in conformity with accounting principles generally accepted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2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Revenue Recognition</w:t>
      </w:r>
      <w:r>
        <w:rPr>
          <w:rFonts w:ascii="Arial" w:cs="Arial" w:eastAsia="Arial" w:hAnsi="Arial"/>
          <w:sz w:val="19"/>
          <w:szCs w:val="19"/>
          <w:color w:val="auto"/>
        </w:rPr>
        <w:t>. Revenue is recognized when (or as) the Company transfers promised goods or services to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The Company recognizes revenue net of sales taxes based on its estimates of the consideration the Company expects to receive. Costs to obtain or fulfill a contract are expensed as incurred.</w:t>
      </w:r>
    </w:p>
    <w:p>
      <w:pPr>
        <w:spacing w:after="0" w:line="10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w:t>
      </w:r>
    </w:p>
    <w:p>
      <w:pPr>
        <w:spacing w:after="0" w:line="11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58"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endeavors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12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Revenue that does not meet these criteria is deferred until the criteria is met and is considered a contract liability and is recognized as such. Contract liabilities, which are included in other current liabilities in the accompanying consolidated balance sheets, for the nine months ended September 30, 2021 and nine months ended September 30, 2020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Borders>
              <w:bottom w:val="single" w:sz="8" w:color="CFF0FC"/>
            </w:tcBorders>
          </w:tcPr>
          <w:p>
            <w:pPr>
              <w:spacing w:after="0"/>
              <w:rPr>
                <w:sz w:val="18"/>
                <w:szCs w:val="18"/>
                <w:color w:val="auto"/>
              </w:rPr>
            </w:pPr>
          </w:p>
        </w:tc>
        <w:tc>
          <w:tcPr>
            <w:tcW w:w="24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348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60" w:type="dxa"/>
            <w:vAlign w:val="bottom"/>
          </w:tcPr>
          <w:p>
            <w:pPr>
              <w:ind w:left="260"/>
              <w:spacing w:after="0"/>
              <w:rPr>
                <w:sz w:val="20"/>
                <w:szCs w:val="20"/>
                <w:color w:val="auto"/>
              </w:rPr>
            </w:pPr>
            <w:r>
              <w:rPr>
                <w:rFonts w:ascii="Arial" w:cs="Arial" w:eastAsia="Arial" w:hAnsi="Arial"/>
                <w:sz w:val="16"/>
                <w:szCs w:val="16"/>
                <w:color w:val="auto"/>
              </w:rPr>
              <w:t>Revenues deferred during the period</w:t>
            </w:r>
          </w:p>
        </w:tc>
        <w:tc>
          <w:tcPr>
            <w:tcW w:w="2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Revenues recognized during the period</w:t>
            </w:r>
          </w:p>
        </w:tc>
        <w:tc>
          <w:tcPr>
            <w:tcW w:w="24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(2,627)</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Balance at end of period</w:t>
            </w:r>
          </w:p>
        </w:tc>
        <w:tc>
          <w:tcPr>
            <w:tcW w:w="2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60" w:type="dxa"/>
            <w:vAlign w:val="bottom"/>
            <w:vMerge w:val="continue"/>
          </w:tcPr>
          <w:p>
            <w:pPr>
              <w:spacing w:after="0"/>
              <w:rPr>
                <w:sz w:val="17"/>
                <w:szCs w:val="17"/>
                <w:color w:val="auto"/>
              </w:rPr>
            </w:pPr>
          </w:p>
        </w:tc>
        <w:tc>
          <w:tcPr>
            <w:tcW w:w="348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1,170</w:t>
            </w:r>
          </w:p>
        </w:tc>
        <w:tc>
          <w:tcPr>
            <w:tcW w:w="300" w:type="dxa"/>
            <w:vAlign w:val="bottom"/>
          </w:tcPr>
          <w:p>
            <w:pPr>
              <w:spacing w:after="0"/>
              <w:rPr>
                <w:sz w:val="17"/>
                <w:szCs w:val="17"/>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As of September 30, 2021, the Company had deferred revenues of $1.2 million primarily comprised of $0.7 million related to the time charter of offshore support vessels to customers from which collections were not reasonably assured, $0.3 million of prepaid charter modification and reservation fees and $0.2 million related to the demobilization of an offshore support vessel.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1" w:name="page12"/>
    <w:bookmarkEnd w:id="11"/>
    <w:p>
      <w:pPr>
        <w:jc w:val="both"/>
        <w:ind w:firstLine="749"/>
        <w:spacing w:after="0" w:line="250" w:lineRule="auto"/>
        <w:rPr>
          <w:sz w:val="20"/>
          <w:szCs w:val="20"/>
          <w:color w:val="auto"/>
        </w:rPr>
      </w:pPr>
      <w:r>
        <w:rPr>
          <w:rFonts w:ascii="Arial" w:cs="Arial" w:eastAsia="Arial" w:hAnsi="Arial"/>
          <w:sz w:val="22"/>
          <w:szCs w:val="22"/>
          <w:color w:val="auto"/>
        </w:rPr>
        <w:t>As of September 30, 2021, the Company recognized deferred revenues of $2.0 million of prepaid vessel management fees on completion of management contract.</w:t>
      </w:r>
    </w:p>
    <w:p>
      <w:pPr>
        <w:spacing w:after="0" w:line="134" w:lineRule="exact"/>
        <w:rPr>
          <w:sz w:val="20"/>
          <w:szCs w:val="20"/>
          <w:color w:val="auto"/>
        </w:rPr>
      </w:pPr>
    </w:p>
    <w:p>
      <w:pPr>
        <w:jc w:val="both"/>
        <w:ind w:right="20" w:firstLine="749"/>
        <w:spacing w:after="0" w:line="238" w:lineRule="auto"/>
        <w:rPr>
          <w:sz w:val="20"/>
          <w:szCs w:val="20"/>
          <w:color w:val="auto"/>
        </w:rPr>
      </w:pPr>
      <w:r>
        <w:rPr>
          <w:rFonts w:ascii="Arial" w:cs="Arial" w:eastAsia="Arial" w:hAnsi="Arial"/>
          <w:sz w:val="22"/>
          <w:szCs w:val="22"/>
          <w:b w:val="1"/>
          <w:bCs w:val="1"/>
          <w:i w:val="1"/>
          <w:iCs w:val="1"/>
          <w:color w:val="auto"/>
        </w:rPr>
        <w:t xml:space="preserve">Cash and Cash Equivalents. </w:t>
      </w:r>
      <w:r>
        <w:rPr>
          <w:rFonts w:ascii="Arial" w:cs="Arial" w:eastAsia="Arial" w:hAnsi="Arial"/>
          <w:sz w:val="22"/>
          <w:szCs w:val="22"/>
          <w:color w:val="auto"/>
        </w:rPr>
        <w:t>The Company considers all highly liquid investments, with an original maturity of three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or less from the date purchased, to be cash equivalents. Cash from current construction reserve funds (“CRF”) is also classified as cash and cash equivalents. There was no balance in current CRF as of September 30, 2021. For the year ended December 31, 2020, the current CRF balance was $4.2 million.</w:t>
      </w:r>
    </w:p>
    <w:p>
      <w:pPr>
        <w:spacing w:after="0" w:line="15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Trade and Other Receivables. </w:t>
      </w:r>
      <w:r>
        <w:rPr>
          <w:rFonts w:ascii="Arial" w:cs="Arial" w:eastAsia="Arial" w:hAnsi="Arial"/>
          <w:sz w:val="19"/>
          <w:szCs w:val="19"/>
          <w:color w:val="auto"/>
        </w:rPr>
        <w:t>Customers are primarily major integrated national and international oil companies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 independent oil and natural gas exploration and production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 receivables at the time the financial asset is originated or acquired.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spacing w:after="0" w:line="11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Property and Equipment. </w:t>
      </w:r>
      <w:r>
        <w:rPr>
          <w:rFonts w:ascii="Arial" w:cs="Arial" w:eastAsia="Arial" w:hAnsi="Arial"/>
          <w:sz w:val="19"/>
          <w:szCs w:val="19"/>
          <w:color w:val="auto"/>
        </w:rPr>
        <w:t>Equipment, stated at cost, is depreciated using the straight-line method over the estimated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assets that have already exceeded the Company’s useful life policy, in which case the Company depreciates such assets based on its best estimate of remaining useful life, typically the next survey or certification date.</w:t>
      </w:r>
    </w:p>
    <w:p>
      <w:pPr>
        <w:spacing w:after="0" w:line="1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As of September 30, 2021, the estimated useful life (in years) of the Company’s new Offshore Support Vessels was 20</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years.</w:t>
      </w:r>
    </w:p>
    <w:p>
      <w:pPr>
        <w:spacing w:after="0" w:line="21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Certain interest costs incurred during the construction of equipment are capitalized as part of the assets’ carrying values and are amortized over such assets estimated useful lives. During the nine months ended September 30, 2021 and 2020 capitalized interest totaled $0.3 million and $0.7 million, respectively.</w:t>
      </w:r>
    </w:p>
    <w:p>
      <w:pPr>
        <w:spacing w:after="0" w:line="18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Impairment of Long-Lived Assets. </w:t>
      </w:r>
      <w:r>
        <w:rPr>
          <w:rFonts w:ascii="Arial" w:cs="Arial" w:eastAsia="Arial" w:hAnsi="Arial"/>
          <w:sz w:val="19"/>
          <w:szCs w:val="19"/>
          <w:color w:val="auto"/>
        </w:rPr>
        <w:t>The Company performs an impairment analysis of long-lived assets used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 w:name="page13"/>
    <w:bookmarkEnd w:id="12"/>
    <w:p>
      <w:pPr>
        <w:jc w:val="both"/>
        <w:ind w:firstLine="749"/>
        <w:spacing w:after="0" w:line="246" w:lineRule="auto"/>
        <w:rPr>
          <w:sz w:val="20"/>
          <w:szCs w:val="20"/>
          <w:color w:val="auto"/>
        </w:rPr>
      </w:pPr>
      <w:r>
        <w:rPr>
          <w:rFonts w:ascii="Arial" w:cs="Arial" w:eastAsia="Arial" w:hAnsi="Arial"/>
          <w:sz w:val="21"/>
          <w:szCs w:val="21"/>
          <w:color w:val="auto"/>
        </w:rPr>
        <w:t>Market conditions caused by COVID-19, including decreased global demand for oil and gas as well as the effect the pandemic has had on SEACOR Marine’s stock price, caused a triggering event for the nine months ended September 30, 2021 and 2020 to occur requiring the Company to test its assets for impairment. For the nine months ended September 30, 2021, the Company did not record an impairment on any owned or leased-in vessels. For the nine months ended September 30, 2020, the Company recorded impairment charges of $3.9 million related to four owned liftboats, $7.4 million related to two leased-in liftboats, and $1.2 million related to one specialty vessel due to a reduced sales price for the vessel. Estimated fair values for the Company’s owned vessels were established by independent appraisers based on researched market information, replacement cost information, and other data.</w:t>
      </w:r>
    </w:p>
    <w:p>
      <w:pPr>
        <w:spacing w:after="0" w:line="153"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For vessel classes and individual vessels with indicators of impairment as of September 30, 2021, the Company estimated that their future undiscounted cash flows exceeded their current carrying values. However, the Company’s estimates of future undiscounted cash flows are highly subjective as utilization and rates per day worked are uncertain, especially in light of the continued volatility in commodity prices and the effect COVID-19 has had on the timing of an estimated market recovery in the offshore oil and natural gas markets and upon any such recovery, the timing and cost of reactivating cold-stacked vessels. If market conditions decline further, changes in the Company’s expectations on future cash flows may result in recognizing additional impairment charges related to its long-lived assets in future periods. For any vessel or vessel class that have indicators of impairment and are deemed not recoverable through future operations, we determine the fair value of the vessel or vessel class. If the fair value determination is less than the carrying value of the vessel or vessel class, an impairment is recognized to reduce the carrying value to fair value. Fair value determination is primarily accomplished by obtaining independent valuations of vessel or vessel classes from qualified third-party appraisers.</w:t>
      </w:r>
    </w:p>
    <w:p>
      <w:pPr>
        <w:spacing w:after="0" w:line="109"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Impairment of </w:t>
      </w:r>
      <w:r>
        <w:rPr>
          <w:rFonts w:ascii="Arial" w:cs="Arial" w:eastAsia="Arial" w:hAnsi="Arial"/>
          <w:sz w:val="19"/>
          <w:szCs w:val="19"/>
          <w:b w:val="1"/>
          <w:bCs w:val="1"/>
          <w:color w:val="auto"/>
        </w:rPr>
        <w:t>50%</w:t>
      </w:r>
      <w:r>
        <w:rPr>
          <w:rFonts w:ascii="Arial" w:cs="Arial" w:eastAsia="Arial" w:hAnsi="Arial"/>
          <w:sz w:val="19"/>
          <w:szCs w:val="19"/>
          <w:b w:val="1"/>
          <w:bCs w:val="1"/>
          <w:i w:val="1"/>
          <w:iCs w:val="1"/>
          <w:color w:val="auto"/>
        </w:rPr>
        <w:t xml:space="preserve"> or Less Owned Companies. </w:t>
      </w:r>
      <w:r>
        <w:rPr>
          <w:rFonts w:ascii="Arial" w:cs="Arial" w:eastAsia="Arial" w:hAnsi="Arial"/>
          <w:sz w:val="19"/>
          <w:szCs w:val="19"/>
          <w:color w:val="auto"/>
        </w:rPr>
        <w:t>Investments in 50% or less owned companies are reviewed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nine months ended September 30, 2021 and 2020, the Company did not recognize any impairment charges related to its 50% or less owned companies.</w:t>
      </w:r>
    </w:p>
    <w:p>
      <w:pPr>
        <w:spacing w:after="0" w:line="36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b w:val="1"/>
          <w:bCs w:val="1"/>
          <w:i w:val="1"/>
          <w:iCs w:val="1"/>
          <w:color w:val="auto"/>
        </w:rPr>
        <w:t xml:space="preserve">Income Taxes. </w:t>
      </w:r>
      <w:r>
        <w:rPr>
          <w:rFonts w:ascii="Arial" w:cs="Arial" w:eastAsia="Arial" w:hAnsi="Arial"/>
          <w:sz w:val="21"/>
          <w:szCs w:val="21"/>
          <w:color w:val="auto"/>
        </w:rPr>
        <w:t>During the nine months ended September 30, 2021, the Company’s effective income tax rate of 24.56%</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was primarily due to foreign taxes not creditable against U.S. income taxes offset by the impact of foreign sourced income not subject to U.S. income taxes. For the nine months ended September 30, 2020, the Company’s effective income tax rate of 34.97% was primarily due to taxes provided on income attributable to noncontrolling interest, foreign sourced income not subject to U.S. income taxes, foreign taxes not creditable against U.S. income taxes, and an adjustment for the acquisition of the remaining minority membership interest in a consolidated subsidiary.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3" w:name="page14"/>
    <w:bookmarkEnd w:id="13"/>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Accumulated Other Comprehensive Income (Loss). </w:t>
      </w:r>
      <w:r>
        <w:rPr>
          <w:rFonts w:ascii="Arial" w:cs="Arial" w:eastAsia="Arial" w:hAnsi="Arial"/>
          <w:sz w:val="22"/>
          <w:szCs w:val="22"/>
          <w:color w:val="auto"/>
        </w:rPr>
        <w:t>The components of accumulated other comprehensive loss were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SEACOR Marine Holdings Inc.</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8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Stockholders’ Equity</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3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Foreign</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Derivative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96"/>
              </w:rPr>
              <w:t>Currency</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3"/>
              </w:rPr>
              <w:t>Losses 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Total Other</w:t>
            </w:r>
          </w:p>
        </w:tc>
      </w:tr>
      <w:tr>
        <w:trPr>
          <w:trHeight w:val="203"/>
        </w:trPr>
        <w:tc>
          <w:tcPr>
            <w:tcW w:w="38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Translation</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Cash Flow</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Comprehensive</w:t>
            </w:r>
          </w:p>
        </w:tc>
      </w:tr>
      <w:tr>
        <w:trPr>
          <w:trHeight w:val="213"/>
        </w:trPr>
        <w:tc>
          <w:tcPr>
            <w:tcW w:w="3880" w:type="dxa"/>
            <w:vAlign w:val="bottom"/>
            <w:tcBorders>
              <w:bottom w:val="single" w:sz="8" w:color="CFF0FC"/>
            </w:tcBorders>
          </w:tcPr>
          <w:p>
            <w:pPr>
              <w:spacing w:after="0"/>
              <w:rPr>
                <w:sz w:val="18"/>
                <w:szCs w:val="18"/>
                <w:color w:val="auto"/>
              </w:rPr>
            </w:pPr>
          </w:p>
        </w:tc>
        <w:tc>
          <w:tcPr>
            <w:tcW w:w="1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8"/>
              </w:rPr>
              <w:t>Hedges, net</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100" w:type="dxa"/>
            <w:vAlign w:val="bottom"/>
            <w:tcBorders>
              <w:bottom w:val="single" w:sz="8" w:color="CFF0FC"/>
            </w:tcBorders>
          </w:tcPr>
          <w:p>
            <w:pPr>
              <w:spacing w:after="0"/>
              <w:rPr>
                <w:sz w:val="18"/>
                <w:szCs w:val="18"/>
                <w:color w:val="auto"/>
              </w:rPr>
            </w:pPr>
          </w:p>
        </w:tc>
      </w:tr>
      <w:tr>
        <w:trPr>
          <w:trHeight w:val="212"/>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December 31, 2020</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(4,007)</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2,790</w:t>
            </w:r>
          </w:p>
        </w:tc>
        <w:tc>
          <w:tcPr>
            <w:tcW w:w="100" w:type="dxa"/>
            <w:vAlign w:val="bottom"/>
            <w:shd w:val="clear" w:color="auto" w:fill="CFF0FC"/>
          </w:tcPr>
          <w:p>
            <w:pPr>
              <w:spacing w:after="0"/>
              <w:rPr>
                <w:sz w:val="18"/>
                <w:szCs w:val="18"/>
                <w:color w:val="auto"/>
              </w:rPr>
            </w:pPr>
          </w:p>
        </w:tc>
      </w:tr>
      <w:tr>
        <w:trPr>
          <w:trHeight w:val="213"/>
        </w:trPr>
        <w:tc>
          <w:tcPr>
            <w:tcW w:w="38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comprehensive loss</w:t>
            </w:r>
          </w:p>
        </w:tc>
        <w:tc>
          <w:tcPr>
            <w:tcW w:w="1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3,818</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w:t>
            </w:r>
          </w:p>
        </w:tc>
        <w:tc>
          <w:tcPr>
            <w:tcW w:w="100" w:type="dxa"/>
            <w:vAlign w:val="bottom"/>
            <w:tcBorders>
              <w:bottom w:val="single" w:sz="8" w:color="CFF0FC"/>
            </w:tcBorders>
          </w:tcPr>
          <w:p>
            <w:pPr>
              <w:spacing w:after="0"/>
              <w:rPr>
                <w:sz w:val="18"/>
                <w:szCs w:val="18"/>
                <w:color w:val="auto"/>
              </w:rPr>
            </w:pP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Balance as of September 30, 2021</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(3,571)</w:t>
            </w: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7,044</w:t>
            </w:r>
          </w:p>
        </w:tc>
        <w:tc>
          <w:tcPr>
            <w:tcW w:w="100" w:type="dxa"/>
            <w:vAlign w:val="bottom"/>
            <w:shd w:val="clear" w:color="auto" w:fill="CFF0FC"/>
          </w:tcPr>
          <w:p>
            <w:pPr>
              <w:spacing w:after="0"/>
              <w:rPr>
                <w:sz w:val="18"/>
                <w:szCs w:val="18"/>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Earnings </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earnings/loss per share of Common Stock of the Company is computed based 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weighted average number of Common Stock and warrants to purchase Common Stock at an exercise price of $0.01 per share (“Warrants”)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Convertible Senior Notes (as defined in “Note 4. Long-Term Debt”) unless anti-dilutive.</w:t>
      </w:r>
    </w:p>
    <w:p>
      <w:pPr>
        <w:spacing w:after="0" w:line="91"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The Convertible Senior Notes are currently convertible into 2,907,500 shares of Common Stock (“Convertible Senior Note Shares”). For the three and nine months ended September 30, 2021, diluted earnings per share of Common Stock excluded 2,907,500 of the Convertible Senior Note Shares as the effect of their inclusion in the computation would be anti-dilutive.</w:t>
      </w:r>
    </w:p>
    <w:p>
      <w:pPr>
        <w:spacing w:after="0" w:line="6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For the three and nine months ended September 30, 2020, diluted earnings/loss per share of Common Stock excluded 2,907,500 of Convertible Senior Note Shares as the effect of their inclusion in the computation would be anti-dilutive. The number of Convertible Senior Note Shares excluded from the calculation of diluted earnings per share was incorrectly reported in certain prior periods as 2,183,708. This number of shares was adjusted in the period ended June 30, 2021 following revisions to the calculation.</w:t>
      </w:r>
    </w:p>
    <w:p>
      <w:pPr>
        <w:spacing w:after="0" w:line="10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In addition, for the nine months ended September 30, 2021, diluted earnings/loss per share of Common Stock included 11,459 shares of restricted stock, as their inclusion in the computation would be dilutive. For the three months ended September 30, 2021 and September 30, 2020 diluted earnings/loss per share of Common Stock excluded 1,131,599 and 469,964 shares of restricted stock, respectively, and for the nine months ended September 30, 2021 and September 30, 2020 diluted earnings/loss per share of Common Stock excluded 1,120,140 and 469,964 shares of restricted stock, respectively, as their inclusion in the computation would be anti-dilutive.</w:t>
      </w:r>
    </w:p>
    <w:p>
      <w:pPr>
        <w:spacing w:after="0" w:line="109"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the three and nine months ended September 30, 2021 and September 30, 2020 diluted earnings/loss per share of Common Stock excluded 1,061,357 and 1,120,541 shares of stock, respectively, issuable upon exercise of outstanding stock options as the effect of their inclusion in the computation would be anti-dilutive.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4" w:name="page15"/>
    <w:bookmarkEnd w:id="14"/>
    <w:p>
      <w:pPr>
        <w:ind w:left="820" w:hanging="812"/>
        <w:spacing w:after="0"/>
        <w:tabs>
          <w:tab w:leader="none" w:pos="820" w:val="left"/>
        </w:tabs>
        <w:numPr>
          <w:ilvl w:val="0"/>
          <w:numId w:val="5"/>
        </w:numPr>
        <w:rPr>
          <w:rFonts w:ascii="Arial" w:cs="Arial" w:eastAsia="Arial" w:hAnsi="Arial"/>
          <w:sz w:val="22"/>
          <w:szCs w:val="22"/>
          <w:b w:val="1"/>
          <w:bCs w:val="1"/>
          <w:color w:val="222222"/>
        </w:rPr>
      </w:pPr>
      <w:r>
        <w:rPr>
          <w:rFonts w:ascii="Arial" w:cs="Arial" w:eastAsia="Arial" w:hAnsi="Arial"/>
          <w:sz w:val="22"/>
          <w:szCs w:val="22"/>
          <w:b w:val="1"/>
          <w:bCs w:val="1"/>
          <w:color w:val="222222"/>
        </w:rPr>
        <w:t>EQUIPMENT ACQUISITIONS AND DISPOSITIONS</w:t>
      </w:r>
    </w:p>
    <w:p>
      <w:pPr>
        <w:spacing w:after="0" w:line="239" w:lineRule="exact"/>
        <w:rPr>
          <w:sz w:val="20"/>
          <w:szCs w:val="20"/>
          <w:color w:val="auto"/>
        </w:rPr>
      </w:pPr>
    </w:p>
    <w:p>
      <w:pPr>
        <w:jc w:val="both"/>
        <w:ind w:right="20" w:firstLine="749"/>
        <w:spacing w:after="0"/>
        <w:rPr>
          <w:sz w:val="20"/>
          <w:szCs w:val="20"/>
          <w:color w:val="auto"/>
        </w:rPr>
      </w:pPr>
      <w:r>
        <w:rPr>
          <w:rFonts w:ascii="Arial" w:cs="Arial" w:eastAsia="Arial" w:hAnsi="Arial"/>
          <w:sz w:val="22"/>
          <w:szCs w:val="22"/>
          <w:color w:val="222222"/>
        </w:rPr>
        <w:t xml:space="preserve">During the nine months ended </w:t>
      </w:r>
      <w:r>
        <w:rPr>
          <w:rFonts w:ascii="Arial" w:cs="Arial" w:eastAsia="Arial" w:hAnsi="Arial"/>
          <w:sz w:val="22"/>
          <w:szCs w:val="22"/>
          <w:color w:val="000000"/>
        </w:rPr>
        <w:t>September</w:t>
      </w:r>
      <w:r>
        <w:rPr>
          <w:rFonts w:ascii="Arial" w:cs="Arial" w:eastAsia="Arial" w:hAnsi="Arial"/>
          <w:sz w:val="22"/>
          <w:szCs w:val="22"/>
          <w:color w:val="222222"/>
        </w:rPr>
        <w:t xml:space="preserve"> 30, 2021, capital expenditures were </w:t>
      </w:r>
      <w:r>
        <w:rPr>
          <w:rFonts w:ascii="Arial" w:cs="Arial" w:eastAsia="Arial" w:hAnsi="Arial"/>
          <w:sz w:val="22"/>
          <w:szCs w:val="22"/>
          <w:color w:val="000000"/>
        </w:rPr>
        <w:t>$6.6</w:t>
      </w:r>
      <w:r>
        <w:rPr>
          <w:rFonts w:ascii="Arial" w:cs="Arial" w:eastAsia="Arial" w:hAnsi="Arial"/>
          <w:sz w:val="22"/>
          <w:szCs w:val="22"/>
          <w:color w:val="222222"/>
        </w:rPr>
        <w:t xml:space="preserve"> million, primarily related to the completion of a construction in progress vessel. Equipment deliveries during the nine months ended </w:t>
      </w:r>
      <w:r>
        <w:rPr>
          <w:rFonts w:ascii="Arial" w:cs="Arial" w:eastAsia="Arial" w:hAnsi="Arial"/>
          <w:sz w:val="22"/>
          <w:szCs w:val="22"/>
          <w:color w:val="000000"/>
        </w:rPr>
        <w:t>September</w:t>
      </w:r>
      <w:r>
        <w:rPr>
          <w:rFonts w:ascii="Arial" w:cs="Arial" w:eastAsia="Arial" w:hAnsi="Arial"/>
          <w:sz w:val="22"/>
          <w:szCs w:val="22"/>
          <w:color w:val="222222"/>
        </w:rPr>
        <w:t xml:space="preserve"> 30, 2021 include one PSV.</w:t>
      </w:r>
    </w:p>
    <w:p>
      <w:pPr>
        <w:spacing w:after="0" w:line="21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222222"/>
        </w:rPr>
        <w:t xml:space="preserve">During the nine months ended </w:t>
      </w:r>
      <w:r>
        <w:rPr>
          <w:rFonts w:ascii="Arial" w:cs="Arial" w:eastAsia="Arial" w:hAnsi="Arial"/>
          <w:sz w:val="22"/>
          <w:szCs w:val="22"/>
          <w:color w:val="000000"/>
        </w:rPr>
        <w:t>September</w:t>
      </w:r>
      <w:r>
        <w:rPr>
          <w:rFonts w:ascii="Arial" w:cs="Arial" w:eastAsia="Arial" w:hAnsi="Arial"/>
          <w:sz w:val="22"/>
          <w:szCs w:val="22"/>
          <w:color w:val="222222"/>
        </w:rPr>
        <w:t xml:space="preserve"> 30, 2021, the </w:t>
      </w:r>
      <w:r>
        <w:rPr>
          <w:rFonts w:ascii="Arial" w:cs="Arial" w:eastAsia="Arial" w:hAnsi="Arial"/>
          <w:sz w:val="22"/>
          <w:szCs w:val="22"/>
          <w:color w:val="000000"/>
        </w:rPr>
        <w:t>Company sold one PSV, three FSVs and set off $22.5 million of</w:t>
      </w:r>
      <w:r>
        <w:rPr>
          <w:rFonts w:ascii="Arial" w:cs="Arial" w:eastAsia="Arial" w:hAnsi="Arial"/>
          <w:sz w:val="22"/>
          <w:szCs w:val="22"/>
          <w:color w:val="222222"/>
        </w:rPr>
        <w:t xml:space="preserve"> </w:t>
      </w:r>
      <w:r>
        <w:rPr>
          <w:rFonts w:ascii="Arial" w:cs="Arial" w:eastAsia="Arial" w:hAnsi="Arial"/>
          <w:sz w:val="22"/>
          <w:szCs w:val="22"/>
          <w:color w:val="000000"/>
        </w:rPr>
        <w:t xml:space="preserve">debt under the FGUSA Credit Facility (as defined and described in Note 4 Long-Term Debt) with hull and machinery insurance proceeds for the liftboat SEACOR Power of $25.0 million, </w:t>
      </w:r>
      <w:r>
        <w:rPr>
          <w:rFonts w:ascii="Arial" w:cs="Arial" w:eastAsia="Arial" w:hAnsi="Arial"/>
          <w:sz w:val="22"/>
          <w:szCs w:val="22"/>
          <w:color w:val="222222"/>
        </w:rPr>
        <w:t>for a total of $30.1 million in consideration and gains of</w:t>
      </w:r>
      <w:r>
        <w:rPr>
          <w:rFonts w:ascii="Arial" w:cs="Arial" w:eastAsia="Arial" w:hAnsi="Arial"/>
          <w:sz w:val="22"/>
          <w:szCs w:val="22"/>
          <w:color w:val="000000"/>
        </w:rPr>
        <w:t xml:space="preserve"> </w:t>
      </w:r>
      <w:r>
        <w:rPr>
          <w:rFonts w:ascii="Arial" w:cs="Arial" w:eastAsia="Arial" w:hAnsi="Arial"/>
          <w:sz w:val="22"/>
          <w:szCs w:val="22"/>
          <w:color w:val="222222"/>
        </w:rPr>
        <w:t xml:space="preserve">$20.9 million. </w:t>
      </w:r>
      <w:r>
        <w:rPr>
          <w:rFonts w:ascii="Arial" w:cs="Arial" w:eastAsia="Arial" w:hAnsi="Arial"/>
          <w:sz w:val="22"/>
          <w:szCs w:val="22"/>
          <w:color w:val="000000"/>
        </w:rPr>
        <w:t>During the nine months ended September 30, 2020, the Company sold two anchor handling towing supply</w:t>
      </w:r>
      <w:r>
        <w:rPr>
          <w:rFonts w:ascii="Arial" w:cs="Arial" w:eastAsia="Arial" w:hAnsi="Arial"/>
          <w:sz w:val="22"/>
          <w:szCs w:val="22"/>
          <w:color w:val="222222"/>
        </w:rPr>
        <w:t xml:space="preserve"> </w:t>
      </w:r>
      <w:r>
        <w:rPr>
          <w:rFonts w:ascii="Arial" w:cs="Arial" w:eastAsia="Arial" w:hAnsi="Arial"/>
          <w:sz w:val="22"/>
          <w:szCs w:val="22"/>
          <w:color w:val="000000"/>
        </w:rPr>
        <w:t>(“AHTS”) vessels and one specialty vessel previously removed from service, four FSVs, one specialty vessel, one vessel under construction and other equipment for $21.6 million in consideration ($20.7 million cash and $0.9 million in previously received deposits) and gains of $1.2 million.</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9"/>
          <w:szCs w:val="19"/>
          <w:color w:val="222222"/>
        </w:rPr>
        <w:t>As of January 12, 2021, the Company recognized a gain on the sale of Windcat Workboats Holdings Ltd. (“Windcat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222222"/>
        </w:rPr>
        <w:t>Workboats”) of approximately $22.8 million, calculated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January 12, 2021</w:t>
            </w:r>
          </w:p>
        </w:tc>
        <w:tc>
          <w:tcPr>
            <w:tcW w:w="100" w:type="dxa"/>
            <w:vAlign w:val="bottom"/>
          </w:tcPr>
          <w:p>
            <w:pPr>
              <w:spacing w:after="0"/>
              <w:rPr>
                <w:sz w:val="18"/>
                <w:szCs w:val="18"/>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Total Proceeds Received</w:t>
            </w:r>
          </w:p>
        </w:tc>
        <w:tc>
          <w:tcPr>
            <w:tcW w:w="2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43,797</w:t>
            </w:r>
          </w:p>
        </w:tc>
        <w:tc>
          <w:tcPr>
            <w:tcW w:w="10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Transactions Fees and other Costs</w:t>
            </w:r>
          </w:p>
        </w:tc>
        <w:tc>
          <w:tcPr>
            <w:tcW w:w="2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Sold</w:t>
            </w:r>
          </w:p>
        </w:tc>
        <w:tc>
          <w:tcPr>
            <w:tcW w:w="27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FF0FC"/>
            </w:tcBorders>
          </w:tcPr>
          <w:p>
            <w:pPr>
              <w:spacing w:after="0"/>
              <w:rPr>
                <w:sz w:val="18"/>
                <w:szCs w:val="18"/>
                <w:color w:val="auto"/>
              </w:rPr>
            </w:pPr>
          </w:p>
        </w:tc>
      </w:tr>
      <w:tr>
        <w:trPr>
          <w:trHeight w:val="212"/>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Net Proceeds</w:t>
            </w:r>
          </w:p>
        </w:tc>
        <w:tc>
          <w:tcPr>
            <w:tcW w:w="27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38,715</w:t>
            </w:r>
          </w:p>
        </w:tc>
        <w:tc>
          <w:tcPr>
            <w:tcW w:w="100" w:type="dxa"/>
            <w:vAlign w:val="bottom"/>
            <w:shd w:val="clear" w:color="auto" w:fill="CFF0FC"/>
          </w:tcPr>
          <w:p>
            <w:pPr>
              <w:spacing w:after="0"/>
              <w:rPr>
                <w:sz w:val="18"/>
                <w:szCs w:val="18"/>
                <w:color w:val="auto"/>
              </w:rPr>
            </w:pPr>
          </w:p>
        </w:tc>
      </w:tr>
      <w:tr>
        <w:trPr>
          <w:trHeight w:val="207"/>
        </w:trPr>
        <w:tc>
          <w:tcPr>
            <w:tcW w:w="6640" w:type="dxa"/>
            <w:vAlign w:val="bottom"/>
          </w:tcPr>
          <w:p>
            <w:pPr>
              <w:ind w:left="260"/>
              <w:spacing w:after="0"/>
              <w:rPr>
                <w:sz w:val="20"/>
                <w:szCs w:val="20"/>
                <w:color w:val="auto"/>
              </w:rPr>
            </w:pPr>
            <w:r>
              <w:rPr>
                <w:rFonts w:ascii="Arial" w:cs="Arial" w:eastAsia="Arial" w:hAnsi="Arial"/>
                <w:sz w:val="16"/>
                <w:szCs w:val="16"/>
                <w:color w:val="auto"/>
              </w:rPr>
              <w:t>Less: Net Equity in Windcat Workboats, net of cash sold</w:t>
            </w: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15,790</w:t>
            </w:r>
          </w:p>
        </w:tc>
        <w:tc>
          <w:tcPr>
            <w:tcW w:w="100" w:type="dxa"/>
            <w:vAlign w:val="bottom"/>
          </w:tcPr>
          <w:p>
            <w:pPr>
              <w:spacing w:after="0"/>
              <w:rPr>
                <w:sz w:val="17"/>
                <w:szCs w:val="17"/>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Less: January Income on Discontinued Operations</w:t>
            </w:r>
          </w:p>
        </w:tc>
        <w:tc>
          <w:tcPr>
            <w:tcW w:w="27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19"/>
                <w:szCs w:val="19"/>
                <w:color w:val="auto"/>
              </w:rPr>
            </w:pPr>
          </w:p>
        </w:tc>
      </w:tr>
      <w:tr>
        <w:trPr>
          <w:trHeight w:val="207"/>
        </w:trPr>
        <w:tc>
          <w:tcPr>
            <w:tcW w:w="6640" w:type="dxa"/>
            <w:vAlign w:val="bottom"/>
          </w:tcPr>
          <w:p>
            <w:pPr>
              <w:ind w:left="260"/>
              <w:spacing w:after="0"/>
              <w:rPr>
                <w:sz w:val="20"/>
                <w:szCs w:val="20"/>
                <w:color w:val="auto"/>
              </w:rPr>
            </w:pPr>
            <w:r>
              <w:rPr>
                <w:rFonts w:ascii="Arial" w:cs="Arial" w:eastAsia="Arial" w:hAnsi="Arial"/>
                <w:sz w:val="16"/>
                <w:szCs w:val="16"/>
                <w:b w:val="1"/>
                <w:bCs w:val="1"/>
                <w:color w:val="auto"/>
              </w:rPr>
              <w:t>Gain on Sale of Windcat Workboats</w:t>
            </w:r>
          </w:p>
        </w:tc>
        <w:tc>
          <w:tcPr>
            <w:tcW w:w="2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22,756</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color w:val="222222"/>
        </w:rPr>
        <w:t>See “Note 12. Discontinued Operations” for additional information on the sale of Windcat Workboats.</w:t>
      </w:r>
    </w:p>
    <w:p>
      <w:pPr>
        <w:spacing w:after="0" w:line="227" w:lineRule="exact"/>
        <w:rPr>
          <w:sz w:val="20"/>
          <w:szCs w:val="20"/>
          <w:color w:val="auto"/>
        </w:rPr>
      </w:pPr>
    </w:p>
    <w:p>
      <w:pPr>
        <w:ind w:left="820" w:hanging="812"/>
        <w:spacing w:after="0"/>
        <w:tabs>
          <w:tab w:leader="none" w:pos="8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INVESTMENTS, AT EQUITY AND ADVANCES TO 50% OR LESS OWNED </w:t>
      </w:r>
      <w:r>
        <w:rPr>
          <w:rFonts w:ascii="Arial" w:cs="Arial" w:eastAsia="Arial" w:hAnsi="Arial"/>
          <w:sz w:val="22"/>
          <w:szCs w:val="22"/>
          <w:b w:val="1"/>
          <w:bCs w:val="1"/>
          <w:color w:val="222222"/>
        </w:rPr>
        <w:t>COMPANIES</w:t>
      </w:r>
    </w:p>
    <w:p>
      <w:pPr>
        <w:spacing w:after="0" w:line="14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Investments, at equity, and advances to 50% or less owned companies as of September 30, 2021 and December 31, 2020 were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8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Ownership</w:t>
            </w:r>
          </w:p>
        </w:tc>
        <w:tc>
          <w:tcPr>
            <w:tcW w:w="340" w:type="dxa"/>
            <w:vAlign w:val="bottom"/>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MexMar</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1240" w:type="dxa"/>
            <w:vAlign w:val="bottom"/>
          </w:tcPr>
          <w:p>
            <w:pPr>
              <w:jc w:val="right"/>
              <w:ind w:right="107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57,506</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50,037</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OSV Partners</w:t>
            </w:r>
            <w:r>
              <w:rPr>
                <w:rFonts w:ascii="Arial" w:cs="Arial" w:eastAsia="Arial" w:hAnsi="Arial"/>
                <w:sz w:val="15"/>
                <w:szCs w:val="15"/>
                <w:color w:val="auto"/>
              </w:rPr>
              <w:t>(1)</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30.4%</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SEACOR Marlin</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7,844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MEXMAR Offshore</w:t>
            </w:r>
            <w:r>
              <w:rPr>
                <w:rFonts w:ascii="Arial" w:cs="Arial" w:eastAsia="Arial" w:hAnsi="Arial"/>
                <w:sz w:val="15"/>
                <w:szCs w:val="15"/>
                <w:color w:val="auto"/>
              </w:rPr>
              <w:t>(2)</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49.0%</w:t>
            </w:r>
          </w:p>
        </w:tc>
        <w:tc>
          <w:tcPr>
            <w:tcW w:w="1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Offshore Vessel Holdings</w:t>
            </w:r>
          </w:p>
        </w:tc>
        <w:tc>
          <w:tcPr>
            <w:tcW w:w="2180" w:type="dxa"/>
            <w:vAlign w:val="bottom"/>
            <w:gridSpan w:val="2"/>
          </w:tcPr>
          <w:p>
            <w:pPr>
              <w:jc w:val="right"/>
              <w:ind w:right="180"/>
              <w:spacing w:after="0"/>
              <w:rPr>
                <w:sz w:val="20"/>
                <w:szCs w:val="20"/>
                <w:color w:val="auto"/>
              </w:rPr>
            </w:pPr>
            <w:r>
              <w:rPr>
                <w:rFonts w:ascii="Arial" w:cs="Arial" w:eastAsia="Arial" w:hAnsi="Arial"/>
                <w:sz w:val="18"/>
                <w:szCs w:val="18"/>
                <w:color w:val="auto"/>
              </w:rPr>
              <w:t>49.0%</w:t>
            </w:r>
          </w:p>
        </w:tc>
        <w:tc>
          <w:tcPr>
            <w:tcW w:w="1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2,203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20.0% - 50.0%</w:t>
            </w:r>
          </w:p>
        </w:tc>
        <w:tc>
          <w:tcPr>
            <w:tcW w:w="1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2,281</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FF0FC"/>
          </w:tcPr>
          <w:p>
            <w:pPr>
              <w:spacing w:after="0"/>
              <w:rPr>
                <w:sz w:val="19"/>
                <w:szCs w:val="19"/>
                <w:color w:val="auto"/>
              </w:rPr>
            </w:pPr>
          </w:p>
        </w:tc>
      </w:tr>
      <w:tr>
        <w:trPr>
          <w:trHeight w:val="224"/>
        </w:trPr>
        <w:tc>
          <w:tcPr>
            <w:tcW w:w="49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07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77,426</w:t>
            </w:r>
          </w:p>
        </w:tc>
        <w:tc>
          <w:tcPr>
            <w:tcW w:w="26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75,308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0</wp:posOffset>
            </wp:positionV>
            <wp:extent cx="25203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1"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owns 66.7% of the General Partner and 29.7% of the limited partnership interest of OSV Partners.</w:t>
      </w:r>
    </w:p>
    <w:p>
      <w:pPr>
        <w:spacing w:after="0" w:line="21" w:lineRule="exact"/>
        <w:rPr>
          <w:rFonts w:ascii="Arial" w:cs="Arial" w:eastAsia="Arial" w:hAnsi="Arial"/>
          <w:sz w:val="14"/>
          <w:szCs w:val="14"/>
          <w:color w:val="auto"/>
        </w:rPr>
      </w:pPr>
    </w:p>
    <w:p>
      <w:pPr>
        <w:jc w:val="both"/>
        <w:ind w:left="760" w:hanging="752"/>
        <w:spacing w:after="0" w:line="208" w:lineRule="auto"/>
        <w:tabs>
          <w:tab w:leader="none" w:pos="760" w:val="left"/>
        </w:tabs>
        <w:numPr>
          <w:ilvl w:val="0"/>
          <w:numId w:val="7"/>
        </w:numPr>
        <w:rPr>
          <w:rFonts w:ascii="Arial" w:cs="Arial" w:eastAsia="Arial" w:hAnsi="Arial"/>
          <w:sz w:val="28"/>
          <w:szCs w:val="28"/>
          <w:color w:val="auto"/>
          <w:vertAlign w:val="superscript"/>
        </w:rPr>
      </w:pPr>
      <w:r>
        <w:rPr>
          <w:rFonts w:ascii="Arial" w:cs="Arial" w:eastAsia="Arial" w:hAnsi="Arial"/>
          <w:sz w:val="14"/>
          <w:szCs w:val="14"/>
          <w:color w:val="auto"/>
        </w:rPr>
        <w:t xml:space="preserve">This joint venture holds the investment in UP Offshore. </w:t>
      </w:r>
      <w:r>
        <w:rPr>
          <w:rFonts w:ascii="Arial" w:cs="Arial" w:eastAsia="Arial" w:hAnsi="Arial"/>
          <w:sz w:val="16"/>
          <w:szCs w:val="16"/>
          <w:color w:val="auto"/>
        </w:rPr>
        <w:t>The Company received a cash distribution in excess of its investment in MEXMAR Offshore during the third</w:t>
      </w:r>
      <w:r>
        <w:rPr>
          <w:rFonts w:ascii="Arial" w:cs="Arial" w:eastAsia="Arial" w:hAnsi="Arial"/>
          <w:sz w:val="14"/>
          <w:szCs w:val="14"/>
          <w:color w:val="auto"/>
        </w:rPr>
        <w:t xml:space="preserve"> </w:t>
      </w:r>
      <w:r>
        <w:rPr>
          <w:rFonts w:ascii="Arial" w:cs="Arial" w:eastAsia="Arial" w:hAnsi="Arial"/>
          <w:sz w:val="16"/>
          <w:szCs w:val="16"/>
          <w:color w:val="auto"/>
        </w:rPr>
        <w:t>quarter of 2021. The distribution exceeded the investment value by $9.4 million and this amount was recognized as gain from return of investments in 50% or less owned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-491490</wp:posOffset>
            </wp:positionV>
            <wp:extent cx="25203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5" w:name="page16"/>
    <w:bookmarkEnd w:id="15"/>
    <w:p>
      <w:pPr>
        <w:ind w:left="760" w:hanging="752"/>
        <w:spacing w:after="0"/>
        <w:tabs>
          <w:tab w:leader="none" w:pos="7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2"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The Company’s long-term debt obligations as of September 30, 2021 and December 31, 2020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89"/>
              </w:rPr>
              <w:t>September 30, 2021</w:t>
            </w: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 2020</w:t>
            </w:r>
          </w:p>
        </w:tc>
      </w:tr>
      <w:tr>
        <w:trPr>
          <w:trHeight w:val="215"/>
        </w:trPr>
        <w:tc>
          <w:tcPr>
            <w:tcW w:w="7720" w:type="dxa"/>
            <w:vAlign w:val="bottom"/>
          </w:tcPr>
          <w:p>
            <w:pPr>
              <w:spacing w:after="0" w:line="216" w:lineRule="exact"/>
              <w:rPr>
                <w:sz w:val="20"/>
                <w:szCs w:val="20"/>
                <w:color w:val="auto"/>
              </w:rPr>
            </w:pPr>
            <w:r>
              <w:rPr>
                <w:rFonts w:ascii="Arial" w:cs="Arial" w:eastAsia="Arial" w:hAnsi="Arial"/>
                <w:sz w:val="15"/>
                <w:szCs w:val="15"/>
                <w:i w:val="1"/>
                <w:iCs w:val="1"/>
                <w:color w:val="auto"/>
              </w:rPr>
              <w:t>Recourse Long-term debt</w:t>
            </w:r>
            <w:r>
              <w:rPr>
                <w:rFonts w:ascii="Arial" w:cs="Arial" w:eastAsia="Arial" w:hAnsi="Arial"/>
                <w:sz w:val="24"/>
                <w:szCs w:val="24"/>
                <w:i w:val="1"/>
                <w:iCs w:val="1"/>
                <w:color w:val="auto"/>
                <w:vertAlign w:val="superscript"/>
              </w:rPr>
              <w:t>(1)</w:t>
            </w:r>
            <w:r>
              <w:rPr>
                <w:rFonts w:ascii="Arial" w:cs="Arial" w:eastAsia="Arial" w:hAnsi="Arial"/>
                <w:sz w:val="15"/>
                <w:szCs w:val="15"/>
                <w:i w:val="1"/>
                <w:iCs w:val="1"/>
                <w:color w:val="auto"/>
              </w:rPr>
              <w:t>:</w:t>
            </w: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Senior Notes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Marine Foreign Holdings Credit Facility</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89,720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100,750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Sea-Cat Crewzer III Term Loan Facility</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19,178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21,653</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Offshore Delta (f/k/a SEACOSCO) Acquisition Debt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18,705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19,705</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Delta (f/k/a SEACOSCO) Shipyard Financing</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88,649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95,317</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Alpine Shipyard Financing</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30,132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31,103</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88/888 Term Loan</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FF0FC"/>
          </w:tcPr>
          <w:p>
            <w:pPr>
              <w:spacing w:after="0"/>
              <w:rPr>
                <w:sz w:val="19"/>
                <w:szCs w:val="19"/>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6"/>
                <w:szCs w:val="16"/>
                <w:color w:val="auto"/>
              </w:rPr>
              <w:t>Tarahumara Shipyard Financing</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recourse Long-term debt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383,384</w:t>
            </w: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399,028</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line="210" w:lineRule="exact"/>
              <w:rPr>
                <w:sz w:val="20"/>
                <w:szCs w:val="20"/>
                <w:color w:val="auto"/>
              </w:rPr>
            </w:pPr>
            <w:r>
              <w:rPr>
                <w:rFonts w:ascii="Arial" w:cs="Arial" w:eastAsia="Arial" w:hAnsi="Arial"/>
                <w:sz w:val="15"/>
                <w:szCs w:val="15"/>
                <w:i w:val="1"/>
                <w:iCs w:val="1"/>
                <w:color w:val="auto"/>
              </w:rPr>
              <w:t>Non-recourse Long-term debt</w:t>
            </w:r>
            <w:r>
              <w:rPr>
                <w:rFonts w:ascii="Arial" w:cs="Arial" w:eastAsia="Arial" w:hAnsi="Arial"/>
                <w:sz w:val="24"/>
                <w:szCs w:val="24"/>
                <w:i w:val="1"/>
                <w:iCs w:val="1"/>
                <w:color w:val="auto"/>
                <w:vertAlign w:val="superscript"/>
              </w:rPr>
              <w:t>(2)</w:t>
            </w:r>
            <w:r>
              <w:rPr>
                <w:rFonts w:ascii="Arial" w:cs="Arial" w:eastAsia="Arial" w:hAnsi="Arial"/>
                <w:sz w:val="15"/>
                <w:szCs w:val="15"/>
                <w:i w:val="1"/>
                <w:iCs w:val="1"/>
                <w:color w:val="auto"/>
              </w:rPr>
              <w:t>:</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Falcon Global USA Term Loan Facility</w:t>
            </w:r>
          </w:p>
        </w:tc>
        <w:tc>
          <w:tcPr>
            <w:tcW w:w="10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102,349</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6"/>
                <w:szCs w:val="16"/>
                <w:color w:val="auto"/>
              </w:rPr>
              <w:t>Falcon Global USA Revolver</w:t>
            </w:r>
          </w:p>
        </w:tc>
        <w:tc>
          <w:tcPr>
            <w:tcW w:w="10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88/888 Term Loan</w:t>
            </w: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FF0FC"/>
          </w:tcPr>
          <w:p>
            <w:pPr>
              <w:spacing w:after="0"/>
              <w:rPr>
                <w:sz w:val="18"/>
                <w:szCs w:val="18"/>
                <w:color w:val="auto"/>
              </w:rPr>
            </w:pPr>
          </w:p>
        </w:tc>
      </w:tr>
      <w:tr>
        <w:trPr>
          <w:trHeight w:val="20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non-recourse Long-term debt</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122,849</w:t>
            </w:r>
          </w:p>
        </w:tc>
        <w:tc>
          <w:tcPr>
            <w:tcW w:w="120" w:type="dxa"/>
            <w:vAlign w:val="bottom"/>
            <w:tcBorders>
              <w:bottom w:val="single" w:sz="8" w:color="CFF0FC"/>
            </w:tcBorders>
          </w:tcPr>
          <w:p>
            <w:pPr>
              <w:spacing w:after="0"/>
              <w:rPr>
                <w:sz w:val="17"/>
                <w:szCs w:val="17"/>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principal due for long-term debt</w:t>
            </w: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388,884</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521,877</w:t>
            </w:r>
          </w:p>
        </w:tc>
        <w:tc>
          <w:tcPr>
            <w:tcW w:w="120" w:type="dxa"/>
            <w:vAlign w:val="bottom"/>
            <w:shd w:val="clear" w:color="auto" w:fill="CFF0FC"/>
          </w:tcPr>
          <w:p>
            <w:pPr>
              <w:spacing w:after="0"/>
              <w:rPr>
                <w:sz w:val="18"/>
                <w:szCs w:val="18"/>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Current portion due within one year</w:t>
            </w:r>
          </w:p>
        </w:tc>
        <w:tc>
          <w:tcPr>
            <w:tcW w:w="100" w:type="dxa"/>
            <w:vAlign w:val="bottom"/>
          </w:tcPr>
          <w:p>
            <w:pPr>
              <w:spacing w:after="0"/>
              <w:rPr>
                <w:sz w:val="17"/>
                <w:szCs w:val="17"/>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(28,875)</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(32,377)</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Unamortized debt discount</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(35,012)</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(44,864)</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10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(3,356)</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(4,126)</w:t>
            </w:r>
          </w:p>
        </w:tc>
      </w:tr>
      <w:tr>
        <w:trPr>
          <w:trHeight w:val="210"/>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debt, less current portion</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321,641</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440,510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line="266"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Recourse debt represents debt issued by SEACOR Marine and/or its subsidiaries and guaranteed by SEACOR Marine or one of its operating subsidiaries as provided in the relevant debt agreements.</w:t>
      </w:r>
    </w:p>
    <w:p>
      <w:pPr>
        <w:spacing w:after="0" w:line="1" w:lineRule="exact"/>
        <w:rPr>
          <w:rFonts w:ascii="Arial" w:cs="Arial" w:eastAsia="Arial" w:hAnsi="Arial"/>
          <w:sz w:val="16"/>
          <w:szCs w:val="16"/>
          <w:color w:val="auto"/>
        </w:rPr>
      </w:pPr>
    </w:p>
    <w:p>
      <w:pPr>
        <w:jc w:val="both"/>
        <w:ind w:left="380" w:hanging="372"/>
        <w:spacing w:after="0" w:line="276" w:lineRule="auto"/>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Non-recourse debt represents debt issued by the Company’s Consolidated Subsidiaries with no recourse to SEACOR Marine or its other non-debtor operating subsidiaries with respect to the applicable instrument, other than certain limited support obligations as provided in the respective debt agreements, which in aggregate are not considered to be material to the Company’s business and financial condition.</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21"/>
          <w:szCs w:val="21"/>
          <w:color w:val="auto"/>
        </w:rPr>
        <w:t>As of September 30, 2021, the Company was in compliance with all debt covenants and lender requirements.</w:t>
      </w:r>
    </w:p>
    <w:p>
      <w:pPr>
        <w:spacing w:after="0" w:line="110" w:lineRule="exact"/>
        <w:rPr>
          <w:sz w:val="20"/>
          <w:szCs w:val="20"/>
          <w:color w:val="auto"/>
        </w:rPr>
      </w:pPr>
    </w:p>
    <w:p>
      <w:pPr>
        <w:jc w:val="both"/>
        <w:ind w:firstLine="1146"/>
        <w:spacing w:after="0" w:line="246" w:lineRule="auto"/>
        <w:rPr>
          <w:sz w:val="20"/>
          <w:szCs w:val="20"/>
          <w:color w:val="auto"/>
        </w:rPr>
      </w:pPr>
      <w:r>
        <w:rPr>
          <w:rFonts w:ascii="Arial" w:cs="Arial" w:eastAsia="Arial" w:hAnsi="Arial"/>
          <w:sz w:val="20"/>
          <w:szCs w:val="20"/>
          <w:b w:val="1"/>
          <w:bCs w:val="1"/>
          <w:color w:val="auto"/>
        </w:rPr>
        <w:t>Tarahumara Shipyard Financing</w:t>
      </w:r>
      <w:r>
        <w:rPr>
          <w:rFonts w:ascii="Arial" w:cs="Arial" w:eastAsia="Arial" w:hAnsi="Arial"/>
          <w:sz w:val="21"/>
          <w:szCs w:val="21"/>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1"/>
          <w:szCs w:val="21"/>
          <w:color w:val="auto"/>
        </w:rPr>
        <w:t>On July 9, 2021, SEACOR Marine LLC (“SMLLC”), an indirect subsidiary of</w:t>
      </w:r>
      <w:r>
        <w:rPr>
          <w:rFonts w:ascii="Arial" w:cs="Arial" w:eastAsia="Arial" w:hAnsi="Arial"/>
          <w:sz w:val="20"/>
          <w:szCs w:val="20"/>
          <w:b w:val="1"/>
          <w:bCs w:val="1"/>
          <w:color w:val="auto"/>
        </w:rPr>
        <w:t xml:space="preserve"> </w:t>
      </w:r>
      <w:r>
        <w:rPr>
          <w:rFonts w:ascii="Arial" w:cs="Arial" w:eastAsia="Arial" w:hAnsi="Arial"/>
          <w:sz w:val="21"/>
          <w:szCs w:val="21"/>
          <w:color w:val="auto"/>
        </w:rPr>
        <w:t>SEACOR Marine, took delivery of the vessel named SEACOR Tarahumara, a 2021 new-build 221’ PSV. Effective upon such delivery and as partial consideration for the acquisition of the vessel, SMLLC entered into a loan agreement with Master Boat Builders, Inc. with respect to a term loan in the amount $6.5 million. This term loan matures in 2025 with interest-only payments for the first year, and then the loan fully amortizes on a straight line basis over the remaining term. The term loan bears interest at a fixed rate of 6% and is secured by a first lien mortgage on the vessel. SMLLC is the sole borrower under the loan agreement (the “Tarahumara Shipyard Financing”).</w:t>
      </w:r>
    </w:p>
    <w:p>
      <w:pPr>
        <w:spacing w:after="0" w:line="76" w:lineRule="exact"/>
        <w:rPr>
          <w:sz w:val="20"/>
          <w:szCs w:val="20"/>
          <w:color w:val="auto"/>
        </w:rPr>
      </w:pPr>
    </w:p>
    <w:p>
      <w:pPr>
        <w:jc w:val="both"/>
        <w:ind w:firstLine="1146"/>
        <w:spacing w:after="0" w:line="246" w:lineRule="auto"/>
        <w:rPr>
          <w:sz w:val="20"/>
          <w:szCs w:val="20"/>
          <w:color w:val="auto"/>
        </w:rPr>
      </w:pPr>
      <w:r>
        <w:rPr>
          <w:rFonts w:ascii="Arial" w:cs="Arial" w:eastAsia="Arial" w:hAnsi="Arial"/>
          <w:sz w:val="21"/>
          <w:szCs w:val="21"/>
          <w:b w:val="1"/>
          <w:bCs w:val="1"/>
          <w:i w:val="1"/>
          <w:iCs w:val="1"/>
          <w:color w:val="auto"/>
        </w:rPr>
        <w:t xml:space="preserve">Falcon Global. </w:t>
      </w:r>
      <w:r>
        <w:rPr>
          <w:rFonts w:ascii="Arial" w:cs="Arial" w:eastAsia="Arial" w:hAnsi="Arial"/>
          <w:sz w:val="21"/>
          <w:szCs w:val="21"/>
          <w:color w:val="auto"/>
        </w:rPr>
        <w:t>On June 10, 2021, SEACOR Marine, Falcon Global USA LLC, an indirect subsidiary of SEACOR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Marine (“FGUSA”), and certain subsidiaries of FGUSA, entered into a Second Amendment and Conditional Payoff Agreement (the “Conditional Payoff Agreement”) in respect of that certain (i) term and revolving loan facility, dated as of February 8, 2018, administered by JPMorgan Chase Bank, N.A. (as amended, the “FGUSA Credit Facility”) and (ii) obligation guaranty issued by SEACOR Marine, dated February 8, 2018, pursuant to which SEACOR Marine provides a guarantee of certain limited obligations of FGUSA under the FGUSA Credit Facility (as amended, the “FGUSA Obligation Guaranty”). As of June 10, 2021, there was $117.3 million of principal outstanding under the FGUSA Credit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ind w:firstLine="1153"/>
        <w:spacing w:after="0" w:line="276" w:lineRule="auto"/>
        <w:rPr>
          <w:sz w:val="20"/>
          <w:szCs w:val="20"/>
          <w:color w:val="auto"/>
        </w:rPr>
      </w:pPr>
      <w:r>
        <w:rPr>
          <w:rFonts w:ascii="Arial" w:cs="Arial" w:eastAsia="Arial" w:hAnsi="Arial"/>
          <w:sz w:val="19"/>
          <w:szCs w:val="19"/>
          <w:color w:val="auto"/>
        </w:rPr>
        <w:t>Under the terms of the Conditional Payoff Agreement, the $117.3 million of principal outstanding under the FGUSA Credit Facility was deemed satisfied in full following the payment to the lenders of a total of $50.0 million comprised of</w:t>
      </w:r>
    </w:p>
    <w:p>
      <w:pPr>
        <w:spacing w:after="0" w:line="1" w:lineRule="exact"/>
        <w:rPr>
          <w:sz w:val="20"/>
          <w:szCs w:val="20"/>
          <w:color w:val="auto"/>
        </w:rPr>
      </w:pPr>
    </w:p>
    <w:p>
      <w:pPr>
        <w:jc w:val="both"/>
        <w:ind w:firstLine="8"/>
        <w:spacing w:after="0" w:line="243" w:lineRule="auto"/>
        <w:tabs>
          <w:tab w:leader="none" w:pos="298" w:val="left"/>
        </w:tabs>
        <w:numPr>
          <w:ilvl w:val="0"/>
          <w:numId w:val="10"/>
        </w:numPr>
        <w:rPr>
          <w:rFonts w:ascii="Arial" w:cs="Arial" w:eastAsia="Arial" w:hAnsi="Arial"/>
          <w:sz w:val="21"/>
          <w:szCs w:val="21"/>
          <w:color w:val="auto"/>
        </w:rPr>
      </w:pPr>
      <w:r>
        <w:rPr>
          <w:rFonts w:ascii="Arial" w:cs="Arial" w:eastAsia="Arial" w:hAnsi="Arial"/>
          <w:sz w:val="21"/>
          <w:szCs w:val="21"/>
          <w:color w:val="auto"/>
        </w:rPr>
        <w:t>$25.0 million paid by the Company at the signing of the Conditional Payoff Agreement, (ii) $22.5 million of hull and machinery insurance proceeds received by the lenders on June 18, 2021 in respect of the SEACOR Power incident and (iii) $2.5 million paid by the Company on June 24, 2021 (the $2.5 million was subsequently reimbursed to the Company on June 29, 2021 from hull and machinery insurance proceeds). All payments required for the extinguishment of the debt pursuant to the Conditional Payoff Agreement were completed during the second quarter of 2021. Following the final payment on June 24, 2021, the FGUSA Credit Facility terminated, and the mortgages and security arrangements were released with respect to the nine liftboats securing the obligations under the FGUSA Credit Facility.</w:t>
      </w:r>
    </w:p>
    <w:p>
      <w:pPr>
        <w:spacing w:after="0" w:line="79" w:lineRule="exact"/>
        <w:rPr>
          <w:sz w:val="20"/>
          <w:szCs w:val="20"/>
          <w:color w:val="auto"/>
        </w:rPr>
      </w:pPr>
    </w:p>
    <w:p>
      <w:pPr>
        <w:jc w:val="both"/>
        <w:ind w:right="20" w:firstLine="1146"/>
        <w:spacing w:after="0" w:line="250" w:lineRule="auto"/>
        <w:rPr>
          <w:sz w:val="20"/>
          <w:szCs w:val="20"/>
          <w:color w:val="auto"/>
        </w:rPr>
      </w:pPr>
      <w:r>
        <w:rPr>
          <w:rFonts w:ascii="Arial" w:cs="Arial" w:eastAsia="Arial" w:hAnsi="Arial"/>
          <w:sz w:val="22"/>
          <w:szCs w:val="22"/>
          <w:color w:val="auto"/>
        </w:rPr>
        <w:t>On June 24, 2021, the Company recognized a gain on transactions under the Conditional Payoff Agreement of approximately $62.0 million, calculated as follows: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19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June 24, 2021</w:t>
            </w:r>
          </w:p>
        </w:tc>
      </w:tr>
      <w:tr>
        <w:trPr>
          <w:trHeight w:val="212"/>
        </w:trPr>
        <w:tc>
          <w:tcPr>
            <w:tcW w:w="92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Falcon Global USA Term Loan Facility</w:t>
            </w: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102,349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260" w:type="dxa"/>
            <w:vAlign w:val="bottom"/>
          </w:tcPr>
          <w:p>
            <w:pPr>
              <w:ind w:left="260"/>
              <w:spacing w:after="0"/>
              <w:rPr>
                <w:sz w:val="20"/>
                <w:szCs w:val="20"/>
                <w:color w:val="auto"/>
              </w:rPr>
            </w:pPr>
            <w:r>
              <w:rPr>
                <w:rFonts w:ascii="Arial" w:cs="Arial" w:eastAsia="Arial" w:hAnsi="Arial"/>
                <w:sz w:val="16"/>
                <w:szCs w:val="16"/>
                <w:color w:val="auto"/>
              </w:rPr>
              <w:t>Falcon Global USA Revolver</w:t>
            </w:r>
          </w:p>
        </w:tc>
        <w:tc>
          <w:tcPr>
            <w:tcW w:w="1880" w:type="dxa"/>
            <w:vAlign w:val="bottom"/>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Unamortized debt discount</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(4,600)</w:t>
            </w:r>
          </w:p>
        </w:tc>
      </w:tr>
      <w:tr>
        <w:trPr>
          <w:trHeight w:val="207"/>
        </w:trPr>
        <w:tc>
          <w:tcPr>
            <w:tcW w:w="9260" w:type="dxa"/>
            <w:vAlign w:val="bottom"/>
          </w:tcPr>
          <w:p>
            <w:pPr>
              <w:ind w:left="260"/>
              <w:spacing w:after="0"/>
              <w:rPr>
                <w:sz w:val="20"/>
                <w:szCs w:val="20"/>
                <w:color w:val="auto"/>
              </w:rPr>
            </w:pPr>
            <w:r>
              <w:rPr>
                <w:rFonts w:ascii="Arial" w:cs="Arial" w:eastAsia="Arial" w:hAnsi="Arial"/>
                <w:sz w:val="16"/>
                <w:szCs w:val="16"/>
                <w:color w:val="auto"/>
              </w:rPr>
              <w:t>Current Liabilities</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112,749</w:t>
            </w:r>
          </w:p>
        </w:tc>
        <w:tc>
          <w:tcPr>
            <w:tcW w:w="100" w:type="dxa"/>
            <w:vAlign w:val="bottom"/>
          </w:tcPr>
          <w:p>
            <w:pPr>
              <w:spacing w:after="0"/>
              <w:rPr>
                <w:sz w:val="17"/>
                <w:szCs w:val="17"/>
                <w:color w:val="auto"/>
              </w:rPr>
            </w:pPr>
          </w:p>
        </w:tc>
      </w:tr>
      <w:tr>
        <w:trPr>
          <w:trHeight w:val="219"/>
        </w:trPr>
        <w:tc>
          <w:tcPr>
            <w:tcW w:w="9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 Fees</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(755)</w:t>
            </w:r>
          </w:p>
        </w:tc>
      </w:tr>
      <w:tr>
        <w:trPr>
          <w:trHeight w:val="213"/>
        </w:trPr>
        <w:tc>
          <w:tcPr>
            <w:tcW w:w="9260" w:type="dxa"/>
            <w:vAlign w:val="bottom"/>
          </w:tcPr>
          <w:p>
            <w:pPr>
              <w:ind w:left="260"/>
              <w:spacing w:after="0"/>
              <w:rPr>
                <w:sz w:val="20"/>
                <w:szCs w:val="20"/>
                <w:color w:val="auto"/>
              </w:rPr>
            </w:pPr>
            <w:r>
              <w:rPr>
                <w:rFonts w:ascii="Arial" w:cs="Arial" w:eastAsia="Arial" w:hAnsi="Arial"/>
                <w:sz w:val="16"/>
                <w:szCs w:val="16"/>
                <w:color w:val="auto"/>
              </w:rPr>
              <w:t>Cash Paid</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(27,500)</w:t>
            </w:r>
          </w:p>
        </w:tc>
      </w:tr>
      <w:tr>
        <w:trPr>
          <w:trHeight w:val="219"/>
        </w:trPr>
        <w:tc>
          <w:tcPr>
            <w:tcW w:w="92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Hull and Machinery Insurance Proceeds</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(22,500)</w:t>
            </w:r>
          </w:p>
        </w:tc>
      </w:tr>
      <w:tr>
        <w:trPr>
          <w:trHeight w:val="207"/>
        </w:trPr>
        <w:tc>
          <w:tcPr>
            <w:tcW w:w="9260" w:type="dxa"/>
            <w:vAlign w:val="bottom"/>
          </w:tcPr>
          <w:p>
            <w:pPr>
              <w:ind w:left="260"/>
              <w:spacing w:after="0"/>
              <w:rPr>
                <w:sz w:val="20"/>
                <w:szCs w:val="20"/>
                <w:color w:val="auto"/>
              </w:rPr>
            </w:pPr>
            <w:r>
              <w:rPr>
                <w:rFonts w:ascii="Arial" w:cs="Arial" w:eastAsia="Arial" w:hAnsi="Arial"/>
                <w:sz w:val="16"/>
                <w:szCs w:val="16"/>
                <w:b w:val="1"/>
                <w:bCs w:val="1"/>
                <w:color w:val="auto"/>
              </w:rPr>
              <w:t>Gain on Troubled Debt Restructuring</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61,994</w:t>
            </w:r>
          </w:p>
        </w:tc>
        <w:tc>
          <w:tcPr>
            <w:tcW w:w="100" w:type="dxa"/>
            <w:vAlign w:val="bottom"/>
          </w:tcPr>
          <w:p>
            <w:pPr>
              <w:spacing w:after="0"/>
              <w:rPr>
                <w:sz w:val="17"/>
                <w:szCs w:val="17"/>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1146"/>
        <w:spacing w:after="0"/>
        <w:rPr>
          <w:sz w:val="20"/>
          <w:szCs w:val="20"/>
          <w:color w:val="auto"/>
        </w:rPr>
      </w:pPr>
      <w:r>
        <w:rPr>
          <w:rFonts w:ascii="Arial" w:cs="Arial" w:eastAsia="Arial" w:hAnsi="Arial"/>
          <w:sz w:val="22"/>
          <w:szCs w:val="22"/>
          <w:color w:val="auto"/>
        </w:rPr>
        <w:t>As of September 30, 2021, the gain on troubled debt restructuring resulted in an increase of basic and diluted earnings per share for the nine months ended September 30, 2021 of $2.44. There was no impact to basic and diluted earnings per share for the three months ended September 30, 2021.</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Letters of Credit</w:t>
      </w:r>
      <w:r>
        <w:rPr>
          <w:rFonts w:ascii="Arial" w:cs="Arial" w:eastAsia="Arial" w:hAnsi="Arial"/>
          <w:sz w:val="22"/>
          <w:szCs w:val="22"/>
          <w:color w:val="auto"/>
        </w:rPr>
        <w:t>. As of September 30, 2021, the Company had outstanding letters of credit of $1.4 million securing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lease obligations, labor and performance guaranties.</w:t>
      </w:r>
    </w:p>
    <w:p>
      <w:pPr>
        <w:spacing w:after="0" w:line="169"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8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As of September 30, 2021, the Company leased-in two anchor handling towing supply (“AHTS”) vessels and one FSV and certain facilities and other equipment. The leases typically contain purchase and renewal options or rights of first refusal with respect to the sale or lease of the equipment. As of September 30, 2021, the remaining lease terms of the vessels have durations ranging from 2 to 3 months. The lease terms of the other equipment range in duration from 2 to 303 months.</w:t>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As of September 30, 2021, future minimum payments for leases for the remainder of 2021 and the years ended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December 31, noted below, were as follows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5"/>
              </w:rPr>
              <w:t>Operating Leases</w:t>
            </w:r>
          </w:p>
        </w:tc>
        <w:tc>
          <w:tcPr>
            <w:tcW w:w="20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Finance Leases</w:t>
            </w:r>
          </w:p>
        </w:tc>
      </w:tr>
      <w:tr>
        <w:trPr>
          <w:trHeight w:val="21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Remainder of 2021</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1,114</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583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Years subsequent to 2025</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7,263</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Interest component</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(1,994)</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r>
      <w:tr>
        <w:trPr>
          <w:trHeight w:val="213"/>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5,269</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lease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FF0FC"/>
            </w:tcBorders>
          </w:tcPr>
          <w:p>
            <w:pPr>
              <w:spacing w:after="0"/>
              <w:rPr>
                <w:sz w:val="18"/>
                <w:szCs w:val="18"/>
                <w:color w:val="auto"/>
              </w:rPr>
            </w:pPr>
          </w:p>
        </w:tc>
      </w:tr>
      <w:tr>
        <w:trPr>
          <w:trHeight w:val="210"/>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lease liabilities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ind w:right="20" w:firstLine="749"/>
        <w:spacing w:after="0" w:line="250" w:lineRule="auto"/>
        <w:rPr>
          <w:sz w:val="20"/>
          <w:szCs w:val="20"/>
          <w:color w:val="auto"/>
        </w:rPr>
      </w:pPr>
      <w:r>
        <w:rPr>
          <w:rFonts w:ascii="Arial" w:cs="Arial" w:eastAsia="Arial" w:hAnsi="Arial"/>
          <w:sz w:val="22"/>
          <w:szCs w:val="22"/>
          <w:color w:val="auto"/>
        </w:rPr>
        <w:t>For the nine months ended September 30, 2021 and September 30, 2020 the components of lease expense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100" w:type="dxa"/>
            <w:vAlign w:val="bottom"/>
            <w:gridSpan w:val="4"/>
          </w:tcPr>
          <w:p>
            <w:pPr>
              <w:jc w:val="right"/>
              <w:ind w:right="42"/>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gridSpan w:val="3"/>
          </w:tcPr>
          <w:p>
            <w:pPr>
              <w:jc w:val="right"/>
              <w:ind w:right="282"/>
              <w:spacing w:after="0"/>
              <w:rPr>
                <w:sz w:val="20"/>
                <w:szCs w:val="20"/>
                <w:color w:val="auto"/>
              </w:rPr>
            </w:pPr>
            <w:r>
              <w:rPr>
                <w:rFonts w:ascii="Arial" w:cs="Arial" w:eastAsia="Arial" w:hAnsi="Arial"/>
                <w:sz w:val="16"/>
                <w:szCs w:val="16"/>
                <w:b w:val="1"/>
                <w:bCs w:val="1"/>
                <w:color w:val="auto"/>
                <w:w w:val="89"/>
              </w:rPr>
              <w:t>September 30,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6"/>
          </w:tcPr>
          <w:p>
            <w:pPr>
              <w:ind w:left="60"/>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36"/>
        </w:trPr>
        <w:tc>
          <w:tcPr>
            <w:tcW w:w="5840" w:type="dxa"/>
            <w:vAlign w:val="bottom"/>
            <w:tcBorders>
              <w:bottom w:val="single" w:sz="8" w:color="CFF0FC"/>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CFF0FC"/>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top w:val="single" w:sz="8" w:color="auto"/>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40"/>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cost</w:t>
            </w:r>
          </w:p>
        </w:tc>
        <w:tc>
          <w:tcPr>
            <w:tcW w:w="740" w:type="dxa"/>
            <w:vAlign w:val="bottom"/>
            <w:shd w:val="clear" w:color="auto" w:fill="CFF0FC"/>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56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1,030</w:t>
            </w:r>
          </w:p>
        </w:tc>
        <w:tc>
          <w:tcPr>
            <w:tcW w:w="48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2,730</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5,305</w:t>
            </w:r>
          </w:p>
        </w:tc>
        <w:tc>
          <w:tcPr>
            <w:tcW w:w="120" w:type="dxa"/>
            <w:vAlign w:val="bottom"/>
            <w:shd w:val="clear" w:color="auto" w:fill="CFF0FC"/>
          </w:tcPr>
          <w:p>
            <w:pPr>
              <w:spacing w:after="0"/>
              <w:rPr>
                <w:sz w:val="20"/>
                <w:szCs w:val="20"/>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Finance lease cost:</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5840" w:type="dxa"/>
            <w:vAlign w:val="bottom"/>
            <w:shd w:val="clear" w:color="auto" w:fill="CFF0FC"/>
          </w:tcPr>
          <w:p>
            <w:pPr>
              <w:ind w:left="260"/>
              <w:spacing w:after="0" w:line="242" w:lineRule="exact"/>
              <w:rPr>
                <w:sz w:val="20"/>
                <w:szCs w:val="20"/>
                <w:color w:val="auto"/>
              </w:rPr>
            </w:pPr>
            <w:r>
              <w:rPr>
                <w:rFonts w:ascii="Arial" w:cs="Arial" w:eastAsia="Arial" w:hAnsi="Arial"/>
                <w:sz w:val="16"/>
                <w:szCs w:val="16"/>
                <w:color w:val="auto"/>
              </w:rPr>
              <w:t xml:space="preserve">Amortization of finance lease assets </w:t>
            </w:r>
            <w:r>
              <w:rPr>
                <w:rFonts w:ascii="Arial" w:cs="Arial" w:eastAsia="Arial" w:hAnsi="Arial"/>
                <w:sz w:val="27"/>
                <w:szCs w:val="27"/>
                <w:color w:val="auto"/>
                <w:vertAlign w:val="superscript"/>
              </w:rPr>
              <w:t>(1)</w:t>
            </w: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21"/>
                <w:szCs w:val="21"/>
                <w:color w:val="auto"/>
              </w:rPr>
            </w:pPr>
          </w:p>
        </w:tc>
      </w:tr>
      <w:tr>
        <w:trPr>
          <w:trHeight w:val="243"/>
        </w:trPr>
        <w:tc>
          <w:tcPr>
            <w:tcW w:w="5840" w:type="dxa"/>
            <w:vAlign w:val="bottom"/>
          </w:tcPr>
          <w:p>
            <w:pPr>
              <w:ind w:left="260"/>
              <w:spacing w:after="0" w:line="242" w:lineRule="exact"/>
              <w:rPr>
                <w:sz w:val="20"/>
                <w:szCs w:val="20"/>
                <w:color w:val="auto"/>
              </w:rPr>
            </w:pPr>
            <w:r>
              <w:rPr>
                <w:rFonts w:ascii="Arial" w:cs="Arial" w:eastAsia="Arial" w:hAnsi="Arial"/>
                <w:sz w:val="16"/>
                <w:szCs w:val="16"/>
                <w:color w:val="auto"/>
              </w:rPr>
              <w:t xml:space="preserve">Interest on finance lease liabilities </w:t>
            </w:r>
            <w:r>
              <w:rPr>
                <w:rFonts w:ascii="Arial" w:cs="Arial" w:eastAsia="Arial" w:hAnsi="Arial"/>
                <w:sz w:val="27"/>
                <w:szCs w:val="27"/>
                <w:color w:val="auto"/>
                <w:vertAlign w:val="superscript"/>
              </w:rPr>
              <w:t>(2)</w:t>
            </w: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40"/>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Short-term lease costs</w:t>
            </w:r>
          </w:p>
        </w:tc>
        <w:tc>
          <w:tcPr>
            <w:tcW w:w="7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40" w:type="dxa"/>
            <w:vAlign w:val="bottom"/>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691</w:t>
            </w:r>
          </w:p>
        </w:tc>
        <w:tc>
          <w:tcPr>
            <w:tcW w:w="2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120" w:type="dxa"/>
            <w:vAlign w:val="bottom"/>
            <w:shd w:val="clear" w:color="auto" w:fill="CFF0FC"/>
          </w:tcPr>
          <w:p>
            <w:pPr>
              <w:spacing w:after="0"/>
              <w:rPr>
                <w:sz w:val="20"/>
                <w:szCs w:val="20"/>
                <w:color w:val="auto"/>
              </w:rPr>
            </w:pPr>
          </w:p>
        </w:tc>
      </w:tr>
      <w:tr>
        <w:trPr>
          <w:trHeight w:val="236"/>
        </w:trPr>
        <w:tc>
          <w:tcPr>
            <w:tcW w:w="5840" w:type="dxa"/>
            <w:vAlign w:val="bottom"/>
          </w:tcPr>
          <w:p>
            <w:pPr>
              <w:spacing w:after="0"/>
              <w:rPr>
                <w:sz w:val="20"/>
                <w:szCs w:val="20"/>
                <w:color w:val="auto"/>
              </w:rPr>
            </w:pP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1,119</w:t>
            </w:r>
          </w:p>
        </w:tc>
        <w:tc>
          <w:tcPr>
            <w:tcW w:w="240" w:type="dxa"/>
            <w:vAlign w:val="bottom"/>
          </w:tcPr>
          <w:p>
            <w:pPr>
              <w:spacing w:after="0"/>
              <w:rPr>
                <w:sz w:val="20"/>
                <w:szCs w:val="20"/>
                <w:color w:val="auto"/>
              </w:rPr>
            </w:pPr>
          </w:p>
        </w:tc>
        <w:tc>
          <w:tcPr>
            <w:tcW w:w="720" w:type="dxa"/>
            <w:vAlign w:val="bottom"/>
          </w:tcPr>
          <w:p>
            <w:pPr>
              <w:jc w:val="right"/>
              <w:ind w:right="562"/>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1,203</w:t>
            </w:r>
          </w:p>
        </w:tc>
        <w:tc>
          <w:tcPr>
            <w:tcW w:w="4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3,442</w:t>
            </w:r>
          </w:p>
        </w:tc>
        <w:tc>
          <w:tcPr>
            <w:tcW w:w="26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5,730</w:t>
            </w:r>
          </w:p>
        </w:tc>
        <w:tc>
          <w:tcPr>
            <w:tcW w:w="12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ind w:left="840" w:hanging="832"/>
        <w:spacing w:after="0"/>
        <w:tabs>
          <w:tab w:leader="none" w:pos="840" w:val="left"/>
        </w:tabs>
        <w:numPr>
          <w:ilvl w:val="0"/>
          <w:numId w:val="12"/>
        </w:numPr>
        <w:rPr>
          <w:rFonts w:ascii="Arial" w:cs="Arial" w:eastAsia="Arial" w:hAnsi="Arial"/>
          <w:sz w:val="15"/>
          <w:szCs w:val="15"/>
          <w:color w:val="auto"/>
        </w:rPr>
      </w:pPr>
      <w:r>
        <w:rPr>
          <w:rFonts w:ascii="Arial" w:cs="Arial" w:eastAsia="Arial" w:hAnsi="Arial"/>
          <w:sz w:val="14"/>
          <w:szCs w:val="14"/>
          <w:color w:val="auto"/>
        </w:rPr>
        <w:t>Included in amortization costs in the consolidated statements of Income (Loss)</w:t>
      </w:r>
      <w:r>
        <w:rPr>
          <w:rFonts w:ascii="Arial" w:cs="Arial" w:eastAsia="Arial" w:hAnsi="Arial"/>
          <w:sz w:val="17"/>
          <w:szCs w:val="17"/>
          <w:color w:val="auto"/>
        </w:rPr>
        <w:t>.</w:t>
      </w:r>
    </w:p>
    <w:p>
      <w:pPr>
        <w:spacing w:after="0" w:line="34" w:lineRule="exact"/>
        <w:rPr>
          <w:rFonts w:ascii="Arial" w:cs="Arial" w:eastAsia="Arial" w:hAnsi="Arial"/>
          <w:sz w:val="15"/>
          <w:szCs w:val="15"/>
          <w:color w:val="auto"/>
        </w:rPr>
      </w:pPr>
    </w:p>
    <w:p>
      <w:pPr>
        <w:ind w:left="840" w:hanging="832"/>
        <w:spacing w:after="0"/>
        <w:tabs>
          <w:tab w:leader="none" w:pos="840" w:val="left"/>
        </w:tabs>
        <w:numPr>
          <w:ilvl w:val="0"/>
          <w:numId w:val="12"/>
        </w:numPr>
        <w:rPr>
          <w:rFonts w:ascii="Arial" w:cs="Arial" w:eastAsia="Arial" w:hAnsi="Arial"/>
          <w:sz w:val="15"/>
          <w:szCs w:val="15"/>
          <w:color w:val="auto"/>
        </w:rPr>
      </w:pPr>
      <w:r>
        <w:rPr>
          <w:rFonts w:ascii="Arial" w:cs="Arial" w:eastAsia="Arial" w:hAnsi="Arial"/>
          <w:sz w:val="14"/>
          <w:szCs w:val="14"/>
          <w:color w:val="auto"/>
        </w:rPr>
        <w:t>Included in interest expense in the consolidated statements of Income (Loss)</w:t>
      </w:r>
      <w:r>
        <w:rPr>
          <w:rFonts w:ascii="Arial" w:cs="Arial" w:eastAsia="Arial" w:hAnsi="Arial"/>
          <w:sz w:val="17"/>
          <w:szCs w:val="17"/>
          <w:color w:val="auto"/>
        </w:rPr>
        <w:t>.</w:t>
      </w:r>
    </w:p>
    <w:p>
      <w:pPr>
        <w:spacing w:after="0" w:line="21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For the nine months ended September 30, 2021, supplemental cash flow information related to leases was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3"/>
        </w:trPr>
        <w:tc>
          <w:tcPr>
            <w:tcW w:w="9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Operating cash outflows from operating leases</w:t>
            </w: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(6,365)</w:t>
            </w:r>
          </w:p>
        </w:tc>
      </w:tr>
      <w:tr>
        <w:trPr>
          <w:trHeight w:val="213"/>
        </w:trPr>
        <w:tc>
          <w:tcPr>
            <w:tcW w:w="9660" w:type="dxa"/>
            <w:vAlign w:val="bottom"/>
            <w:gridSpan w:val="2"/>
          </w:tcPr>
          <w:p>
            <w:pPr>
              <w:spacing w:after="0"/>
              <w:rPr>
                <w:sz w:val="20"/>
                <w:szCs w:val="20"/>
                <w:color w:val="auto"/>
              </w:rPr>
            </w:pPr>
            <w:r>
              <w:rPr>
                <w:rFonts w:ascii="Arial" w:cs="Arial" w:eastAsia="Arial" w:hAnsi="Arial"/>
                <w:sz w:val="16"/>
                <w:szCs w:val="16"/>
                <w:color w:val="auto"/>
              </w:rPr>
              <w:t>Financing cash outflows from finance leases</w:t>
            </w: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r>
      <w:tr>
        <w:trPr>
          <w:trHeight w:val="219"/>
        </w:trPr>
        <w:tc>
          <w:tcPr>
            <w:tcW w:w="9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FF0FC"/>
          </w:tcPr>
          <w:p>
            <w:pPr>
              <w:spacing w:after="0"/>
              <w:rPr>
                <w:sz w:val="19"/>
                <w:szCs w:val="19"/>
                <w:color w:val="auto"/>
              </w:rPr>
            </w:pPr>
          </w:p>
        </w:tc>
      </w:tr>
      <w:tr>
        <w:trPr>
          <w:trHeight w:val="210"/>
        </w:trPr>
        <w:tc>
          <w:tcPr>
            <w:tcW w:w="9660" w:type="dxa"/>
            <w:vAlign w:val="bottom"/>
            <w:gridSpan w:val="2"/>
          </w:tcPr>
          <w:p>
            <w:pPr>
              <w:spacing w:after="0"/>
              <w:rPr>
                <w:sz w:val="20"/>
                <w:szCs w:val="20"/>
                <w:color w:val="auto"/>
              </w:rPr>
            </w:pPr>
            <w:r>
              <w:rPr>
                <w:rFonts w:ascii="Arial" w:cs="Arial" w:eastAsia="Arial" w:hAnsi="Arial"/>
                <w:sz w:val="16"/>
                <w:szCs w:val="16"/>
                <w:color w:val="auto"/>
              </w:rPr>
              <w:t>Right-of-use assets obtained for finance lease liabilities</w:t>
            </w:r>
          </w:p>
        </w:tc>
        <w:tc>
          <w:tcPr>
            <w:tcW w:w="1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475"/>
        </w:trPr>
        <w:tc>
          <w:tcPr>
            <w:tcW w:w="9660" w:type="dxa"/>
            <w:vAlign w:val="bottom"/>
            <w:gridSpan w:val="2"/>
          </w:tcPr>
          <w:p>
            <w:pPr>
              <w:ind w:left="760"/>
              <w:spacing w:after="0"/>
              <w:rPr>
                <w:sz w:val="20"/>
                <w:szCs w:val="20"/>
                <w:color w:val="auto"/>
              </w:rPr>
            </w:pPr>
            <w:r>
              <w:rPr>
                <w:rFonts w:ascii="Arial" w:cs="Arial" w:eastAsia="Arial" w:hAnsi="Arial"/>
                <w:sz w:val="22"/>
                <w:szCs w:val="22"/>
                <w:color w:val="auto"/>
                <w:w w:val="91"/>
              </w:rPr>
              <w:t>For the nine months ended September 30, 2021, other information related to leases was as follows: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FF0FC"/>
            </w:tcBorders>
          </w:tcPr>
          <w:p>
            <w:pPr>
              <w:spacing w:after="0"/>
              <w:rPr>
                <w:sz w:val="18"/>
                <w:szCs w:val="18"/>
                <w:color w:val="auto"/>
              </w:rPr>
            </w:pPr>
          </w:p>
        </w:tc>
        <w:tc>
          <w:tcPr>
            <w:tcW w:w="19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2021</w:t>
            </w:r>
          </w:p>
        </w:tc>
      </w:tr>
      <w:tr>
        <w:trPr>
          <w:trHeight w:val="213"/>
        </w:trPr>
        <w:tc>
          <w:tcPr>
            <w:tcW w:w="93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 - operating leases</w:t>
            </w:r>
          </w:p>
        </w:tc>
        <w:tc>
          <w:tcPr>
            <w:tcW w:w="1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12.6</w:t>
            </w:r>
          </w:p>
        </w:tc>
      </w:tr>
      <w:tr>
        <w:trPr>
          <w:trHeight w:val="213"/>
        </w:trPr>
        <w:tc>
          <w:tcPr>
            <w:tcW w:w="9300" w:type="dxa"/>
            <w:vAlign w:val="bottom"/>
          </w:tcPr>
          <w:p>
            <w:pPr>
              <w:spacing w:after="0"/>
              <w:rPr>
                <w:sz w:val="20"/>
                <w:szCs w:val="20"/>
                <w:color w:val="auto"/>
              </w:rPr>
            </w:pPr>
            <w:r>
              <w:rPr>
                <w:rFonts w:ascii="Arial" w:cs="Arial" w:eastAsia="Arial" w:hAnsi="Arial"/>
                <w:sz w:val="16"/>
                <w:szCs w:val="16"/>
                <w:color w:val="auto"/>
              </w:rPr>
              <w:t>Weighted average remaining lease term, in years - finance leases</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3.4</w:t>
            </w:r>
          </w:p>
        </w:tc>
      </w:tr>
      <w:tr>
        <w:trPr>
          <w:trHeight w:val="219"/>
        </w:trPr>
        <w:tc>
          <w:tcPr>
            <w:tcW w:w="93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discount rate - operating leases</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r>
      <w:tr>
        <w:trPr>
          <w:trHeight w:val="210"/>
        </w:trPr>
        <w:tc>
          <w:tcPr>
            <w:tcW w:w="9300" w:type="dxa"/>
            <w:vAlign w:val="bottom"/>
          </w:tcPr>
          <w:p>
            <w:pPr>
              <w:spacing w:after="0"/>
              <w:rPr>
                <w:sz w:val="20"/>
                <w:szCs w:val="20"/>
                <w:color w:val="auto"/>
              </w:rPr>
            </w:pPr>
            <w:r>
              <w:rPr>
                <w:rFonts w:ascii="Arial" w:cs="Arial" w:eastAsia="Arial" w:hAnsi="Arial"/>
                <w:sz w:val="16"/>
                <w:szCs w:val="16"/>
                <w:color w:val="auto"/>
              </w:rPr>
              <w:t>Weighted average discount rate - finance leases</w:t>
            </w:r>
          </w:p>
        </w:tc>
        <w:tc>
          <w:tcPr>
            <w:tcW w:w="194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168" w:lineRule="exact"/>
        <w:rPr>
          <w:sz w:val="20"/>
          <w:szCs w:val="20"/>
          <w:color w:val="auto"/>
        </w:rPr>
      </w:pPr>
    </w:p>
    <w:p>
      <w:pPr>
        <w:ind w:left="760" w:hanging="752"/>
        <w:spacing w:after="0"/>
        <w:tabs>
          <w:tab w:leader="none" w:pos="76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on continuing operations for the nine months ended September 30,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21.00%</w:t>
            </w:r>
          </w:p>
        </w:tc>
      </w:tr>
      <w:tr>
        <w:trPr>
          <w:trHeight w:val="213"/>
        </w:trPr>
        <w:tc>
          <w:tcPr>
            <w:tcW w:w="9100" w:type="dxa"/>
            <w:vAlign w:val="bottom"/>
          </w:tcPr>
          <w:p>
            <w:pPr>
              <w:spacing w:after="0"/>
              <w:rPr>
                <w:sz w:val="20"/>
                <w:szCs w:val="20"/>
                <w:color w:val="auto"/>
              </w:rPr>
            </w:pPr>
            <w:r>
              <w:rPr>
                <w:rFonts w:ascii="Arial" w:cs="Arial" w:eastAsia="Arial" w:hAnsi="Arial"/>
                <w:sz w:val="16"/>
                <w:szCs w:val="16"/>
                <w:color w:val="auto"/>
              </w:rPr>
              <w:t>Foreign withholding tax</w:t>
            </w:r>
          </w:p>
        </w:tc>
        <w:tc>
          <w:tcPr>
            <w:tcW w:w="2140" w:type="dxa"/>
            <w:vAlign w:val="bottom"/>
            <w:gridSpan w:val="2"/>
          </w:tcPr>
          <w:p>
            <w:pPr>
              <w:jc w:val="right"/>
              <w:ind w:right="260"/>
              <w:spacing w:after="0"/>
              <w:rPr>
                <w:sz w:val="20"/>
                <w:szCs w:val="20"/>
                <w:color w:val="auto"/>
              </w:rPr>
            </w:pPr>
            <w:r>
              <w:rPr>
                <w:rFonts w:ascii="Arial" w:cs="Arial" w:eastAsia="Arial" w:hAnsi="Arial"/>
                <w:sz w:val="16"/>
                <w:szCs w:val="16"/>
                <w:color w:val="auto"/>
              </w:rPr>
              <w:t>8.89%</w:t>
            </w:r>
          </w:p>
        </w:tc>
      </w:tr>
      <w:tr>
        <w:trPr>
          <w:trHeight w:val="219"/>
        </w:trPr>
        <w:tc>
          <w:tcPr>
            <w:tcW w:w="9100" w:type="dxa"/>
            <w:vAlign w:val="bottom"/>
            <w:shd w:val="clear" w:color="auto" w:fill="CFF0FC"/>
          </w:tcPr>
          <w:p>
            <w:pPr>
              <w:spacing w:after="0"/>
              <w:rPr>
                <w:sz w:val="20"/>
                <w:szCs w:val="20"/>
                <w:color w:val="auto"/>
              </w:rPr>
            </w:pPr>
            <w:r>
              <w:rPr>
                <w:rFonts w:ascii="Arial" w:cs="Arial" w:eastAsia="Arial" w:hAnsi="Arial"/>
                <w:sz w:val="16"/>
                <w:szCs w:val="16"/>
                <w:color w:val="auto"/>
              </w:rPr>
              <w:t>Foreign earnings not subject to U.S. Income Tax</w:t>
            </w: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(5.47)%</w:t>
            </w:r>
          </w:p>
        </w:tc>
      </w:tr>
      <w:tr>
        <w:trPr>
          <w:trHeight w:val="213"/>
        </w:trPr>
        <w:tc>
          <w:tcPr>
            <w:tcW w:w="9100" w:type="dxa"/>
            <w:vAlign w:val="bottom"/>
          </w:tcPr>
          <w:p>
            <w:pPr>
              <w:spacing w:after="0"/>
              <w:rPr>
                <w:sz w:val="20"/>
                <w:szCs w:val="20"/>
                <w:color w:val="auto"/>
              </w:rPr>
            </w:pPr>
            <w:r>
              <w:rPr>
                <w:rFonts w:ascii="Arial" w:cs="Arial" w:eastAsia="Arial" w:hAnsi="Arial"/>
                <w:sz w:val="16"/>
                <w:szCs w:val="16"/>
                <w:color w:val="auto"/>
              </w:rPr>
              <w:t>Other</w:t>
            </w:r>
          </w:p>
        </w:tc>
        <w:tc>
          <w:tcPr>
            <w:tcW w:w="2140" w:type="dxa"/>
            <w:vAlign w:val="bottom"/>
            <w:gridSpan w:val="2"/>
          </w:tcPr>
          <w:p>
            <w:pPr>
              <w:jc w:val="right"/>
              <w:ind w:right="260"/>
              <w:spacing w:after="0"/>
              <w:rPr>
                <w:sz w:val="20"/>
                <w:szCs w:val="20"/>
                <w:color w:val="auto"/>
              </w:rPr>
            </w:pPr>
            <w:r>
              <w:rPr>
                <w:rFonts w:ascii="Arial" w:cs="Arial" w:eastAsia="Arial" w:hAnsi="Arial"/>
                <w:sz w:val="16"/>
                <w:szCs w:val="16"/>
                <w:color w:val="auto"/>
              </w:rPr>
              <w:t>0.14%</w:t>
            </w:r>
          </w:p>
        </w:tc>
      </w:tr>
      <w:tr>
        <w:trPr>
          <w:trHeight w:val="20"/>
        </w:trPr>
        <w:tc>
          <w:tcPr>
            <w:tcW w:w="910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r>
      <w:tr>
        <w:trPr>
          <w:trHeight w:val="210"/>
        </w:trPr>
        <w:tc>
          <w:tcPr>
            <w:tcW w:w="910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24.56%</w:t>
            </w:r>
          </w:p>
        </w:tc>
      </w:tr>
      <w:tr>
        <w:trPr>
          <w:trHeight w:val="20"/>
        </w:trPr>
        <w:tc>
          <w:tcPr>
            <w:tcW w:w="910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On June 26, 2020, the Company entered into a Tax Refund and Indemnification Agreement (the “Tax Refund Agreement”) with SEACOR Holdings Inc. (“SEACOR Holdings”), the Company’s former parent company. The Tax Refund Agreement enabled the Company to utilize net operating losses (“NOLs”) generated in 2018 and 2019 to claim refunds for tax years prior to the Company’s spin-off from SEACOR Holdings in 2017 (at which time the Company was included in SEACOR Holdings consolidated tax returns) that were permitted to be carried back pursuant to the provisions of the Coronavirus Aid, Relief, and Economic Security Act (“CARES Act”) and for which SEACOR Holdings needed to claim the refund on behalf of the Company. As a result, the Company received an aggregate amount of cash tax refunds of $32.3 million (including $1.1 million of interest paid by the Internal Revenue Service (“IRS”) in respect of refund payment delays), of which $12.5 million was received prior to March 31, 2021 and the remaining $19.8 million was received in April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8" w:name="page19"/>
    <w:bookmarkEnd w:id="18"/>
    <w:p>
      <w:pPr>
        <w:ind w:left="760" w:hanging="752"/>
        <w:spacing w:after="0"/>
        <w:tabs>
          <w:tab w:leader="none" w:pos="7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Derivative instruments are classified as either assets or liabilities based on their individual fair values. The fair values of the Company’s derivative instruments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320"/>
              <w:spacing w:after="0"/>
              <w:rPr>
                <w:sz w:val="20"/>
                <w:szCs w:val="20"/>
                <w:color w:val="auto"/>
              </w:rPr>
            </w:pPr>
            <w:r>
              <w:rPr>
                <w:rFonts w:ascii="Arial" w:cs="Arial" w:eastAsia="Arial" w:hAnsi="Arial"/>
                <w:sz w:val="16"/>
                <w:szCs w:val="16"/>
                <w:b w:val="1"/>
                <w:bCs w:val="1"/>
                <w:color w:val="auto"/>
              </w:rPr>
              <w:t>September 30, 2021</w:t>
            </w:r>
          </w:p>
        </w:tc>
        <w:tc>
          <w:tcPr>
            <w:tcW w:w="100" w:type="dxa"/>
            <w:vAlign w:val="bottom"/>
          </w:tcPr>
          <w:p>
            <w:pPr>
              <w:spacing w:after="0"/>
              <w:rPr>
                <w:sz w:val="18"/>
                <w:szCs w:val="18"/>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 2020</w:t>
            </w:r>
          </w:p>
        </w:tc>
      </w:tr>
      <w:tr>
        <w:trPr>
          <w:trHeight w:val="199"/>
        </w:trPr>
        <w:tc>
          <w:tcPr>
            <w:tcW w:w="6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Derivative</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Derivative</w:t>
            </w:r>
          </w:p>
        </w:tc>
        <w:tc>
          <w:tcPr>
            <w:tcW w:w="100" w:type="dxa"/>
            <w:vAlign w:val="bottom"/>
          </w:tcPr>
          <w:p>
            <w:pPr>
              <w:spacing w:after="0"/>
              <w:rPr>
                <w:sz w:val="17"/>
                <w:szCs w:val="17"/>
                <w:color w:val="auto"/>
              </w:rPr>
            </w:pPr>
          </w:p>
        </w:tc>
      </w:t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Liability</w:t>
            </w:r>
          </w:p>
        </w:tc>
        <w:tc>
          <w:tcPr>
            <w:tcW w:w="10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6"/>
                <w:szCs w:val="16"/>
                <w:b w:val="1"/>
                <w:bCs w:val="1"/>
                <w:color w:val="auto"/>
              </w:rPr>
              <w:t>Asset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Liability</w:t>
            </w:r>
          </w:p>
        </w:tc>
      </w:tr>
      <w:tr>
        <w:trPr>
          <w:trHeight w:val="21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 (cash flow hedges)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w:t>
            </w:r>
          </w:p>
        </w:tc>
        <w:tc>
          <w:tcPr>
            <w:tcW w:w="100" w:type="dxa"/>
            <w:vAlign w:val="bottom"/>
            <w:tcBorders>
              <w:bottom w:val="single" w:sz="8" w:color="CFF0FC"/>
            </w:tcBorders>
          </w:tcPr>
          <w:p>
            <w:pPr>
              <w:spacing w:after="0"/>
              <w:rPr>
                <w:sz w:val="18"/>
                <w:szCs w:val="18"/>
                <w:color w:val="auto"/>
              </w:rPr>
            </w:pPr>
          </w:p>
        </w:tc>
      </w:tr>
      <w:tr>
        <w:trPr>
          <w:trHeight w:val="213"/>
        </w:trPr>
        <w:tc>
          <w:tcPr>
            <w:tcW w:w="6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3,698</w:t>
            </w:r>
          </w:p>
        </w:tc>
        <w:tc>
          <w:tcPr>
            <w:tcW w:w="100" w:type="dxa"/>
            <w:vAlign w:val="bottom"/>
            <w:shd w:val="clear" w:color="auto" w:fill="CFF0FC"/>
          </w:tcPr>
          <w:p>
            <w:pPr>
              <w:spacing w:after="0"/>
              <w:rPr>
                <w:sz w:val="18"/>
                <w:szCs w:val="18"/>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Forward Exchange Contract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100" w:type="dxa"/>
            <w:vAlign w:val="bottom"/>
            <w:shd w:val="clear" w:color="auto" w:fill="CFF0FC"/>
          </w:tcPr>
          <w:p>
            <w:pPr>
              <w:spacing w:after="0"/>
              <w:rPr>
                <w:sz w:val="19"/>
                <w:szCs w:val="19"/>
                <w:color w:val="auto"/>
              </w:rPr>
            </w:pPr>
          </w:p>
        </w:tc>
      </w:tr>
      <w:tr>
        <w:trPr>
          <w:trHeight w:val="213"/>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tcPr>
          <w:p>
            <w:pPr>
              <w:spacing w:after="0"/>
              <w:rPr>
                <w:sz w:val="18"/>
                <w:szCs w:val="18"/>
                <w:color w:val="auto"/>
              </w:rPr>
            </w:pPr>
          </w:p>
        </w:tc>
      </w:tr>
      <w:tr>
        <w:trPr>
          <w:trHeight w:val="209"/>
        </w:trPr>
        <w:tc>
          <w:tcPr>
            <w:tcW w:w="64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w:t>
            </w:r>
          </w:p>
        </w:tc>
        <w:tc>
          <w:tcPr>
            <w:tcW w:w="100" w:type="dxa"/>
            <w:vAlign w:val="bottom"/>
            <w:shd w:val="clear" w:color="auto" w:fill="CFF0FC"/>
          </w:tcPr>
          <w:p>
            <w:pPr>
              <w:spacing w:after="0"/>
              <w:rPr>
                <w:sz w:val="18"/>
                <w:szCs w:val="18"/>
                <w:color w:val="auto"/>
              </w:rPr>
            </w:pP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Economic Hedges. </w:t>
      </w:r>
      <w:r>
        <w:rPr>
          <w:rFonts w:ascii="Arial" w:cs="Arial" w:eastAsia="Arial" w:hAnsi="Arial"/>
          <w:sz w:val="21"/>
          <w:szCs w:val="21"/>
          <w:color w:val="auto"/>
        </w:rPr>
        <w:t>The Company enters and settles forward currency exchange, option and future contracts with respect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During the nine months ended September 30, 2021, the Company recognized gains of $0.4 million on these contracts which were recognized concurrently in earnings. As of September 30, 2021, the Company no longer has open forward currency exchange contracts.</w:t>
      </w:r>
    </w:p>
    <w:p>
      <w:pPr>
        <w:spacing w:after="0" w:line="11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b w:val="1"/>
          <w:bCs w:val="1"/>
          <w:i w:val="1"/>
          <w:iCs w:val="1"/>
          <w:color w:val="auto"/>
        </w:rPr>
        <w:t xml:space="preserve">Cash Flow Hedges. </w:t>
      </w:r>
      <w:r>
        <w:rPr>
          <w:rFonts w:ascii="Arial" w:cs="Arial" w:eastAsia="Arial" w:hAnsi="Arial"/>
          <w:sz w:val="19"/>
          <w:szCs w:val="19"/>
          <w:color w:val="auto"/>
        </w:rPr>
        <w:t>The Company and certain of its 50% or less owned companies have interest rate swap agreements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designated as cash flow hedges. By entering into these interest rate swap agreements, the Company and its 50% or less owned companies have converted the variable LIBOR component of certain of their outstanding borrowings to a fixed interest rate. The Company recognized gains on derivative instruments designated as cash flow hedges as a component of other comprehensive income of $1.6 million for the nine months ended September 30, 2021, and losses of $1.1 million for the nine months ended September 30, 2020 as a component of other comprehensive loss. As of September 30, 2021, the interest rate swaps held by the Company and certain of the Company’s 50% or less owned companies were as follows</w:t>
      </w:r>
      <w:r>
        <w:rPr>
          <w:rFonts w:ascii="Arial" w:cs="Arial" w:eastAsia="Arial" w:hAnsi="Arial"/>
          <w:sz w:val="19"/>
          <w:szCs w:val="19"/>
          <w:b w:val="1"/>
          <w:bCs w:val="1"/>
          <w:i w:val="1"/>
          <w:iCs w:val="1"/>
          <w:color w:val="auto"/>
        </w:rPr>
        <w:t>:</w:t>
      </w:r>
    </w:p>
    <w:p>
      <w:pPr>
        <w:spacing w:after="0" w:line="44" w:lineRule="exact"/>
        <w:rPr>
          <w:sz w:val="20"/>
          <w:szCs w:val="20"/>
          <w:color w:val="auto"/>
        </w:rPr>
      </w:pPr>
    </w:p>
    <w:p>
      <w:pPr>
        <w:jc w:val="both"/>
        <w:ind w:left="1260" w:hanging="510"/>
        <w:spacing w:after="0" w:line="238" w:lineRule="auto"/>
        <w:tabs>
          <w:tab w:leader="none" w:pos="12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SEACOR Marine Foreign Holdings Inc., an indirect wholly-owned subsidiary of SEACOR Marine (“SMFH”) has an interest rate swap agreement maturing in 2023 that calls for SMFH to pay a fixed rate of interest of 3.32% per annum on the amortized notional value of $7.1 million and receive a variable interest rate based on LIBOR on the amortized notional value;</w:t>
      </w:r>
    </w:p>
    <w:p>
      <w:pPr>
        <w:spacing w:after="0" w:line="76" w:lineRule="exact"/>
        <w:rPr>
          <w:rFonts w:ascii="Arial" w:cs="Arial" w:eastAsia="Arial" w:hAnsi="Arial"/>
          <w:sz w:val="22"/>
          <w:szCs w:val="22"/>
          <w:color w:val="auto"/>
        </w:rPr>
      </w:pPr>
    </w:p>
    <w:p>
      <w:pPr>
        <w:jc w:val="both"/>
        <w:ind w:left="1260" w:hanging="510"/>
        <w:spacing w:after="0"/>
        <w:tabs>
          <w:tab w:leader="none" w:pos="12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SMFH has an interest rate swap agreement maturing in 2023 that calls for SMFH to pay a fixed rate of interest of 3.195% per annum on the amortized notional value of $38.9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60" w:hanging="510"/>
        <w:spacing w:after="0" w:line="252" w:lineRule="auto"/>
        <w:tabs>
          <w:tab w:leader="none" w:pos="12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SEACOR 88 LLC and SEACOR 888 LLC, both indirect wholly-owned subsidiaries of SEACOR Marine (collectively, “SEACOR 88/888”), have an interest rate swap agreement maturing in 2023 that calls for SEACOR 88/888 to pay a fixed rate of interest of 3.175% per annum on the amortized notional value of $5.5 million and receive a variable interest rate based on LIBOR on the amortized notional value; and</w:t>
      </w:r>
    </w:p>
    <w:p>
      <w:pPr>
        <w:spacing w:after="0" w:line="65" w:lineRule="exact"/>
        <w:rPr>
          <w:rFonts w:ascii="Arial" w:cs="Arial" w:eastAsia="Arial" w:hAnsi="Arial"/>
          <w:sz w:val="21"/>
          <w:szCs w:val="21"/>
          <w:color w:val="auto"/>
        </w:rPr>
      </w:pPr>
    </w:p>
    <w:p>
      <w:pPr>
        <w:jc w:val="both"/>
        <w:ind w:left="1260" w:hanging="510"/>
        <w:spacing w:after="0" w:line="287" w:lineRule="auto"/>
        <w:tabs>
          <w:tab w:leader="none" w:pos="12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Mantenimiento Express Maritimo, S.A.P.I. de C.V. (“MexMar”), in which the Company has a 49% noncontrolling interest, has five interest rate swap agreements with maturities in 2023 that call for MexMar to pay fixed rates of interest ranging from 1.71% to 2.10% per annum on the aggregate amortized notional value of $60.7 million and receive a variable interest rate based on LIBOR on the aggregate amortized notional value.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9" w:name="page20"/>
    <w:bookmarkEnd w:id="19"/>
    <w:p>
      <w:pPr>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Other Derivative Instruments. </w:t>
      </w:r>
      <w:r>
        <w:rPr>
          <w:rFonts w:ascii="Arial" w:cs="Arial" w:eastAsia="Arial" w:hAnsi="Arial"/>
          <w:sz w:val="19"/>
          <w:szCs w:val="19"/>
          <w:color w:val="auto"/>
        </w:rPr>
        <w:t>The Company recognized gains (losses) on derivative instruments not designated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hedging instruments for the nine months ended September 30, 2021 and September 30, 2020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2"/>
              </w:rPr>
              <w:t>Three Months Ended September 30,</w:t>
            </w:r>
          </w:p>
        </w:tc>
        <w:tc>
          <w:tcPr>
            <w:tcW w:w="220" w:type="dxa"/>
            <w:vAlign w:val="bottom"/>
          </w:tcPr>
          <w:p>
            <w:pPr>
              <w:spacing w:after="0"/>
              <w:rPr>
                <w:sz w:val="18"/>
                <w:szCs w:val="18"/>
                <w:color w:val="auto"/>
              </w:rPr>
            </w:pPr>
          </w:p>
        </w:tc>
        <w:tc>
          <w:tcPr>
            <w:tcW w:w="246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w w:val="91"/>
              </w:rPr>
              <w:t>Nine Months Ended September 30,</w:t>
            </w:r>
          </w:p>
        </w:tc>
        <w:tc>
          <w:tcPr>
            <w:tcW w:w="100" w:type="dxa"/>
            <w:vAlign w:val="bottom"/>
          </w:tcPr>
          <w:p>
            <w:pPr>
              <w:spacing w:after="0"/>
              <w:rPr>
                <w:sz w:val="18"/>
                <w:szCs w:val="18"/>
                <w:color w:val="auto"/>
              </w:rPr>
            </w:pPr>
          </w:p>
        </w:tc>
      </w:tr>
      <w:tr>
        <w:trPr>
          <w:trHeight w:val="236"/>
        </w:trPr>
        <w:tc>
          <w:tcPr>
            <w:tcW w:w="48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1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960" w:type="dxa"/>
            <w:vAlign w:val="bottom"/>
            <w:gridSpan w:val="2"/>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4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5,204</w:t>
            </w:r>
          </w:p>
        </w:tc>
        <w:tc>
          <w:tcPr>
            <w:tcW w:w="100" w:type="dxa"/>
            <w:vAlign w:val="bottom"/>
            <w:shd w:val="clear" w:color="auto" w:fill="CFF0FC"/>
          </w:tcPr>
          <w:p>
            <w:pPr>
              <w:spacing w:after="0"/>
              <w:rPr>
                <w:sz w:val="18"/>
                <w:szCs w:val="18"/>
                <w:color w:val="auto"/>
              </w:rPr>
            </w:pPr>
          </w:p>
        </w:tc>
      </w:tr>
      <w:tr>
        <w:trPr>
          <w:trHeight w:val="240"/>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Forward currency exchange, option, and future contracts</w:t>
            </w:r>
          </w:p>
        </w:tc>
        <w:tc>
          <w:tcPr>
            <w:tcW w:w="11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2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20"/>
                <w:szCs w:val="20"/>
                <w:color w:val="auto"/>
              </w:rPr>
            </w:pPr>
          </w:p>
        </w:tc>
      </w:tr>
      <w:tr>
        <w:trPr>
          <w:trHeight w:val="209"/>
        </w:trPr>
        <w:tc>
          <w:tcPr>
            <w:tcW w:w="48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4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5,204</w:t>
            </w:r>
          </w:p>
        </w:tc>
        <w:tc>
          <w:tcPr>
            <w:tcW w:w="100" w:type="dxa"/>
            <w:vAlign w:val="bottom"/>
            <w:shd w:val="clear" w:color="auto" w:fill="CFF0FC"/>
          </w:tcPr>
          <w:p>
            <w:pPr>
              <w:spacing w:after="0"/>
              <w:rPr>
                <w:sz w:val="18"/>
                <w:szCs w:val="18"/>
                <w:color w:val="auto"/>
              </w:rPr>
            </w:pPr>
          </w:p>
        </w:tc>
      </w:tr>
      <w:tr>
        <w:trPr>
          <w:trHeight w:val="20"/>
        </w:trPr>
        <w:tc>
          <w:tcPr>
            <w:tcW w:w="48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The conversion option liability relates to the bifurcated embedded conversion option in the Convertible Senior Notes issued to investment funds managed and controlled by The Carlyle Group (see “Note 8. Fair Value Measurements”).</w:t>
      </w:r>
    </w:p>
    <w:p>
      <w:pPr>
        <w:spacing w:after="0" w:line="99"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8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inputs are quoted prices in active markets for identical assets or liabilities. </w:t>
      </w:r>
      <w:r>
        <w:rPr>
          <w:rFonts w:ascii="Arial" w:cs="Arial" w:eastAsia="Arial" w:hAnsi="Arial"/>
          <w:sz w:val="22"/>
          <w:szCs w:val="22"/>
          <w:i w:val="1"/>
          <w:iCs w:val="1"/>
          <w:color w:val="auto"/>
        </w:rPr>
        <w:t>Level</w:t>
      </w:r>
      <w:r>
        <w:rPr>
          <w:rFonts w:ascii="Arial" w:cs="Arial" w:eastAsia="Arial" w:hAnsi="Arial"/>
          <w:sz w:val="22"/>
          <w:szCs w:val="22"/>
          <w:color w:val="auto"/>
        </w:rPr>
        <w:t xml:space="preserve"> 2 inputs are observable inputs other than quoted prices included in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22"/>
          <w:szCs w:val="22"/>
          <w:i w:val="1"/>
          <w:iCs w:val="1"/>
          <w:color w:val="auto"/>
        </w:rPr>
        <w:t>Level</w:t>
      </w:r>
      <w:r>
        <w:rPr>
          <w:rFonts w:ascii="Arial" w:cs="Arial" w:eastAsia="Arial" w:hAnsi="Arial"/>
          <w:sz w:val="22"/>
          <w:szCs w:val="22"/>
          <w:color w:val="auto"/>
        </w:rPr>
        <w:t xml:space="preserve"> 3 inputs are unobservable inputs that are supported by little or no market activity and are significant to the fair value of the assets or liabilities.</w:t>
      </w:r>
    </w:p>
    <w:p>
      <w:pPr>
        <w:spacing w:after="0" w:line="15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Company’s financial assets and liabilities as of September 30, 2021 and December 31, 2020 that are measured at fair value on a recurring basis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6"/>
                <w:szCs w:val="16"/>
                <w:b w:val="1"/>
                <w:bCs w:val="1"/>
                <w:color w:val="auto"/>
              </w:rPr>
              <w:t>Level 1</w:t>
            </w: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Level 2</w:t>
            </w:r>
          </w:p>
        </w:tc>
        <w:tc>
          <w:tcPr>
            <w:tcW w:w="1440" w:type="dxa"/>
            <w:vAlign w:val="bottom"/>
            <w:gridSpan w:val="2"/>
          </w:tcPr>
          <w:p>
            <w:pPr>
              <w:ind w:left="42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2,476</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1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156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4,591</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140"/>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r>
    </w:tbl>
    <w:p>
      <w:pPr>
        <w:spacing w:after="0" w:line="18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Level </w:t>
      </w:r>
      <w:r>
        <w:rPr>
          <w:rFonts w:ascii="Arial" w:cs="Arial" w:eastAsia="Arial" w:hAnsi="Arial"/>
          <w:sz w:val="21"/>
          <w:szCs w:val="21"/>
          <w:b w:val="1"/>
          <w:bCs w:val="1"/>
          <w:color w:val="auto"/>
        </w:rPr>
        <w:t>3</w:t>
      </w:r>
      <w:r>
        <w:rPr>
          <w:rFonts w:ascii="Arial" w:cs="Arial" w:eastAsia="Arial" w:hAnsi="Arial"/>
          <w:sz w:val="21"/>
          <w:szCs w:val="21"/>
          <w:b w:val="1"/>
          <w:bCs w:val="1"/>
          <w:i w:val="1"/>
          <w:iCs w:val="1"/>
          <w:color w:val="auto"/>
        </w:rPr>
        <w:t xml:space="preserve"> Measurement</w:t>
      </w:r>
      <w:r>
        <w:rPr>
          <w:rFonts w:ascii="Arial" w:cs="Arial" w:eastAsia="Arial" w:hAnsi="Arial"/>
          <w:sz w:val="21"/>
          <w:szCs w:val="21"/>
          <w:color w:val="auto"/>
        </w:rPr>
        <w:t>. The fair value of the conversion option liability embedded in the Convertible Senior Notes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estimated with significant inputs that are both observable and unobservable in the market and therefore is considered a </w:t>
      </w:r>
      <w:r>
        <w:rPr>
          <w:rFonts w:ascii="Arial" w:cs="Arial" w:eastAsia="Arial" w:hAnsi="Arial"/>
          <w:sz w:val="21"/>
          <w:szCs w:val="21"/>
          <w:i w:val="1"/>
          <w:iCs w:val="1"/>
          <w:color w:val="auto"/>
        </w:rPr>
        <w:t>Level</w:t>
      </w:r>
      <w:r>
        <w:rPr>
          <w:rFonts w:ascii="Arial" w:cs="Arial" w:eastAsia="Arial" w:hAnsi="Arial"/>
          <w:sz w:val="21"/>
          <w:szCs w:val="21"/>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0" w:name="page21"/>
    <w:bookmarkEnd w:id="20"/>
    <w:p>
      <w:pPr>
        <w:jc w:val="both"/>
        <w:ind w:firstLine="749"/>
        <w:spacing w:after="0" w:line="250" w:lineRule="auto"/>
        <w:rPr>
          <w:sz w:val="20"/>
          <w:szCs w:val="20"/>
          <w:color w:val="auto"/>
        </w:rPr>
      </w:pPr>
      <w:r>
        <w:rPr>
          <w:rFonts w:ascii="Arial" w:cs="Arial" w:eastAsia="Arial" w:hAnsi="Arial"/>
          <w:sz w:val="22"/>
          <w:szCs w:val="22"/>
          <w:color w:val="auto"/>
        </w:rPr>
        <w:t>The estimated fair values of the Company’s other financial assets and liabilities as of September 30, 2021 and December 31, 2020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Estimated Fair Value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Carrying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September 30,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46,354</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46,354</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350,515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358,988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219"/>
        </w:trPr>
        <w:tc>
          <w:tcPr>
            <w:tcW w:w="57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36,018</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472,887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470,561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68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including the consideration of the COVID-19 pandemic that has caused significant volatility in U.S. and international markets, and, accordingly, the estimates presented herein are not necessarily indicative of the amounts that the Company could realize in a current market exchange.</w:t>
      </w:r>
    </w:p>
    <w:p>
      <w:pPr>
        <w:spacing w:after="0" w:line="188"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Property and equipment</w:t>
      </w:r>
      <w:r>
        <w:rPr>
          <w:rFonts w:ascii="Arial" w:cs="Arial" w:eastAsia="Arial" w:hAnsi="Arial"/>
          <w:sz w:val="22"/>
          <w:szCs w:val="22"/>
          <w:color w:val="auto"/>
        </w:rPr>
        <w:t>. During the nine months ended September 30, 2021, the Company recognized no impairment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charges, and none of the Company’s property and equipment had a fair value based on ordinary liquidation value or indicative sales price. As of December 31, 2020, the Company had </w:t>
      </w:r>
      <w:r>
        <w:rPr>
          <w:rFonts w:ascii="Arial" w:cs="Arial" w:eastAsia="Arial" w:hAnsi="Arial"/>
          <w:sz w:val="22"/>
          <w:szCs w:val="22"/>
          <w:i w:val="1"/>
          <w:iCs w:val="1"/>
          <w:color w:val="auto"/>
        </w:rPr>
        <w:t>Level 2</w:t>
      </w:r>
      <w:r>
        <w:rPr>
          <w:rFonts w:ascii="Arial" w:cs="Arial" w:eastAsia="Arial" w:hAnsi="Arial"/>
          <w:sz w:val="22"/>
          <w:szCs w:val="22"/>
          <w:color w:val="auto"/>
        </w:rPr>
        <w:t xml:space="preserve"> fair values, determined based upon ordinary liquidation value, of $43.0 million on five liftboats.</w:t>
      </w:r>
    </w:p>
    <w:p>
      <w:pPr>
        <w:spacing w:after="0" w:line="179" w:lineRule="exact"/>
        <w:rPr>
          <w:sz w:val="20"/>
          <w:szCs w:val="20"/>
          <w:color w:val="auto"/>
        </w:rPr>
      </w:pPr>
    </w:p>
    <w:p>
      <w:pPr>
        <w:ind w:left="760" w:hanging="752"/>
        <w:spacing w:after="0"/>
        <w:tabs>
          <w:tab w:leader="none" w:pos="760" w:val="left"/>
        </w:tabs>
        <w:numPr>
          <w:ilvl w:val="0"/>
          <w:numId w:val="17"/>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8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As of September 30, 2021, the Company had unfunded capital commitments of $0.9 million for miscellaneous vessel equipment payable during 2022. The Company has indefinitely deferred an additional $9.4 million of orders with respect to one FSV that the Company had previously reported as unfunded capital commitments.</w:t>
      </w:r>
    </w:p>
    <w:p>
      <w:pPr>
        <w:spacing w:after="0" w:line="12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Recently, a local Brazilian law was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R$18.8 million based on a historical potential levy of R$12.87 million (USD $3.5 million and USD $2.4 million, respectively, based on the exchange rate as of September 30, 2021).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1" w:name="page22"/>
    <w:bookmarkEnd w:id="21"/>
    <w:p>
      <w:pPr>
        <w:jc w:val="both"/>
        <w:ind w:right="20" w:firstLine="749"/>
        <w:spacing w:after="0" w:line="238" w:lineRule="auto"/>
        <w:rPr>
          <w:sz w:val="20"/>
          <w:szCs w:val="20"/>
          <w:color w:val="auto"/>
        </w:rPr>
      </w:pPr>
      <w:r>
        <w:rPr>
          <w:rFonts w:ascii="Arial" w:cs="Arial" w:eastAsia="Arial" w:hAnsi="Arial"/>
          <w:sz w:val="22"/>
          <w:szCs w:val="22"/>
          <w:color w:val="auto"/>
        </w:rPr>
        <w:t>As of September 30, 2021, SEACOR Holdings has guaranteed $0.8 million on behalf of the Company for performance obligations under sale-leaseback arrangements. Pursuant to the terms of the Tax Refund Agreement with SEACOR Holdings, as of September 30, 2021, $0.8 million of refunds remained in an account to be used solely to satisfy such obligations guaranteed by SEACOR Holdings.</w:t>
      </w:r>
    </w:p>
    <w:p>
      <w:pPr>
        <w:spacing w:after="0" w:line="15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The incident also resulted in the constructive total loss of the SEACOR Power. The Company is responsible for the salvage operations related to the vessel and is coordinating these efforts with the U.S. Coast Guard. The salvage operations are currently ongoing and the Company expects salvage costs to be covered by insurance proceeds.</w:t>
      </w:r>
    </w:p>
    <w:p>
      <w:pPr>
        <w:spacing w:after="0" w:line="10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The capsizing of the SEACOR Power garnered significant attention from the media as well as local, state and federal politicians. The National Transportation Safety Board (“NTSB”) and the U.S. Coast Guard are currently investigating the incident to determine the cause of the incident and the Company is fully cooperating with the investigation in all respects and continues to gather information about the incident. It is expected that the joint NTSB and U.S. Coast Guard investigation will take a significant period of time to complete, possibly as much as two years or longer. 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has the effect of enjoining all existing civil lawsuits and requiring the plaintiffs to file their claims relating to the capsizing of the SEACOR Power in the Limitation Action. There is significant uncertainty in the amount and timing of costs and potential liabilities relating to the incident involving the SEACOR Power, the impact the incident will have on the Company’s reputation and the resulting possible impact on the Company’s business.</w:t>
      </w:r>
    </w:p>
    <w:p>
      <w:pPr>
        <w:spacing w:after="0" w:line="14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61" w:lineRule="exact"/>
        <w:rPr>
          <w:sz w:val="20"/>
          <w:szCs w:val="20"/>
          <w:color w:val="auto"/>
        </w:rPr>
      </w:pPr>
    </w:p>
    <w:p>
      <w:pPr>
        <w:jc w:val="both"/>
        <w:ind w:firstLine="849"/>
        <w:spacing w:after="0" w:line="274" w:lineRule="auto"/>
        <w:rPr>
          <w:sz w:val="20"/>
          <w:szCs w:val="20"/>
          <w:color w:val="auto"/>
        </w:rPr>
      </w:pPr>
      <w:r>
        <w:rPr>
          <w:rFonts w:ascii="Arial" w:cs="Arial" w:eastAsia="Arial" w:hAnsi="Arial"/>
          <w:sz w:val="19"/>
          <w:szCs w:val="19"/>
          <w:color w:val="auto"/>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September 30, 2021, all invoices related to MNOPF and MNRPF have been settled in full.</w:t>
      </w:r>
    </w:p>
    <w:p>
      <w:pPr>
        <w:spacing w:after="0" w:line="118" w:lineRule="exact"/>
        <w:rPr>
          <w:sz w:val="20"/>
          <w:szCs w:val="20"/>
          <w:color w:val="auto"/>
        </w:rPr>
      </w:pPr>
    </w:p>
    <w:p>
      <w:pPr>
        <w:jc w:val="both"/>
        <w:ind w:firstLine="849"/>
        <w:spacing w:after="0" w:line="248" w:lineRule="auto"/>
        <w:rPr>
          <w:sz w:val="20"/>
          <w:szCs w:val="20"/>
          <w:color w:val="auto"/>
        </w:rPr>
      </w:pPr>
      <w:r>
        <w:rPr>
          <w:rFonts w:ascii="Arial" w:cs="Arial" w:eastAsia="Arial" w:hAnsi="Arial"/>
          <w:sz w:val="21"/>
          <w:szCs w:val="21"/>
          <w:color w:val="auto"/>
        </w:rPr>
        <w:t>On October 19, 2021, the Company was informed by the MNRPF that two issues had been identified during a review of the MNRPF by the applicable trustee that would potentially give rise to material additional liabilities for the MNRPF. The MNRPF indicated that the investigations into these issues were at an early stage and remained ongoing, and that further updates would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2" w:name="page23"/>
    <w:bookmarkEnd w:id="22"/>
    <w:p>
      <w:pPr>
        <w:ind w:left="760" w:hanging="752"/>
        <w:spacing w:after="0"/>
        <w:tabs>
          <w:tab w:leader="none" w:pos="7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STOCK BASED COMPENSATION</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Transactions in connection with the Company’s Equity Incentive Plans during the nine months ended September 30, 2021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Restricted Stock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Outstanding as of December 31, 2020</w:t>
            </w:r>
          </w:p>
        </w:tc>
        <w:tc>
          <w:tcPr>
            <w:tcW w:w="1880" w:type="dxa"/>
            <w:vAlign w:val="bottom"/>
          </w:tcPr>
          <w:p>
            <w:pPr>
              <w:jc w:val="right"/>
              <w:spacing w:after="0"/>
              <w:rPr>
                <w:sz w:val="20"/>
                <w:szCs w:val="20"/>
                <w:color w:val="auto"/>
              </w:rPr>
            </w:pPr>
            <w:r>
              <w:rPr>
                <w:rFonts w:ascii="Arial" w:cs="Arial" w:eastAsia="Arial" w:hAnsi="Arial"/>
                <w:sz w:val="16"/>
                <w:szCs w:val="16"/>
                <w:color w:val="auto"/>
              </w:rPr>
              <w:t>436,714</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Granted </w:t>
            </w:r>
            <w:r>
              <w:rPr>
                <w:rFonts w:ascii="Arial" w:cs="Arial" w:eastAsia="Arial" w:hAnsi="Arial"/>
                <w:sz w:val="25"/>
                <w:szCs w:val="25"/>
                <w:color w:val="auto"/>
                <w:vertAlign w:val="superscript"/>
              </w:rPr>
              <w:t>(1)</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902,214</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Vested</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(202,079)</w:t>
            </w: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(5,250)</w:t>
            </w:r>
          </w:p>
        </w:tc>
      </w:tr>
      <w:tr>
        <w:trPr>
          <w:trHeight w:val="247"/>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as of September 30, 2021</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1,131,599</w:t>
            </w:r>
          </w:p>
        </w:tc>
        <w:tc>
          <w:tcPr>
            <w:tcW w:w="100" w:type="dxa"/>
            <w:vAlign w:val="bottom"/>
            <w:tcBorders>
              <w:bottom w:val="single" w:sz="8" w:color="CFF0FC"/>
            </w:tcBorders>
          </w:tcPr>
          <w:p>
            <w:pPr>
              <w:spacing w:after="0"/>
              <w:rPr>
                <w:sz w:val="21"/>
                <w:szCs w:val="21"/>
                <w:color w:val="auto"/>
              </w:rPr>
            </w:pPr>
          </w:p>
        </w:tc>
      </w:tr>
      <w:tr>
        <w:trPr>
          <w:trHeight w:val="199"/>
        </w:trPr>
        <w:tc>
          <w:tcPr>
            <w:tcW w:w="92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b w:val="1"/>
                <w:bCs w:val="1"/>
                <w:color w:val="auto"/>
              </w:rPr>
              <w:t>Stock Option Activity: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Outstanding as of December 31, 2020</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1,120,541</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Granted</w:t>
            </w:r>
          </w:p>
        </w:tc>
        <w:tc>
          <w:tcPr>
            <w:tcW w:w="1880" w:type="dxa"/>
            <w:vAlign w:val="bottom"/>
          </w:tcPr>
          <w:p>
            <w:pPr>
              <w:jc w:val="right"/>
              <w:spacing w:after="0"/>
              <w:rPr>
                <w:sz w:val="20"/>
                <w:szCs w:val="20"/>
                <w:color w:val="auto"/>
              </w:rPr>
            </w:pPr>
            <w:r>
              <w:rPr>
                <w:rFonts w:ascii="Arial" w:cs="Arial" w:eastAsia="Arial" w:hAnsi="Arial"/>
                <w:sz w:val="16"/>
                <w:szCs w:val="16"/>
                <w:color w:val="auto"/>
              </w:rPr>
              <w:t>12,500</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Forfeited</w:t>
            </w:r>
          </w:p>
        </w:tc>
        <w:tc>
          <w:tcPr>
            <w:tcW w:w="1980" w:type="dxa"/>
            <w:vAlign w:val="bottom"/>
            <w:gridSpan w:val="2"/>
          </w:tcPr>
          <w:p>
            <w:pPr>
              <w:jc w:val="right"/>
              <w:ind w:right="60"/>
              <w:spacing w:after="0"/>
              <w:rPr>
                <w:sz w:val="20"/>
                <w:szCs w:val="20"/>
                <w:color w:val="auto"/>
              </w:rPr>
            </w:pPr>
            <w:r>
              <w:rPr>
                <w:rFonts w:ascii="Arial" w:cs="Arial" w:eastAsia="Arial" w:hAnsi="Arial"/>
                <w:sz w:val="16"/>
                <w:szCs w:val="16"/>
                <w:color w:val="auto"/>
              </w:rPr>
              <w:t>(71,684)</w:t>
            </w:r>
          </w:p>
        </w:tc>
      </w:tr>
      <w:tr>
        <w:trPr>
          <w:trHeight w:val="209"/>
        </w:trPr>
        <w:tc>
          <w:tcPr>
            <w:tcW w:w="9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as of September 30, 2021</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1,061,357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840" w:hanging="832"/>
        <w:spacing w:after="0"/>
        <w:tabs>
          <w:tab w:leader="none" w:pos="840" w:val="left"/>
        </w:tabs>
        <w:numPr>
          <w:ilvl w:val="0"/>
          <w:numId w:val="19"/>
        </w:numPr>
        <w:rPr>
          <w:rFonts w:ascii="Arial" w:cs="Arial" w:eastAsia="Arial" w:hAnsi="Arial"/>
          <w:sz w:val="15"/>
          <w:szCs w:val="15"/>
          <w:color w:val="auto"/>
        </w:rPr>
      </w:pPr>
      <w:r>
        <w:rPr>
          <w:rFonts w:ascii="Arial" w:cs="Arial" w:eastAsia="Arial" w:hAnsi="Arial"/>
          <w:sz w:val="14"/>
          <w:szCs w:val="14"/>
          <w:color w:val="auto"/>
        </w:rPr>
        <w:t>Excludes 157,455 grants of performance-based stock units that are not considered outstanding until such time that they become probable to vest.</w:t>
      </w:r>
    </w:p>
    <w:p>
      <w:pPr>
        <w:spacing w:after="0" w:line="13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nine months ended September 30, 2021, the Company acquired for treasury 54,454 shares of Common Stock from its employees to cover their tax withholding obligations upon the lapsing of restrictions on share awards for an aggregate purchase price of $0.3 million. These shares were purchased in accordance with the terms of the Company’s 2017 Equity Incentive Plan and the Company’s 2020 Equity Incentive Plan.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23" w:name="page24"/>
    <w:bookmarkEnd w:id="23"/>
    <w:p>
      <w:pPr>
        <w:ind w:left="920" w:hanging="912"/>
        <w:spacing w:after="0"/>
        <w:tabs>
          <w:tab w:leader="none" w:pos="92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17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Company’s segment presentation and basis of measurement of segment profit or loss are as previously described in the 2020 Annual Report. Certain reclassifications of prior period information have been made to conform the current period’s reportable segment presentation as a result of the Company’s presentation of Discontinued Operations (see “Note 12. Discontinued Operations”). In prior periods Africa and Europe were reported as separate segments. Due to the sale of Windcat Workboats, the Company’s European operations are no longer analyzed by the chief operating decision maker on a standalone basis but rather as part of the Africa and Europe segment. As a result, for purposes of segment reporting European operations are now combined with the Africa segment and reported as a combined segment and prior period information has been conformed to the new consolidated reporting segment. The following tables summarize the operating results, capital expenditures and assets of the Company’s reportable segments for the periods indicated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United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States</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Gulf of</w:t>
            </w:r>
          </w:p>
        </w:tc>
        <w:tc>
          <w:tcPr>
            <w:tcW w:w="20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38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w w:val="99"/>
              </w:rPr>
              <w:t>Latin</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1240" w:type="dxa"/>
            <w:vAlign w:val="bottom"/>
            <w:gridSpan w:val="3"/>
          </w:tcPr>
          <w:p>
            <w:pPr>
              <w:jc w:val="right"/>
              <w:ind w:right="200"/>
              <w:spacing w:after="0" w:line="217" w:lineRule="exact"/>
              <w:rPr>
                <w:sz w:val="20"/>
                <w:szCs w:val="20"/>
                <w:color w:val="auto"/>
              </w:rPr>
            </w:pPr>
            <w:r>
              <w:rPr>
                <w:rFonts w:ascii="Arial" w:cs="Arial" w:eastAsia="Arial" w:hAnsi="Arial"/>
                <w:sz w:val="16"/>
                <w:szCs w:val="16"/>
                <w:b w:val="1"/>
                <w:bCs w:val="1"/>
                <w:color w:val="auto"/>
                <w:w w:val="92"/>
              </w:rPr>
              <w:t xml:space="preserve">and Europe </w:t>
            </w:r>
            <w:r>
              <w:rPr>
                <w:rFonts w:ascii="Arial" w:cs="Arial" w:eastAsia="Arial" w:hAnsi="Arial"/>
                <w:sz w:val="22"/>
                <w:szCs w:val="22"/>
                <w:b w:val="1"/>
                <w:bCs w:val="1"/>
                <w:color w:val="auto"/>
                <w:w w:val="92"/>
                <w:vertAlign w:val="superscript"/>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380" w:type="dxa"/>
            <w:vAlign w:val="bottom"/>
            <w:gridSpan w:val="3"/>
          </w:tcPr>
          <w:p>
            <w:pPr>
              <w:jc w:val="center"/>
              <w:ind w:right="620"/>
              <w:spacing w:after="0"/>
              <w:rPr>
                <w:sz w:val="20"/>
                <w:szCs w:val="20"/>
                <w:color w:val="auto"/>
              </w:rPr>
            </w:pPr>
            <w:r>
              <w:rPr>
                <w:rFonts w:ascii="Arial" w:cs="Arial" w:eastAsia="Arial" w:hAnsi="Arial"/>
                <w:sz w:val="16"/>
                <w:szCs w:val="16"/>
                <w:b w:val="1"/>
                <w:bCs w:val="1"/>
                <w:color w:val="auto"/>
                <w:w w:val="94"/>
              </w:rPr>
              <w:t>America</w:t>
            </w:r>
          </w:p>
        </w:tc>
        <w:tc>
          <w:tcPr>
            <w:tcW w:w="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r>
      <w:tr>
        <w:trPr>
          <w:trHeight w:val="209"/>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September 30, 2021</w:t>
            </w:r>
          </w:p>
        </w:tc>
        <w:tc>
          <w:tcPr>
            <w:tcW w:w="6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Operating Revenues: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41,782</w:t>
            </w:r>
          </w:p>
        </w:tc>
        <w:tc>
          <w:tcPr>
            <w:tcW w:w="100" w:type="dxa"/>
            <w:vAlign w:val="bottom"/>
            <w:shd w:val="clear" w:color="auto" w:fill="CFF0FC"/>
          </w:tcPr>
          <w:p>
            <w:pPr>
              <w:spacing w:after="0"/>
              <w:rPr>
                <w:sz w:val="19"/>
                <w:szCs w:val="19"/>
                <w:color w:val="auto"/>
              </w:rPr>
            </w:pPr>
          </w:p>
        </w:tc>
      </w:tr>
      <w:tr>
        <w:trPr>
          <w:trHeight w:val="213"/>
        </w:trPr>
        <w:tc>
          <w:tcPr>
            <w:tcW w:w="412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4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(429)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1,881</w:t>
            </w:r>
          </w:p>
        </w:tc>
        <w:tc>
          <w:tcPr>
            <w:tcW w:w="100" w:type="dxa"/>
            <w:vAlign w:val="bottom"/>
            <w:shd w:val="clear" w:color="auto" w:fill="CFF0FC"/>
          </w:tcPr>
          <w:p>
            <w:pPr>
              <w:spacing w:after="0"/>
              <w:rPr>
                <w:sz w:val="18"/>
                <w:szCs w:val="18"/>
                <w:color w:val="auto"/>
              </w:rPr>
            </w:pPr>
          </w:p>
        </w:tc>
      </w:tr>
      <w:tr>
        <w:trPr>
          <w:trHeight w:val="209"/>
        </w:trPr>
        <w:tc>
          <w:tcPr>
            <w:tcW w:w="412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6,504</w:t>
            </w:r>
          </w:p>
        </w:tc>
        <w:tc>
          <w:tcPr>
            <w:tcW w:w="2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10,017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13,502</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13,640</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43,663</w:t>
            </w:r>
          </w:p>
        </w:tc>
        <w:tc>
          <w:tcPr>
            <w:tcW w:w="100" w:type="dxa"/>
            <w:vAlign w:val="bottom"/>
            <w:tcBorders>
              <w:bottom w:val="single" w:sz="8" w:color="CFF0FC"/>
            </w:tcBorders>
          </w:tcPr>
          <w:p>
            <w:pPr>
              <w:spacing w:after="0"/>
              <w:rPr>
                <w:sz w:val="18"/>
                <w:szCs w:val="18"/>
                <w:color w:val="auto"/>
              </w:rPr>
            </w:pPr>
          </w:p>
        </w:tc>
      </w:tr>
      <w:tr>
        <w:trPr>
          <w:trHeight w:val="213"/>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412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15,051</w:t>
            </w:r>
          </w:p>
        </w:tc>
        <w:tc>
          <w:tcPr>
            <w:tcW w:w="100" w:type="dxa"/>
            <w:vAlign w:val="bottom"/>
            <w:shd w:val="clear" w:color="auto" w:fill="CFF0FC"/>
          </w:tcPr>
          <w:p>
            <w:pPr>
              <w:spacing w:after="0"/>
              <w:rPr>
                <w:sz w:val="19"/>
                <w:szCs w:val="19"/>
                <w:color w:val="auto"/>
              </w:rPr>
            </w:pPr>
          </w:p>
        </w:tc>
      </w:tr>
      <w:tr>
        <w:trPr>
          <w:trHeight w:val="213"/>
        </w:trPr>
        <w:tc>
          <w:tcPr>
            <w:tcW w:w="412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6,536</w:t>
            </w:r>
          </w:p>
        </w:tc>
        <w:tc>
          <w:tcPr>
            <w:tcW w:w="100" w:type="dxa"/>
            <w:vAlign w:val="bottom"/>
          </w:tcPr>
          <w:p>
            <w:pPr>
              <w:spacing w:after="0"/>
              <w:rPr>
                <w:sz w:val="18"/>
                <w:szCs w:val="18"/>
                <w:color w:val="auto"/>
              </w:rPr>
            </w:pPr>
          </w:p>
        </w:tc>
      </w:tr>
      <w:tr>
        <w:trPr>
          <w:trHeight w:val="219"/>
        </w:trPr>
        <w:tc>
          <w:tcPr>
            <w:tcW w:w="4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FF0FC"/>
          </w:tcPr>
          <w:p>
            <w:pPr>
              <w:spacing w:after="0"/>
              <w:rPr>
                <w:sz w:val="19"/>
                <w:szCs w:val="19"/>
                <w:color w:val="auto"/>
              </w:rPr>
            </w:pPr>
          </w:p>
        </w:tc>
      </w:tr>
      <w:tr>
        <w:trPr>
          <w:trHeight w:val="213"/>
        </w:trPr>
        <w:tc>
          <w:tcPr>
            <w:tcW w:w="412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2,189</w:t>
            </w:r>
          </w:p>
        </w:tc>
        <w:tc>
          <w:tcPr>
            <w:tcW w:w="100" w:type="dxa"/>
            <w:vAlign w:val="bottom"/>
          </w:tcPr>
          <w:p>
            <w:pPr>
              <w:spacing w:after="0"/>
              <w:rPr>
                <w:sz w:val="18"/>
                <w:szCs w:val="18"/>
                <w:color w:val="auto"/>
              </w:rPr>
            </w:pPr>
          </w:p>
        </w:tc>
      </w:tr>
      <w:tr>
        <w:trPr>
          <w:trHeight w:val="219"/>
        </w:trPr>
        <w:tc>
          <w:tcPr>
            <w:tcW w:w="4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3,684</w:t>
            </w:r>
          </w:p>
        </w:tc>
        <w:tc>
          <w:tcPr>
            <w:tcW w:w="100" w:type="dxa"/>
            <w:vAlign w:val="bottom"/>
            <w:shd w:val="clear" w:color="auto" w:fill="CFF0FC"/>
          </w:tcPr>
          <w:p>
            <w:pPr>
              <w:spacing w:after="0"/>
              <w:rPr>
                <w:sz w:val="19"/>
                <w:szCs w:val="19"/>
                <w:color w:val="auto"/>
              </w:rPr>
            </w:pPr>
          </w:p>
        </w:tc>
      </w:tr>
      <w:tr>
        <w:trPr>
          <w:trHeight w:val="213"/>
        </w:trPr>
        <w:tc>
          <w:tcPr>
            <w:tcW w:w="41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2,823</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5,217</w:t>
            </w:r>
          </w:p>
        </w:tc>
        <w:tc>
          <w:tcPr>
            <w:tcW w:w="100" w:type="dxa"/>
            <w:vAlign w:val="bottom"/>
            <w:tcBorders>
              <w:bottom w:val="single" w:sz="8" w:color="CFF0FC"/>
            </w:tcBorders>
          </w:tcPr>
          <w:p>
            <w:pPr>
              <w:spacing w:after="0"/>
              <w:rPr>
                <w:sz w:val="18"/>
                <w:szCs w:val="18"/>
                <w:color w:val="auto"/>
              </w:rPr>
            </w:pPr>
          </w:p>
        </w:tc>
      </w:tr>
      <w:tr>
        <w:trPr>
          <w:trHeight w:val="213"/>
        </w:trPr>
        <w:tc>
          <w:tcPr>
            <w:tcW w:w="4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4,801</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8,402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11,922</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8,323</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33,448</w:t>
            </w:r>
          </w:p>
        </w:tc>
        <w:tc>
          <w:tcPr>
            <w:tcW w:w="100" w:type="dxa"/>
            <w:vAlign w:val="bottom"/>
            <w:shd w:val="clear" w:color="auto" w:fill="CFF0FC"/>
          </w:tcPr>
          <w:p>
            <w:pPr>
              <w:spacing w:after="0"/>
              <w:rPr>
                <w:sz w:val="18"/>
                <w:szCs w:val="18"/>
                <w:color w:val="auto"/>
              </w:rPr>
            </w:pPr>
          </w:p>
        </w:tc>
      </w:tr>
      <w:tr>
        <w:trPr>
          <w:trHeight w:val="249"/>
        </w:trPr>
        <w:tc>
          <w:tcPr>
            <w:tcW w:w="412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1,703</w:t>
            </w:r>
          </w:p>
        </w:tc>
        <w:tc>
          <w:tcPr>
            <w:tcW w:w="2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1,615</w:t>
            </w:r>
          </w:p>
        </w:tc>
        <w:tc>
          <w:tcPr>
            <w:tcW w:w="1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1,580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5,317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10,215</w:t>
            </w:r>
          </w:p>
        </w:tc>
        <w:tc>
          <w:tcPr>
            <w:tcW w:w="100" w:type="dxa"/>
            <w:vAlign w:val="bottom"/>
          </w:tcPr>
          <w:p>
            <w:pPr>
              <w:spacing w:after="0"/>
              <w:rPr>
                <w:sz w:val="21"/>
                <w:szCs w:val="21"/>
                <w:color w:val="auto"/>
              </w:rPr>
            </w:pPr>
          </w:p>
        </w:tc>
      </w:tr>
      <w:tr>
        <w:trPr>
          <w:trHeight w:val="197"/>
        </w:trPr>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6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412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621</w:t>
            </w:r>
          </w:p>
        </w:tc>
        <w:tc>
          <w:tcPr>
            <w:tcW w:w="2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284</w:t>
            </w:r>
          </w:p>
        </w:tc>
        <w:tc>
          <w:tcPr>
            <w:tcW w:w="1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r>
      <w:tr>
        <w:trPr>
          <w:trHeight w:val="219"/>
        </w:trPr>
        <w:tc>
          <w:tcPr>
            <w:tcW w:w="41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9,134</w:t>
            </w:r>
          </w:p>
        </w:tc>
        <w:tc>
          <w:tcPr>
            <w:tcW w:w="100" w:type="dxa"/>
            <w:vAlign w:val="bottom"/>
            <w:shd w:val="clear" w:color="auto" w:fill="CFF0FC"/>
          </w:tcPr>
          <w:p>
            <w:pPr>
              <w:spacing w:after="0"/>
              <w:rPr>
                <w:sz w:val="19"/>
                <w:szCs w:val="19"/>
                <w:color w:val="auto"/>
              </w:rPr>
            </w:pPr>
          </w:p>
        </w:tc>
      </w:tr>
      <w:tr>
        <w:trPr>
          <w:trHeight w:val="213"/>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6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3,936</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3,296</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4,456</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2,618</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14,306</w:t>
            </w:r>
          </w:p>
        </w:tc>
        <w:tc>
          <w:tcPr>
            <w:tcW w:w="100" w:type="dxa"/>
            <w:vAlign w:val="bottom"/>
            <w:tcBorders>
              <w:bottom w:val="single" w:sz="8" w:color="CFF0FC"/>
            </w:tcBorders>
          </w:tcPr>
          <w:p>
            <w:pPr>
              <w:spacing w:after="0"/>
              <w:rPr>
                <w:sz w:val="18"/>
                <w:szCs w:val="18"/>
                <w:color w:val="auto"/>
              </w:rPr>
            </w:pPr>
          </w:p>
        </w:tc>
      </w:tr>
      <w:tr>
        <w:trPr>
          <w:trHeight w:val="213"/>
        </w:trPr>
        <w:tc>
          <w:tcPr>
            <w:tcW w:w="4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24,549</w:t>
            </w:r>
          </w:p>
        </w:tc>
        <w:tc>
          <w:tcPr>
            <w:tcW w:w="100" w:type="dxa"/>
            <w:vAlign w:val="bottom"/>
            <w:shd w:val="clear" w:color="auto" w:fill="CFF0FC"/>
          </w:tcPr>
          <w:p>
            <w:pPr>
              <w:spacing w:after="0"/>
              <w:rPr>
                <w:sz w:val="18"/>
                <w:szCs w:val="18"/>
                <w:color w:val="auto"/>
              </w:rPr>
            </w:pPr>
          </w:p>
        </w:tc>
      </w:tr>
      <w:tr>
        <w:trPr>
          <w:trHeight w:val="206"/>
        </w:trPr>
        <w:tc>
          <w:tcPr>
            <w:tcW w:w="4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Net</w:t>
            </w:r>
          </w:p>
        </w:tc>
        <w:tc>
          <w:tcPr>
            <w:tcW w:w="6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FF0FC"/>
            </w:tcBorders>
          </w:tcPr>
          <w:p>
            <w:pPr>
              <w:spacing w:after="0"/>
              <w:rPr>
                <w:sz w:val="17"/>
                <w:szCs w:val="17"/>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(14,278)</w:t>
            </w: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United</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and Europe,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Gulf of</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Continuing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1240" w:type="dxa"/>
            <w:vAlign w:val="bottom"/>
            <w:gridSpan w:val="3"/>
          </w:tcPr>
          <w:p>
            <w:pPr>
              <w:jc w:val="center"/>
              <w:ind w:right="16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America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Nine Months Ended September 30, 2021</w:t>
            </w:r>
          </w:p>
        </w:tc>
        <w:tc>
          <w:tcPr>
            <w:tcW w:w="7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Operating Revenues: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32,385</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(922)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13,848</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31,463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40,220</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37,443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122,974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7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12,963</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24,834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32,458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22,115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92,370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885</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6,629</w:t>
            </w:r>
          </w:p>
        </w:tc>
        <w:tc>
          <w:tcPr>
            <w:tcW w:w="1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7,762</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15,328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7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910</w:t>
            </w:r>
          </w:p>
        </w:tc>
        <w:tc>
          <w:tcPr>
            <w:tcW w:w="1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7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11,387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9,908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13,829</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8,073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Net</w:t>
            </w:r>
          </w:p>
        </w:tc>
        <w:tc>
          <w:tcPr>
            <w:tcW w:w="7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(22,475)</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September 30, 2021</w:t>
            </w: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248,125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212,491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358,356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170,938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989,910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(122,437)</w:t>
            </w:r>
          </w:p>
        </w:tc>
        <w:tc>
          <w:tcPr>
            <w:tcW w:w="1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(66,424)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(85,054)</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(29,263)</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(303,178)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125,688</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146,067</w:t>
            </w:r>
          </w:p>
        </w:tc>
        <w:tc>
          <w:tcPr>
            <w:tcW w:w="16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273,302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141,675</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686,732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vMerge w:val="restart"/>
            <w:shd w:val="clear" w:color="auto" w:fill="CFF0FC"/>
          </w:tcPr>
          <w:p>
            <w:pPr>
              <w:spacing w:after="0" w:line="24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(1)</w:t>
            </w: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60" w:type="dxa"/>
            <w:vAlign w:val="bottom"/>
            <w:vMerge w:val="continue"/>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149,286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162,815</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274,324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211,909</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798,334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$103.7 million as of September 30, 2021</w:t>
      </w:r>
      <w:r>
        <w:rPr>
          <w:rFonts w:ascii="Arial" w:cs="Arial" w:eastAsia="Arial" w:hAnsi="Arial"/>
          <w:sz w:val="17"/>
          <w:szCs w:val="17"/>
          <w:color w:val="auto"/>
        </w:rPr>
        <w:t>.</w:t>
      </w:r>
    </w:p>
    <w:p>
      <w:pPr>
        <w:spacing w:after="0" w:line="28" w:lineRule="exact"/>
        <w:rPr>
          <w:rFonts w:ascii="Arial" w:cs="Arial" w:eastAsia="Arial" w:hAnsi="Arial"/>
          <w:sz w:val="15"/>
          <w:szCs w:val="15"/>
          <w:color w:val="auto"/>
        </w:rPr>
      </w:pPr>
    </w:p>
    <w:p>
      <w:pPr>
        <w:jc w:val="both"/>
        <w:ind w:left="380" w:hanging="372"/>
        <w:spacing w:after="0" w:line="245" w:lineRule="auto"/>
        <w:tabs>
          <w:tab w:leader="none" w:pos="380" w:val="left"/>
        </w:tabs>
        <w:numPr>
          <w:ilvl w:val="0"/>
          <w:numId w:val="21"/>
        </w:numPr>
        <w:rPr>
          <w:rFonts w:ascii="Arial" w:cs="Arial" w:eastAsia="Arial" w:hAnsi="Arial"/>
          <w:sz w:val="14"/>
          <w:szCs w:val="14"/>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and Europe segment. As a result, for purposes of segment reporting European operations are now consolidated with Africa and reported as a consolidated segment and prior period information has been conformed to the new consolidated reporting segment.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Africa</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Mexico)</w:t>
            </w:r>
          </w:p>
        </w:tc>
        <w:tc>
          <w:tcPr>
            <w:tcW w:w="100" w:type="dxa"/>
            <w:vAlign w:val="bottom"/>
          </w:tcPr>
          <w:p>
            <w:pPr>
              <w:spacing w:after="0"/>
              <w:rPr>
                <w:sz w:val="18"/>
                <w:szCs w:val="18"/>
                <w:color w:val="auto"/>
              </w:rPr>
            </w:pPr>
          </w:p>
        </w:tc>
        <w:tc>
          <w:tcPr>
            <w:tcW w:w="1280" w:type="dxa"/>
            <w:vAlign w:val="bottom"/>
            <w:gridSpan w:val="3"/>
          </w:tcPr>
          <w:p>
            <w:pPr>
              <w:jc w:val="right"/>
              <w:ind w:right="260"/>
              <w:spacing w:after="0" w:line="217" w:lineRule="exact"/>
              <w:rPr>
                <w:sz w:val="20"/>
                <w:szCs w:val="20"/>
                <w:color w:val="auto"/>
              </w:rPr>
            </w:pPr>
            <w:r>
              <w:rPr>
                <w:rFonts w:ascii="Arial" w:cs="Arial" w:eastAsia="Arial" w:hAnsi="Arial"/>
                <w:sz w:val="16"/>
                <w:szCs w:val="16"/>
                <w:b w:val="1"/>
                <w:bCs w:val="1"/>
                <w:color w:val="auto"/>
                <w:w w:val="90"/>
              </w:rPr>
              <w:t xml:space="preserve">and Europe </w:t>
            </w:r>
            <w:r>
              <w:rPr>
                <w:rFonts w:ascii="Arial" w:cs="Arial" w:eastAsia="Arial" w:hAnsi="Arial"/>
                <w:sz w:val="22"/>
                <w:szCs w:val="22"/>
                <w:b w:val="1"/>
                <w:bCs w:val="1"/>
                <w:color w:val="auto"/>
                <w:w w:val="90"/>
                <w:vertAlign w:val="superscript"/>
              </w:rPr>
              <w:t>(2)</w:t>
            </w: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America</w:t>
            </w:r>
          </w:p>
        </w:tc>
        <w:tc>
          <w:tcPr>
            <w:tcW w:w="22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r>
      <w:tr>
        <w:trPr>
          <w:trHeight w:val="209"/>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September 30, 2020</w:t>
            </w:r>
          </w:p>
        </w:tc>
        <w:tc>
          <w:tcPr>
            <w:tcW w:w="6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Operating Revenues: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1,668</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13,672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34,822</w:t>
            </w:r>
          </w:p>
        </w:tc>
        <w:tc>
          <w:tcPr>
            <w:tcW w:w="100" w:type="dxa"/>
            <w:vAlign w:val="bottom"/>
            <w:shd w:val="clear" w:color="auto" w:fill="CFF0FC"/>
          </w:tcPr>
          <w:p>
            <w:pPr>
              <w:spacing w:after="0"/>
              <w:rPr>
                <w:sz w:val="19"/>
                <w:szCs w:val="19"/>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(255)</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FF0FC"/>
          </w:tcPr>
          <w:p>
            <w:pPr>
              <w:spacing w:after="0"/>
              <w:rPr>
                <w:sz w:val="18"/>
                <w:szCs w:val="18"/>
                <w:color w:val="auto"/>
              </w:rPr>
            </w:pPr>
          </w:p>
        </w:tc>
      </w:tr>
      <w:tr>
        <w:trPr>
          <w:trHeight w:val="209"/>
        </w:trPr>
        <w:tc>
          <w:tcPr>
            <w:tcW w:w="406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10,551</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13,968</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8,833</w:t>
            </w:r>
          </w:p>
        </w:tc>
        <w:tc>
          <w:tcPr>
            <w:tcW w:w="24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36,224</w:t>
            </w:r>
          </w:p>
        </w:tc>
        <w:tc>
          <w:tcPr>
            <w:tcW w:w="100" w:type="dxa"/>
            <w:vAlign w:val="bottom"/>
            <w:tcBorders>
              <w:bottom w:val="single" w:sz="8" w:color="CFF0FC"/>
            </w:tcBorders>
          </w:tcPr>
          <w:p>
            <w:pPr>
              <w:spacing w:after="0"/>
              <w:rPr>
                <w:sz w:val="18"/>
                <w:szCs w:val="18"/>
                <w:color w:val="auto"/>
              </w:rPr>
            </w:pPr>
          </w:p>
        </w:tc>
      </w:tr>
      <w:tr>
        <w:trPr>
          <w:trHeight w:val="213"/>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4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13,401</w:t>
            </w:r>
          </w:p>
        </w:tc>
        <w:tc>
          <w:tcPr>
            <w:tcW w:w="100" w:type="dxa"/>
            <w:vAlign w:val="bottom"/>
            <w:shd w:val="clear" w:color="auto" w:fill="CFF0FC"/>
          </w:tcPr>
          <w:p>
            <w:pPr>
              <w:spacing w:after="0"/>
              <w:rPr>
                <w:sz w:val="19"/>
                <w:szCs w:val="19"/>
                <w:color w:val="auto"/>
              </w:rPr>
            </w:pPr>
          </w:p>
        </w:tc>
      </w:tr>
      <w:tr>
        <w:trPr>
          <w:trHeight w:val="213"/>
        </w:trPr>
        <w:tc>
          <w:tcPr>
            <w:tcW w:w="406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3,764</w:t>
            </w:r>
          </w:p>
        </w:tc>
        <w:tc>
          <w:tcPr>
            <w:tcW w:w="100" w:type="dxa"/>
            <w:vAlign w:val="bottom"/>
          </w:tcPr>
          <w:p>
            <w:pPr>
              <w:spacing w:after="0"/>
              <w:rPr>
                <w:sz w:val="18"/>
                <w:szCs w:val="18"/>
                <w:color w:val="auto"/>
              </w:rPr>
            </w:pPr>
          </w:p>
        </w:tc>
      </w:tr>
      <w:tr>
        <w:trPr>
          <w:trHeight w:val="219"/>
        </w:trPr>
        <w:tc>
          <w:tcPr>
            <w:tcW w:w="4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FF0FC"/>
          </w:tcPr>
          <w:p>
            <w:pPr>
              <w:spacing w:after="0"/>
              <w:rPr>
                <w:sz w:val="19"/>
                <w:szCs w:val="19"/>
                <w:color w:val="auto"/>
              </w:rPr>
            </w:pPr>
          </w:p>
        </w:tc>
      </w:tr>
      <w:tr>
        <w:trPr>
          <w:trHeight w:val="213"/>
        </w:trPr>
        <w:tc>
          <w:tcPr>
            <w:tcW w:w="406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1,765</w:t>
            </w:r>
          </w:p>
        </w:tc>
        <w:tc>
          <w:tcPr>
            <w:tcW w:w="100" w:type="dxa"/>
            <w:vAlign w:val="bottom"/>
          </w:tcPr>
          <w:p>
            <w:pPr>
              <w:spacing w:after="0"/>
              <w:rPr>
                <w:sz w:val="18"/>
                <w:szCs w:val="18"/>
                <w:color w:val="auto"/>
              </w:rPr>
            </w:pPr>
          </w:p>
        </w:tc>
      </w:tr>
      <w:tr>
        <w:trPr>
          <w:trHeight w:val="219"/>
        </w:trPr>
        <w:tc>
          <w:tcPr>
            <w:tcW w:w="40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w:t>
            </w:r>
          </w:p>
        </w:tc>
        <w:tc>
          <w:tcPr>
            <w:tcW w:w="100" w:type="dxa"/>
            <w:vAlign w:val="bottom"/>
            <w:shd w:val="clear" w:color="auto" w:fill="CFF0FC"/>
          </w:tcPr>
          <w:p>
            <w:pPr>
              <w:spacing w:after="0"/>
              <w:rPr>
                <w:sz w:val="19"/>
                <w:szCs w:val="19"/>
                <w:color w:val="auto"/>
              </w:rPr>
            </w:pPr>
          </w:p>
        </w:tc>
      </w:tr>
      <w:tr>
        <w:trPr>
          <w:trHeight w:val="213"/>
        </w:trPr>
        <w:tc>
          <w:tcPr>
            <w:tcW w:w="40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w:t>
            </w:r>
          </w:p>
        </w:tc>
        <w:tc>
          <w:tcPr>
            <w:tcW w:w="100" w:type="dxa"/>
            <w:vAlign w:val="bottom"/>
            <w:tcBorders>
              <w:bottom w:val="single" w:sz="8" w:color="CFF0FC"/>
            </w:tcBorders>
          </w:tcPr>
          <w:p>
            <w:pPr>
              <w:spacing w:after="0"/>
              <w:rPr>
                <w:sz w:val="18"/>
                <w:szCs w:val="18"/>
                <w:color w:val="auto"/>
              </w:rPr>
            </w:pPr>
          </w:p>
        </w:tc>
      </w:tr>
      <w:tr>
        <w:trPr>
          <w:trHeight w:val="212"/>
        </w:trPr>
        <w:tc>
          <w:tcPr>
            <w:tcW w:w="4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7,308</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9,543</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3,935</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24,719</w:t>
            </w:r>
          </w:p>
        </w:tc>
        <w:tc>
          <w:tcPr>
            <w:tcW w:w="100" w:type="dxa"/>
            <w:vAlign w:val="bottom"/>
            <w:shd w:val="clear" w:color="auto" w:fill="CFF0FC"/>
          </w:tcPr>
          <w:p>
            <w:pPr>
              <w:spacing w:after="0"/>
              <w:rPr>
                <w:sz w:val="18"/>
                <w:szCs w:val="18"/>
                <w:color w:val="auto"/>
              </w:rPr>
            </w:pPr>
          </w:p>
        </w:tc>
      </w:tr>
      <w:tr>
        <w:trPr>
          <w:trHeight w:val="247"/>
        </w:trPr>
        <w:tc>
          <w:tcPr>
            <w:tcW w:w="4060" w:type="dxa"/>
            <w:vAlign w:val="bottom"/>
          </w:tcPr>
          <w:p>
            <w:pPr>
              <w:spacing w:after="0"/>
              <w:rPr>
                <w:sz w:val="20"/>
                <w:szCs w:val="20"/>
                <w:color w:val="auto"/>
              </w:rPr>
            </w:pPr>
            <w:r>
              <w:rPr>
                <w:rFonts w:ascii="Arial" w:cs="Arial" w:eastAsia="Arial" w:hAnsi="Arial"/>
                <w:sz w:val="16"/>
                <w:szCs w:val="16"/>
                <w:b w:val="1"/>
                <w:bCs w:val="1"/>
                <w:color w:val="auto"/>
              </w:rPr>
              <w:t>Direct Vessel (Loss) Profit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(1,061)</w:t>
            </w: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3,243</w:t>
            </w:r>
          </w:p>
        </w:tc>
        <w:tc>
          <w:tcPr>
            <w:tcW w:w="22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4,425</w:t>
            </w:r>
          </w:p>
        </w:tc>
        <w:tc>
          <w:tcPr>
            <w:tcW w:w="24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4,898</w:t>
            </w:r>
          </w:p>
        </w:tc>
        <w:tc>
          <w:tcPr>
            <w:tcW w:w="24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11,505</w:t>
            </w:r>
          </w:p>
        </w:tc>
        <w:tc>
          <w:tcPr>
            <w:tcW w:w="100" w:type="dxa"/>
            <w:vAlign w:val="bottom"/>
          </w:tcPr>
          <w:p>
            <w:pPr>
              <w:spacing w:after="0"/>
              <w:rPr>
                <w:sz w:val="21"/>
                <w:szCs w:val="21"/>
                <w:color w:val="auto"/>
              </w:rPr>
            </w:pPr>
          </w:p>
        </w:tc>
      </w:tr>
      <w:tr>
        <w:trPr>
          <w:trHeight w:val="199"/>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6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716</w:t>
            </w:r>
          </w:p>
        </w:tc>
        <w:tc>
          <w:tcPr>
            <w:tcW w:w="140" w:type="dxa"/>
            <w:vAlign w:val="bottom"/>
          </w:tcPr>
          <w:p>
            <w:pPr>
              <w:spacing w:after="0"/>
              <w:rPr>
                <w:sz w:val="18"/>
                <w:szCs w:val="18"/>
                <w:color w:val="auto"/>
              </w:rPr>
            </w:pPr>
          </w:p>
        </w:tc>
        <w:tc>
          <w:tcPr>
            <w:tcW w:w="2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429</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8"/>
                <w:szCs w:val="18"/>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8,885</w:t>
            </w:r>
          </w:p>
        </w:tc>
        <w:tc>
          <w:tcPr>
            <w:tcW w:w="100" w:type="dxa"/>
            <w:vAlign w:val="bottom"/>
            <w:shd w:val="clear" w:color="auto" w:fill="CFF0FC"/>
          </w:tcPr>
          <w:p>
            <w:pPr>
              <w:spacing w:after="0"/>
              <w:rPr>
                <w:sz w:val="19"/>
                <w:szCs w:val="19"/>
                <w:color w:val="auto"/>
              </w:rPr>
            </w:pPr>
          </w:p>
        </w:tc>
      </w:tr>
      <w:tr>
        <w:trPr>
          <w:trHeight w:val="213"/>
        </w:trPr>
        <w:tc>
          <w:tcPr>
            <w:tcW w:w="40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6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4,961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3,785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4,379</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1,708</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14,833</w:t>
            </w:r>
          </w:p>
        </w:tc>
        <w:tc>
          <w:tcPr>
            <w:tcW w:w="100" w:type="dxa"/>
            <w:vAlign w:val="bottom"/>
            <w:tcBorders>
              <w:bottom w:val="single" w:sz="8" w:color="CFF0FC"/>
            </w:tcBorders>
          </w:tcPr>
          <w:p>
            <w:pPr>
              <w:spacing w:after="0"/>
              <w:rPr>
                <w:sz w:val="18"/>
                <w:szCs w:val="18"/>
                <w:color w:val="auto"/>
              </w:rPr>
            </w:pPr>
          </w:p>
        </w:tc>
      </w:tr>
      <w:tr>
        <w:trPr>
          <w:trHeight w:val="213"/>
        </w:trPr>
        <w:tc>
          <w:tcPr>
            <w:tcW w:w="4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24,918</w:t>
            </w:r>
          </w:p>
        </w:tc>
        <w:tc>
          <w:tcPr>
            <w:tcW w:w="100" w:type="dxa"/>
            <w:vAlign w:val="bottom"/>
            <w:shd w:val="clear" w:color="auto" w:fill="CFF0FC"/>
          </w:tcPr>
          <w:p>
            <w:pPr>
              <w:spacing w:after="0"/>
              <w:rPr>
                <w:sz w:val="18"/>
                <w:szCs w:val="18"/>
                <w:color w:val="auto"/>
              </w:rPr>
            </w:pPr>
          </w:p>
        </w:tc>
      </w:tr>
      <w:tr>
        <w:trPr>
          <w:trHeight w:val="207"/>
        </w:trPr>
        <w:tc>
          <w:tcPr>
            <w:tcW w:w="4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and Impairments</w:t>
            </w:r>
          </w:p>
        </w:tc>
        <w:tc>
          <w:tcPr>
            <w:tcW w:w="6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0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FF0FC"/>
            </w:tcBorders>
          </w:tcPr>
          <w:p>
            <w:pPr>
              <w:spacing w:after="0"/>
              <w:rPr>
                <w:sz w:val="17"/>
                <w:szCs w:val="17"/>
                <w:color w:val="auto"/>
              </w:rPr>
            </w:pPr>
          </w:p>
        </w:tc>
      </w:tr>
      <w:tr>
        <w:trPr>
          <w:trHeight w:val="20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(13,180)</w:t>
            </w: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United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3"/>
              </w:rPr>
              <w:t>States</w:t>
            </w: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and Europe,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Gulf of</w:t>
            </w: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Continuing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Mexico)</w:t>
            </w:r>
          </w:p>
        </w:tc>
        <w:tc>
          <w:tcPr>
            <w:tcW w:w="1200" w:type="dxa"/>
            <w:vAlign w:val="bottom"/>
            <w:gridSpan w:val="3"/>
          </w:tcPr>
          <w:p>
            <w:pPr>
              <w:jc w:val="center"/>
              <w:ind w:right="16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Asia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America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Nine Months Ended September 30, 2020</w:t>
            </w: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37,927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39,044</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16,268</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11,327</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37,418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40,274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16,797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12,777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12,617</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24,480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(Loss) Profit, from Continuing Operations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(1,290)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16,861</w:t>
            </w:r>
          </w:p>
        </w:tc>
        <w:tc>
          <w:tcPr>
            <w:tcW w:w="140" w:type="dxa"/>
            <w:vAlign w:val="bottom"/>
          </w:tcPr>
          <w:p>
            <w:pPr>
              <w:spacing w:after="0"/>
              <w:rPr>
                <w:sz w:val="21"/>
                <w:szCs w:val="21"/>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15,794</w:t>
            </w:r>
          </w:p>
        </w:tc>
        <w:tc>
          <w:tcPr>
            <w:tcW w:w="140" w:type="dxa"/>
            <w:vAlign w:val="bottom"/>
          </w:tcPr>
          <w:p>
            <w:pPr>
              <w:spacing w:after="0"/>
              <w:rPr>
                <w:sz w:val="21"/>
                <w:szCs w:val="21"/>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8,868</w:t>
            </w:r>
          </w:p>
        </w:tc>
        <w:tc>
          <w:tcPr>
            <w:tcW w:w="16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40,233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3,595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1,982</w:t>
            </w:r>
          </w:p>
        </w:tc>
        <w:tc>
          <w:tcPr>
            <w:tcW w:w="140" w:type="dxa"/>
            <w:vAlign w:val="bottom"/>
          </w:tcPr>
          <w:p>
            <w:pPr>
              <w:spacing w:after="0"/>
              <w:rPr>
                <w:sz w:val="18"/>
                <w:szCs w:val="18"/>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18"/>
                <w:szCs w:val="18"/>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15,573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10,700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12,090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3,557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79,166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(15,792)</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(54,725)</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September 30, 2020</w:t>
            </w:r>
          </w:p>
        </w:tc>
        <w:tc>
          <w:tcPr>
            <w:tcW w:w="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258,710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262,809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996,370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(128,390)</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(65,520)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(75,013)</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(11,545)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(280,468)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130,320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197,289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290,036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98,257</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715,902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172,218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231,211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312,622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175,164</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891,215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$119.2 million, and $46.8 million of discontinued operations as of September 30, 2020.</w:t>
      </w:r>
    </w:p>
    <w:p>
      <w:pPr>
        <w:spacing w:after="0" w:line="15" w:lineRule="exact"/>
        <w:rPr>
          <w:rFonts w:ascii="Arial" w:cs="Arial" w:eastAsia="Arial" w:hAnsi="Arial"/>
          <w:sz w:val="15"/>
          <w:szCs w:val="15"/>
          <w:color w:val="auto"/>
        </w:rPr>
      </w:pPr>
    </w:p>
    <w:p>
      <w:pPr>
        <w:jc w:val="both"/>
        <w:ind w:left="380" w:hanging="372"/>
        <w:spacing w:after="0" w:line="245" w:lineRule="auto"/>
        <w:tabs>
          <w:tab w:leader="none" w:pos="380" w:val="left"/>
        </w:tabs>
        <w:numPr>
          <w:ilvl w:val="0"/>
          <w:numId w:val="22"/>
        </w:numPr>
        <w:rPr>
          <w:rFonts w:ascii="Arial" w:cs="Arial" w:eastAsia="Arial" w:hAnsi="Arial"/>
          <w:sz w:val="14"/>
          <w:szCs w:val="14"/>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and Europe segment. As a result, for purposes of segment reporting European operations are now consolidated with Africa and reported as a consolidated segment and prior period information has been conformed to the new consolidated reporting segment.</w:t>
      </w:r>
    </w:p>
    <w:p>
      <w:pPr>
        <w:spacing w:after="0" w:line="17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21"/>
          <w:szCs w:val="21"/>
          <w:color w:val="auto"/>
        </w:rPr>
        <w:t>The Company’s investments in 50% or less owned companies, which are accounted for under the equity method, also contribute to its consolidated results of operations. As of September 30, 2021, and 2020, the Company’s investments, at equity and advances to 50% or less owned companies in its other 50% or less owned companies were $77.4 million and $84.7 million, respectively. Equity in gains (losses) earnings of 50% or less owned companies for the nine months ended September 30, 2021 and 2020 were $10.6 million and $1.5 million,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7" w:name="page28"/>
    <w:bookmarkEnd w:id="27"/>
    <w:p>
      <w:pPr>
        <w:ind w:left="920" w:hanging="912"/>
        <w:spacing w:after="0"/>
        <w:tabs>
          <w:tab w:leader="none" w:pos="92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DISCONTINUED OPERATIONS</w:t>
      </w:r>
    </w:p>
    <w:p>
      <w:pPr>
        <w:spacing w:after="0" w:line="21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On January 12, 2021, the Company completed the sale of Windcat Workboats, which was previously classified as assets held for sale. Following the completion of the sale, the Company has no continuing involvement in this business, which is considered a strategic shift in the Company’s operations. During the first twelve days of 2021, the Company recognized $0.2 million in net income from operations of Windcat Workboats that was utilized to calculate the gain on the sale of Windcat Workboats (see “Note. 2 Equipment Acquisitions and Dispositions”). Summarized selected operating result of the Company’s assets related to Windcat Workboats, previously classified as held for sale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272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w w:val="91"/>
              </w:rPr>
              <w:t>Three Months Ended 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Windcat Workboats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Operating Revenues: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8,764</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9,473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Arial" w:cs="Arial" w:eastAsia="Arial" w:hAnsi="Arial"/>
                <w:sz w:val="16"/>
                <w:szCs w:val="16"/>
                <w:color w:val="auto"/>
              </w:rPr>
              <w:t>Costs and Expenses: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240" w:type="dxa"/>
            <w:vAlign w:val="bottom"/>
          </w:tcPr>
          <w:p>
            <w:pPr>
              <w:spacing w:after="0"/>
              <w:rPr>
                <w:sz w:val="17"/>
                <w:szCs w:val="17"/>
                <w:color w:val="auto"/>
              </w:rPr>
            </w:pPr>
          </w:p>
        </w:tc>
        <w:tc>
          <w:tcPr>
            <w:tcW w:w="11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Pr>
          <w:p>
            <w:pPr>
              <w:spacing w:after="0"/>
              <w:rPr>
                <w:sz w:val="18"/>
                <w:szCs w:val="18"/>
                <w:color w:val="auto"/>
              </w:rPr>
            </w:pPr>
          </w:p>
        </w:tc>
        <w:tc>
          <w:tcPr>
            <w:tcW w:w="11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Lease Expense</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Depreciation</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7"/>
                <w:szCs w:val="17"/>
                <w:color w:val="auto"/>
              </w:rPr>
            </w:pPr>
          </w:p>
        </w:tc>
        <w:tc>
          <w:tcPr>
            <w:tcW w:w="11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11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(39)</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Foreign currency translation loss</w:t>
            </w:r>
          </w:p>
        </w:tc>
        <w:tc>
          <w:tcPr>
            <w:tcW w:w="24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00"/>
        </w:trPr>
        <w:tc>
          <w:tcPr>
            <w:tcW w:w="5520" w:type="dxa"/>
            <w:vAlign w:val="bottom"/>
          </w:tcPr>
          <w:p>
            <w:pPr>
              <w:spacing w:after="0"/>
              <w:rPr>
                <w:sz w:val="20"/>
                <w:szCs w:val="20"/>
                <w:color w:val="auto"/>
              </w:rPr>
            </w:pPr>
            <w:r>
              <w:rPr>
                <w:rFonts w:ascii="Arial" w:cs="Arial" w:eastAsia="Arial" w:hAnsi="Arial"/>
                <w:sz w:val="16"/>
                <w:szCs w:val="16"/>
                <w:color w:val="auto"/>
                <w:w w:val="97"/>
              </w:rPr>
              <w:t>Operating Loss Before Equity Earnings of 50% or Less Owned Companies, Net</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6"/>
                <w:szCs w:val="16"/>
                <w:color w:val="auto"/>
              </w:rPr>
              <w:t>of Tax</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1,612</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 (Benefit)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color w:val="auto"/>
              </w:rPr>
              <w:t>Operating Income Before Equity Earnings of 50% or Less Owned Companies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vMerge w:val="continue"/>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1,611</w:t>
            </w:r>
          </w:p>
        </w:tc>
        <w:tc>
          <w:tcPr>
            <w:tcW w:w="16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185</w:t>
            </w:r>
          </w:p>
        </w:tc>
        <w:tc>
          <w:tcPr>
            <w:tcW w:w="2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Equity in Earnings (Losses) of 50% or Less Owned Companies, Net of Tax</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color w:val="auto"/>
              </w:rPr>
              <w:t>Net Income from Discontinued Operations</w:t>
            </w: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vMerge w:val="continue"/>
          </w:tcPr>
          <w:p>
            <w:pPr>
              <w:spacing w:after="0"/>
              <w:rPr>
                <w:sz w:val="17"/>
                <w:szCs w:val="17"/>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720"/>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1,766</w:t>
            </w:r>
          </w:p>
        </w:tc>
        <w:tc>
          <w:tcPr>
            <w:tcW w:w="16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169</w:t>
            </w:r>
          </w:p>
        </w:tc>
        <w:tc>
          <w:tcPr>
            <w:tcW w:w="26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8" w:name="page29"/>
    <w:bookmarkEnd w:id="28"/>
    <w:p>
      <w:pPr>
        <w:jc w:val="both"/>
        <w:ind w:left="800" w:hanging="795"/>
        <w:spacing w:after="0" w:line="256" w:lineRule="auto"/>
        <w:rPr>
          <w:sz w:val="20"/>
          <w:szCs w:val="20"/>
          <w:color w:val="auto"/>
        </w:rPr>
      </w:pPr>
      <w:r>
        <w:rPr>
          <w:rFonts w:ascii="Arial" w:cs="Arial" w:eastAsia="Arial" w:hAnsi="Arial"/>
          <w:sz w:val="22"/>
          <w:szCs w:val="22"/>
          <w:b w:val="1"/>
          <w:bCs w:val="1"/>
          <w:color w:val="auto"/>
        </w:rPr>
        <w:t>ITEM 2.MANAGEMENT’S DISCUSSION AND ANALYSIS OF FINANCIAL CONDITION AND RESULTS OF OPERATIONS</w:t>
      </w:r>
    </w:p>
    <w:p>
      <w:pPr>
        <w:spacing w:after="0" w:line="12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2020 Annual Report on Form 10-K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3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The following analysis of the Company’s financial condition and results of operations should be read in conjunction with the unaudited consolidated financial statements and notes thereto included in this Quarterly Report on Form 10-Q, as well as “Management’s Discussion and Analysis of Financial Condition and Results of Operations” contained in the 2020 Annual Report.</w:t>
      </w:r>
    </w:p>
    <w:p>
      <w:pPr>
        <w:spacing w:after="0" w:line="144"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 provides global marine and support transportation services to offshore energy facilities worldwide. As of September 30, 2021, the Company and its joint ventures operated a diverse fleet of 82 support and specialty vessels, of which 55 were owned or leased-in, 25 were joint-ventured, and two were managed on behalf of unaffiliated third-parties. The primary users of the Company’s services are major integrated oil companies, large independent oil and natural gas exploration and production companies and emerging independent companies, as well as windfarm operations and installation contractors.</w:t>
      </w:r>
    </w:p>
    <w:p>
      <w:pPr>
        <w:spacing w:after="0" w:line="12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and its joint ventures operate and manage a diverse fleet of offshore support vessels that (i) deliver cargo and personnel to offshore installations including wind farms, (ii) handle anchors and mooring equipment required to tether rigs to the seabed, and assist in placing them on location and moving them between regions, (iii) provide construction, well work-over, maintenance and decommissioning support and (iv) carry and launch equipment used underwater in drilling and well installation, maintenance, inspection and repair. Additionally, the Company’s vessels provide accommodations for technicians and specialists. The Company operates its fleet in four principal geographic regions: the U.S., primarily in the Gulf of Mexico; Africa and Europe; the Middle East and Asia; and Latin America, primarily in Mexico, Brazil and Guyana. The Company’s vessels are highly mobile and regularly and routinely move between countries within a geographic region. In addition, the Company’s vessels are redeployed among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9" w:name="page30"/>
    <w:bookmarkEnd w:id="29"/>
    <w:p>
      <w:pPr>
        <w:jc w:val="both"/>
        <w:ind w:firstLine="749"/>
        <w:spacing w:after="0" w:line="244" w:lineRule="auto"/>
        <w:rPr>
          <w:sz w:val="20"/>
          <w:szCs w:val="20"/>
          <w:color w:val="auto"/>
        </w:rPr>
      </w:pPr>
      <w:r>
        <w:rPr>
          <w:rFonts w:ascii="Arial" w:cs="Arial" w:eastAsia="Arial" w:hAnsi="Arial"/>
          <w:sz w:val="21"/>
          <w:szCs w:val="21"/>
          <w:color w:val="auto"/>
        </w:rPr>
        <w:t>Offshore oil and natural gas market conditions are highly volatile. Prices deteriorated beginning in the second half of 2014 and continued to deteriorate when oil prices hit a thirteen-year low of less than $27 per barrel (on the New York Mercantile Exchange) in February 2016. Oil prices were as high as $76 per barrel in October 2018 and, during the beginning of COVID-19 pandemic in the U.S. and elsewhere throughout the globe, WTI front month oil prices were pushed for a short period of time to a new low of -$37.63 per barrel in April 2020 before recovering to $48 per barrel by year end. The Company has continued to experience difficult market conditions as the overall decline and continued volatility in oil and natural gas prices, have led to a general decrease in exploration and production activities, and a particular decrease in offshore drilling and associated activity. The Company’s operating results have been negatively impacted as oil and gas producing companies focused on cost reduction and cut capital spending budgets. Although the underlying commodity prices supporting activity have recovered substantially since year end 2020 with oil hitting a high of approximately $75 per barrel in September 2021, the risk of continued volatility in the commodity prices remains.</w:t>
      </w:r>
    </w:p>
    <w:p>
      <w:pPr>
        <w:spacing w:after="0" w:line="161"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The Company’s operations and financial results were adversely affected by the COVID-19 pandemic as a result of decreased demand and the increase in costs due to operational changes enacted to enhance crew and on-shore employee safety. However, the Company believes that it has sufficient liquidity to meet its obligations for the foreseeable future, especially after receipt of the proceeds from the sale of Windcat Workboats and the tax refund under the CARES Act. We are closely monitoring updates regarding the spread of COVID-19 and its variants, the distribution of vaccines developed to combat COVID-19, emerging governmental and other vaccine mandates and testing requirements, as well as the willingness of our employees to comply with such mandates and requirements. We are adjusting our operations according to guidelines from local, state and federal officials.</w:t>
      </w:r>
    </w:p>
    <w:p>
      <w:pPr>
        <w:spacing w:after="0" w:line="14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Certain macro drivers somewhat independent of oil and natural gas prices may support the Company’s business, including: (i) underspending by oil and gas producers during the current industry downturn leading to pent up demand for maintenance and growth capital expenditures; and (ii) improved extraction technologies. While alternative forms of energy may continue to grow and add to the world’s energy mix, for the foreseeable future, the Company believes demand for gasoline and oil will be sustained for some time, as will demand for electricity from natural gas. Some alternative forms of energy such as offshore wind facilities, have the potential to support, in part, the Company’s business. Low oil prices and the subsequent decline in offshore exploration have forced many operators in the industry to restructure or liquidate assets. The Company continues to closely monitor the delivery of newly built offshore support vessels to the industry-wide fleet, which has contributed to an oversaturated market,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2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September 30, 2021, seven of the Company’s 55 owned and leased-in, in-service vessels were cold-stacked worldwide.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0" w:name="page31"/>
    <w:bookmarkEnd w:id="30"/>
    <w:p>
      <w:pPr>
        <w:ind w:left="760"/>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u w:val="single" w:color="auto"/>
          <w:color w:val="auto"/>
        </w:rPr>
        <w:t>MEXMAR Offshore – Distribution.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July 23, 2021, the Company received a distribution from its MEXMAR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Offshore joint venture in the amount of $12.0 million of which $9.4 million was in excess of the Company’s investment in the joint venture of $2.6 million. </w:t>
      </w:r>
      <w:r>
        <w:rPr>
          <w:rFonts w:ascii="Arial" w:cs="Arial" w:eastAsia="Arial" w:hAnsi="Arial"/>
          <w:sz w:val="22"/>
          <w:szCs w:val="22"/>
          <w:color w:val="222222"/>
        </w:rPr>
        <w:t>The excess was recorded by the Company in the current quarter as a gain</w:t>
      </w:r>
      <w:r>
        <w:rPr>
          <w:rFonts w:ascii="Arial" w:cs="Arial" w:eastAsia="Arial" w:hAnsi="Arial"/>
          <w:sz w:val="22"/>
          <w:szCs w:val="22"/>
          <w:color w:val="auto"/>
        </w:rPr>
        <w:t xml:space="preserve"> from return of investments in 50% or less owned companies</w:t>
      </w:r>
      <w:r>
        <w:rPr>
          <w:rFonts w:ascii="Arial" w:cs="Arial" w:eastAsia="Arial" w:hAnsi="Arial"/>
          <w:sz w:val="22"/>
          <w:szCs w:val="22"/>
          <w:color w:val="222222"/>
        </w:rPr>
        <w:t>.</w:t>
      </w:r>
    </w:p>
    <w:p>
      <w:pPr>
        <w:spacing w:after="0" w:line="15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u w:val="single" w:color="auto"/>
          <w:color w:val="auto"/>
        </w:rPr>
        <w:t>Tarahumara Shipyard Financing</w:t>
      </w:r>
      <w:r>
        <w:rPr>
          <w:rFonts w:ascii="Arial" w:cs="Arial" w:eastAsia="Arial" w:hAnsi="Arial"/>
          <w:sz w:val="21"/>
          <w:szCs w:val="21"/>
          <w:color w:val="auto"/>
        </w:rPr>
        <w:t>. On July 9, 2021, SEACOR Marine LLC (“SMLLC”), an indirect subsidiary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SEACOR Marine, took delivery of the vessel named SEACOR Tarahumara, a 2021 new-build 221’ PSV. Effective upon such delivery and as partial consideration for the acquisition of the vessel, SMLLC entered into a loan agreement with Master Boat Builders, Inc. with respect to a term loan in the amount $6.5 million. This term loan matures in 2025 with interest-only payments for the first year, and then the loan fully amortizes on a straight line basis over the remaining term. The term loan bears interest at a fixed rate of 6% and is secured by a first lien mortgage on the vessel. SMLLC is the sole borrower under the loan agreement (the “Tarahumara Shipyard Financing”).</w:t>
      </w:r>
    </w:p>
    <w:p>
      <w:pPr>
        <w:spacing w:after="0" w:line="14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u w:val="single" w:color="auto"/>
          <w:color w:val="auto"/>
        </w:rPr>
        <w:t>Falcon Global Debt Payoff</w:t>
      </w:r>
      <w:r>
        <w:rPr>
          <w:rFonts w:ascii="Arial" w:cs="Arial" w:eastAsia="Arial" w:hAnsi="Arial"/>
          <w:sz w:val="21"/>
          <w:szCs w:val="21"/>
          <w:color w:val="auto"/>
        </w:rPr>
        <w:t>. On June 10, 2021, SEACOR Marine, FGUSA, and certain subsidiaries of FGUSA, entered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into the Conditional Payoff Agreement in respect of the (i) FGUSA Credit Facility and (ii) FGUSA Obligation Guaranty. As of June 10, 2021, there was $117.3 million of principal outstanding under the FGUSA Credit Facility.</w:t>
      </w:r>
    </w:p>
    <w:p>
      <w:pPr>
        <w:spacing w:after="0" w:line="61" w:lineRule="exact"/>
        <w:rPr>
          <w:sz w:val="20"/>
          <w:szCs w:val="20"/>
          <w:color w:val="auto"/>
        </w:rPr>
      </w:pPr>
    </w:p>
    <w:p>
      <w:pPr>
        <w:ind w:right="80" w:firstLine="1146"/>
        <w:spacing w:after="0" w:line="275" w:lineRule="auto"/>
        <w:rPr>
          <w:sz w:val="20"/>
          <w:szCs w:val="20"/>
          <w:color w:val="auto"/>
        </w:rPr>
      </w:pPr>
      <w:r>
        <w:rPr>
          <w:rFonts w:ascii="Arial" w:cs="Arial" w:eastAsia="Arial" w:hAnsi="Arial"/>
          <w:sz w:val="19"/>
          <w:szCs w:val="19"/>
          <w:color w:val="auto"/>
        </w:rPr>
        <w:t>Under the terms of the Conditional Payoff Agreement, the $117.3 million of principal outstanding was deemed satisfied in full following the payment to the lenders of a total of $50.0 million comprised of (i) $25.0 million paid the Company at the signing of the Conditional Payoff Agreement, (ii) $22.5 million of hull and machinery insurance proceeds paid on June 18, 2021 related to the SEACOR Power and (iii) $2.5 million paid by the Company on June 24, 2021 (the $2.5 million was subsequently reimbursed to the Company on June 29, 2021 from hull and machinery insurance proceeds). All payments required for the extinguishment of the debt pursuant to the Conditional Payoff Agreement were completed during the second quarter of 2021. Following the final payment on June 24, 2021, the FGUSA Credit Facility terminated, and the mortgages and security arrangements were released with respect to the nine liftboats securing the obligations under the FGUSA Credit Facility.</w:t>
      </w:r>
    </w:p>
    <w:p>
      <w:pPr>
        <w:spacing w:after="0" w:line="49" w:lineRule="exact"/>
        <w:rPr>
          <w:sz w:val="20"/>
          <w:szCs w:val="20"/>
          <w:color w:val="auto"/>
        </w:rPr>
      </w:pPr>
    </w:p>
    <w:p>
      <w:pPr>
        <w:ind w:right="160" w:firstLine="1146"/>
        <w:spacing w:after="0" w:line="250" w:lineRule="auto"/>
        <w:rPr>
          <w:sz w:val="20"/>
          <w:szCs w:val="20"/>
          <w:color w:val="auto"/>
        </w:rPr>
      </w:pPr>
      <w:r>
        <w:rPr>
          <w:rFonts w:ascii="Arial" w:cs="Arial" w:eastAsia="Arial" w:hAnsi="Arial"/>
          <w:sz w:val="22"/>
          <w:szCs w:val="22"/>
          <w:color w:val="auto"/>
        </w:rPr>
        <w:t>In the second quarter of 2021, the Company recognized a gain on the transactions contemplated by the Conditional Payoff Agreement of approximately $62.0 million.</w:t>
      </w:r>
    </w:p>
    <w:p>
      <w:pPr>
        <w:spacing w:after="0" w:line="67" w:lineRule="exact"/>
        <w:rPr>
          <w:sz w:val="20"/>
          <w:szCs w:val="20"/>
          <w:color w:val="auto"/>
        </w:rPr>
      </w:pPr>
    </w:p>
    <w:p>
      <w:pPr>
        <w:ind w:firstLine="1146"/>
        <w:spacing w:after="0" w:line="235" w:lineRule="auto"/>
        <w:rPr>
          <w:sz w:val="20"/>
          <w:szCs w:val="20"/>
          <w:color w:val="auto"/>
        </w:rPr>
      </w:pPr>
      <w:r>
        <w:rPr>
          <w:rFonts w:ascii="Arial" w:cs="Arial" w:eastAsia="Arial" w:hAnsi="Arial"/>
          <w:sz w:val="22"/>
          <w:szCs w:val="22"/>
          <w:b w:val="1"/>
          <w:bCs w:val="1"/>
          <w:i w:val="1"/>
          <w:iCs w:val="1"/>
          <w:u w:val="single" w:color="auto"/>
          <w:color w:val="auto"/>
        </w:rPr>
        <w:t>SEACOR Power</w:t>
      </w:r>
      <w:r>
        <w:rPr>
          <w:rFonts w:ascii="Arial" w:cs="Arial" w:eastAsia="Arial" w:hAnsi="Arial"/>
          <w:sz w:val="22"/>
          <w:szCs w:val="22"/>
          <w:color w:val="auto"/>
        </w:rPr>
        <w:t>. On April 13, 2021, the SEACOR Power, a liftboat owned by a subsidiary of the Company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nineteen individuals on board, capsized off the coast of Port Fourchon, Louisiana. The incident resulted in the death of several crew members, including the captain of the vessel. The incident also resulted in the constructive total loss of the SEACOR Power. The Company is responsible for the salvage operations related to the vessel and is coordinating these efforts with the U.S. Coast Guard. The salvage operations are currently ongoing and the Company expects salvage costs to be covered by insurance proceeds.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31" w:name="page32"/>
    <w:bookmarkEnd w:id="31"/>
    <w:p>
      <w:pPr>
        <w:ind w:firstLine="1153"/>
        <w:spacing w:after="0" w:line="272" w:lineRule="auto"/>
        <w:rPr>
          <w:sz w:val="20"/>
          <w:szCs w:val="20"/>
          <w:color w:val="auto"/>
        </w:rPr>
      </w:pPr>
      <w:r>
        <w:rPr>
          <w:rFonts w:ascii="Arial" w:cs="Arial" w:eastAsia="Arial" w:hAnsi="Arial"/>
          <w:sz w:val="19"/>
          <w:szCs w:val="19"/>
          <w:color w:val="auto"/>
        </w:rPr>
        <w:t>The capsizing of the SEACOR Power has garnered significant attention from the media as well as local, state and federal stakeholders. The National Transportation Safety Board (“NTSB”) and the U.S. Coast Guard are currently investigating the incident to determine the cause of the incident and the Company is fully cooperating with the investigation in all respects and continues to gather information about the incident. It is expected that the joint NTSB and U.S. Coast Guard investigation will take a significant period of time to complete, possibly as long as two years or longer. 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(“Limitation Action”), which has the effect of enjoining all existing civil lawsuits and requiring the plaintiffs to file their claims relating to the capsizing of the SEACOR Power in the Limitation Action. There is significant uncertainty in the amount and timing of costs and potential liabilities relating to the incident involving the SEACOR Power, the impact the incident will have on the Company’s reputation and the resulting possible impact on the Company’s business. See Part II. Item 1A. “Risk Factors” elsewhere in this Quarterly Report on Form 10-Q for further description.</w:t>
      </w:r>
    </w:p>
    <w:p>
      <w:pPr>
        <w:spacing w:after="0" w:line="53" w:lineRule="exact"/>
        <w:rPr>
          <w:sz w:val="20"/>
          <w:szCs w:val="20"/>
          <w:color w:val="auto"/>
        </w:rPr>
      </w:pPr>
    </w:p>
    <w:p>
      <w:pPr>
        <w:ind w:right="80" w:firstLine="1146"/>
        <w:spacing w:after="0" w:line="245" w:lineRule="auto"/>
        <w:rPr>
          <w:sz w:val="20"/>
          <w:szCs w:val="20"/>
          <w:color w:val="auto"/>
        </w:rPr>
      </w:pPr>
      <w:r>
        <w:rPr>
          <w:rFonts w:ascii="Arial" w:cs="Arial" w:eastAsia="Arial" w:hAnsi="Arial"/>
          <w:sz w:val="21"/>
          <w:szCs w:val="21"/>
          <w:b w:val="1"/>
          <w:bCs w:val="1"/>
          <w:i w:val="1"/>
          <w:iCs w:val="1"/>
          <w:u w:val="single" w:color="auto"/>
          <w:color w:val="auto"/>
        </w:rPr>
        <w:t>Sale of Windcat Workboats.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On January 12, 2021, a wholly-owned subsidiary of the Company, completed the sale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the Windcat Workboats crew transfer vessel (“CTV”) business through the sale of 100% of the equity of Windcat Workboats (together with its subsidiaries, the “Windcat Group”), to CMB N.V. (the “Windcat Buyer”) pursuant to a Sale and Purchase Agreement entered into on December 18, 2020 (the “Windcat Sale”). At closing, the Windcat Buyer paid to the Company an aggregate purchase price of £32.8 million. After deducting transaction costs and expenses and giving effect to foreign exchange rate hedges, the Company received net cash proceeds of approximately US$42.6 million. The Windcat Buyer also assumed all of the approximately £20.4 million of debt outstanding under Windcat Holdings’ existing revolving credit facility. The Windcat Group owned a total of 41 CTVs and held interests in an additional five CTVs through its joint ventures, all of which were included in the Windcat Sale.</w:t>
      </w:r>
    </w:p>
    <w:p>
      <w:pPr>
        <w:spacing w:after="0" w:line="18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b w:val="1"/>
          <w:bCs w:val="1"/>
          <w:i w:val="1"/>
          <w:iCs w:val="1"/>
          <w:u w:val="single" w:color="auto"/>
          <w:color w:val="auto"/>
        </w:rPr>
        <w:t>Tax Refund Agreement</w:t>
      </w:r>
      <w:r>
        <w:rPr>
          <w:rFonts w:ascii="Arial" w:cs="Arial" w:eastAsia="Arial" w:hAnsi="Arial"/>
          <w:sz w:val="22"/>
          <w:szCs w:val="22"/>
          <w:color w:val="auto"/>
        </w:rPr>
        <w:t>. On June 26, 2020, the Company entered into the Tax Refund Agreement with SEACOR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Holdings. The Tax Refund Agreement enabled the Company to utilize NOLs generated in 2018 and 2019 to claim refunds for tax years prior to the Company’s spin-off from SEACOR Holdings in 2017 (at which time the Company was included in SEACOR Holdings consolidated tax returns) that are now permitted to be carried back pursuant to the provisions of the CARES Act and for which SEACOR Holdings needs to claim the refund on behalf of the Company. As a result, the Company received an aggregate amount of cash tax refunds of $32.3 million (including $1.1 million of interest paid by the IRS in respect of refund payment delays), of which $12.5 million was received prior to March 31, 2021 and the remaining $19.8 million was received in April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7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The sections below provide an analysis of the Company’s results of operations for the three and nine months (“Current Year Quarter” and “Current Year Nine Months”) ended September 30, 2021 compared with the three and nine months (“Prior Year Quarter” and “Prior Year Nine Months”) ended September 30, 2020. For the periods indicated, the Company’s consolidated results of operations were as follows (in thousands, except statistics):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Average Rates Per Day</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12,120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11,051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11,837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10,897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Utilization</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w:t>
            </w: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54%</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63%</w:t>
            </w: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56%</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Fleet Available Days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5,108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5,807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15,790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16,426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41,782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34,822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117,546</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96%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100,760</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2,123</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1,881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726</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4,265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2,933</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line="20" w:lineRule="exact"/>
              <w:rPr>
                <w:sz w:val="1"/>
                <w:szCs w:val="1"/>
                <w:color w:val="auto"/>
              </w:rPr>
            </w:pPr>
          </w:p>
        </w:tc>
      </w:tr>
      <w:tr>
        <w:trPr>
          <w:trHeight w:val="213"/>
        </w:trPr>
        <w:tc>
          <w:tcPr>
            <w:tcW w:w="40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43,663</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36,224</w:t>
            </w:r>
          </w:p>
        </w:tc>
        <w:tc>
          <w:tcPr>
            <w:tcW w:w="260" w:type="dxa"/>
            <w:vAlign w:val="bottom"/>
            <w:shd w:val="clear" w:color="auto" w:fill="CFF0FC"/>
          </w:tcPr>
          <w:p>
            <w:pPr>
              <w:spacing w:after="0"/>
              <w:rPr>
                <w:sz w:val="18"/>
                <w:szCs w:val="18"/>
                <w:color w:val="auto"/>
              </w:rPr>
            </w:pPr>
          </w:p>
        </w:tc>
        <w:tc>
          <w:tcPr>
            <w:tcW w:w="680" w:type="dxa"/>
            <w:vAlign w:val="bottom"/>
            <w:gridSpan w:val="2"/>
            <w:vMerge w:val="continue"/>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122,974</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105,816</w:t>
            </w:r>
          </w:p>
        </w:tc>
        <w:tc>
          <w:tcPr>
            <w:tcW w:w="240" w:type="dxa"/>
            <w:vAlign w:val="bottom"/>
            <w:shd w:val="clear" w:color="auto" w:fill="CFF0FC"/>
          </w:tcPr>
          <w:p>
            <w:pPr>
              <w:spacing w:after="0"/>
              <w:rPr>
                <w:sz w:val="18"/>
                <w:szCs w:val="18"/>
                <w:color w:val="auto"/>
              </w:rPr>
            </w:pPr>
          </w:p>
        </w:tc>
        <w:tc>
          <w:tcPr>
            <w:tcW w:w="5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color w:val="auto"/>
              </w:rPr>
              <w:t>Costs and Expenses:</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500"/>
              <w:spacing w:after="0"/>
              <w:rPr>
                <w:sz w:val="20"/>
                <w:szCs w:val="20"/>
                <w:color w:val="auto"/>
              </w:rPr>
            </w:pPr>
            <w:r>
              <w:rPr>
                <w:rFonts w:ascii="Arial" w:cs="Arial" w:eastAsia="Arial" w:hAnsi="Arial"/>
                <w:sz w:val="16"/>
                <w:szCs w:val="16"/>
                <w:color w:val="auto"/>
              </w:rPr>
              <w:t>Personnel</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15,051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13,401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42,822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35,291</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Repairs and maintenance</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6,536</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3,764</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17,335</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11,216</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4040" w:type="dxa"/>
            <w:vAlign w:val="bottom"/>
          </w:tcPr>
          <w:p>
            <w:pPr>
              <w:ind w:left="500"/>
              <w:spacing w:after="0"/>
              <w:rPr>
                <w:sz w:val="20"/>
                <w:szCs w:val="20"/>
                <w:color w:val="auto"/>
              </w:rPr>
            </w:pPr>
            <w:r>
              <w:rPr>
                <w:rFonts w:ascii="Arial" w:cs="Arial" w:eastAsia="Arial" w:hAnsi="Arial"/>
                <w:sz w:val="16"/>
                <w:szCs w:val="16"/>
                <w:color w:val="auto"/>
              </w:rPr>
              <w:t>Drydocking</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5,780</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2,516</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Insurance and loss reserves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2,189</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6,808</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4,094</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040" w:type="dxa"/>
            <w:vAlign w:val="bottom"/>
          </w:tcPr>
          <w:p>
            <w:pPr>
              <w:ind w:left="500"/>
              <w:spacing w:after="0"/>
              <w:rPr>
                <w:sz w:val="20"/>
                <w:szCs w:val="20"/>
                <w:color w:val="auto"/>
              </w:rPr>
            </w:pPr>
            <w:r>
              <w:rPr>
                <w:rFonts w:ascii="Arial" w:cs="Arial" w:eastAsia="Arial" w:hAnsi="Arial"/>
                <w:sz w:val="16"/>
                <w:szCs w:val="16"/>
                <w:color w:val="auto"/>
              </w:rPr>
              <w:t>Fuel, lubes and supplies</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3,684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2,131</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8,779</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6,047</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5,217</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3,073</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10,846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6,419</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33,448</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24,719</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68%</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92,370</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65,583</w:t>
            </w:r>
          </w:p>
        </w:tc>
        <w:tc>
          <w:tcPr>
            <w:tcW w:w="2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 - operating</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1,200</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5,727</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04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9,134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8,885</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26,897</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31,519</w:t>
            </w:r>
          </w:p>
        </w:tc>
        <w:tc>
          <w:tcPr>
            <w:tcW w:w="2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14,306</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14,833</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43,197</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41,920</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57,997</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133%</w:t>
            </w: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49,637</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137%</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165,885</w:t>
            </w:r>
          </w:p>
        </w:tc>
        <w:tc>
          <w:tcPr>
            <w:tcW w:w="260" w:type="dxa"/>
            <w:vAlign w:val="bottom"/>
            <w:tcBorders>
              <w:bottom w:val="single" w:sz="8" w:color="CFF0FC"/>
            </w:tcBorders>
          </w:tcPr>
          <w:p>
            <w:pPr>
              <w:spacing w:after="0"/>
              <w:rPr>
                <w:sz w:val="17"/>
                <w:szCs w:val="17"/>
                <w:color w:val="auto"/>
              </w:rPr>
            </w:pPr>
          </w:p>
        </w:tc>
        <w:tc>
          <w:tcPr>
            <w:tcW w:w="6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6"/>
                <w:szCs w:val="16"/>
                <w:color w:val="auto"/>
              </w:rPr>
              <w:t>135%</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144,749</w:t>
            </w:r>
          </w:p>
        </w:tc>
        <w:tc>
          <w:tcPr>
            <w:tcW w:w="240" w:type="dxa"/>
            <w:vAlign w:val="bottom"/>
            <w:tcBorders>
              <w:bottom w:val="single" w:sz="8" w:color="CFF0FC"/>
            </w:tcBorders>
          </w:tcPr>
          <w:p>
            <w:pPr>
              <w:spacing w:after="0"/>
              <w:rPr>
                <w:sz w:val="17"/>
                <w:szCs w:val="17"/>
                <w:color w:val="auto"/>
              </w:rPr>
            </w:pPr>
          </w:p>
        </w:tc>
        <w:tc>
          <w:tcPr>
            <w:tcW w:w="58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Gain (Loss) on Asset Dispositions and Impairments,</w:t>
            </w: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Net</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20,436</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(15,792)</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(33)%</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(36)%</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(18)%</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(52)%</w:t>
            </w:r>
          </w:p>
        </w:tc>
        <w:tc>
          <w:tcPr>
            <w:tcW w:w="0" w:type="dxa"/>
            <w:vAlign w:val="bottom"/>
          </w:tcPr>
          <w:p>
            <w:pPr>
              <w:spacing w:after="0" w:line="20" w:lineRule="exact"/>
              <w:rPr>
                <w:sz w:val="1"/>
                <w:szCs w:val="1"/>
                <w:color w:val="auto"/>
              </w:rPr>
            </w:pPr>
          </w:p>
        </w:tc>
      </w:tr>
      <w:tr>
        <w:trPr>
          <w:trHeight w:val="207"/>
        </w:trPr>
        <w:tc>
          <w:tcPr>
            <w:tcW w:w="4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(14,278)</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(13,180)</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(22,475)</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(54,725)</w:t>
            </w: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3,410</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(9,195)</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50,451</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(16,031)</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0"/>
        </w:trPr>
        <w:tc>
          <w:tcPr>
            <w:tcW w:w="4040" w:type="dxa"/>
            <w:vAlign w:val="bottom"/>
          </w:tcPr>
          <w:p>
            <w:pPr>
              <w:spacing w:after="0"/>
              <w:rPr>
                <w:sz w:val="20"/>
                <w:szCs w:val="20"/>
                <w:color w:val="auto"/>
              </w:rPr>
            </w:pPr>
            <w:r>
              <w:rPr>
                <w:rFonts w:ascii="Arial" w:cs="Arial" w:eastAsia="Arial" w:hAnsi="Arial"/>
                <w:sz w:val="16"/>
                <w:szCs w:val="16"/>
                <w:color w:val="auto"/>
              </w:rPr>
              <w:t>(Loss) Income from Continuing Operations Before</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Income Tax Benefit and Equity in Earnings of 50%</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6"/>
                <w:szCs w:val="16"/>
                <w:color w:val="auto"/>
              </w:rPr>
              <w:t>or Less Owned Companies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(10,868)</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(22,375)</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27,976</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(70,756)</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 Expense</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(725)</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(3,120)</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12,502</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(24,789)</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0"/>
        </w:trPr>
        <w:tc>
          <w:tcPr>
            <w:tcW w:w="4040" w:type="dxa"/>
            <w:vAlign w:val="bottom"/>
          </w:tcPr>
          <w:p>
            <w:pPr>
              <w:spacing w:after="0"/>
              <w:rPr>
                <w:sz w:val="20"/>
                <w:szCs w:val="20"/>
                <w:color w:val="auto"/>
              </w:rPr>
            </w:pPr>
            <w:r>
              <w:rPr>
                <w:rFonts w:ascii="Arial" w:cs="Arial" w:eastAsia="Arial" w:hAnsi="Arial"/>
                <w:sz w:val="16"/>
                <w:szCs w:val="16"/>
                <w:color w:val="auto"/>
              </w:rPr>
              <w:t>(Loss) Income from Continuing Operations Before</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Equity in Earnings of 50% or Less Owned</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6"/>
                <w:szCs w:val="16"/>
                <w:color w:val="auto"/>
              </w:rPr>
              <w:t>Companies</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(10,143)</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(19,255)</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15,474</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(45,967)</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Equity in Gains (Losses) of 50% or Less Owned</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Companies</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4,314</w:t>
            </w:r>
          </w:p>
        </w:tc>
        <w:tc>
          <w:tcPr>
            <w:tcW w:w="26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(588)</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10,584</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1,518</w:t>
            </w:r>
          </w:p>
        </w:tc>
        <w:tc>
          <w:tcPr>
            <w:tcW w:w="24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6"/>
                <w:szCs w:val="16"/>
                <w:color w:val="auto"/>
              </w:rPr>
              <w:t>(Loss) Income from Continuing Operations</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(13)%</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(55)%</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21%</w:t>
            </w: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line="20" w:lineRule="exact"/>
              <w:rPr>
                <w:sz w:val="1"/>
                <w:szCs w:val="1"/>
                <w:color w:val="auto"/>
              </w:rPr>
            </w:pPr>
          </w:p>
        </w:tc>
      </w:tr>
      <w:tr>
        <w:trPr>
          <w:trHeight w:val="206"/>
        </w:trPr>
        <w:tc>
          <w:tcPr>
            <w:tcW w:w="4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(5,829)</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(19,843)</w:t>
            </w: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26,058</w:t>
            </w:r>
          </w:p>
        </w:tc>
        <w:tc>
          <w:tcPr>
            <w:tcW w:w="2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(44,449)</w:t>
            </w:r>
          </w:p>
        </w:tc>
        <w:tc>
          <w:tcPr>
            <w:tcW w:w="5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1,766</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22,925</w:t>
            </w:r>
          </w:p>
        </w:tc>
        <w:tc>
          <w:tcPr>
            <w:tcW w:w="2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w:t>
            </w:r>
          </w:p>
        </w:tc>
        <w:tc>
          <w:tcPr>
            <w:tcW w:w="2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(5,829)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(18,077)</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48,983</w:t>
            </w:r>
          </w:p>
        </w:tc>
        <w:tc>
          <w:tcPr>
            <w:tcW w:w="2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(44,135)</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9"/>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Net Gain (Loss) attributable to Noncontrolling</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Interests in Subsidiaries</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(4,036)</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0"/>
        </w:trPr>
        <w:tc>
          <w:tcPr>
            <w:tcW w:w="4040" w:type="dxa"/>
            <w:vAlign w:val="bottom"/>
          </w:tcPr>
          <w:p>
            <w:pPr>
              <w:spacing w:after="0"/>
              <w:rPr>
                <w:sz w:val="20"/>
                <w:szCs w:val="20"/>
                <w:color w:val="auto"/>
              </w:rPr>
            </w:pPr>
            <w:r>
              <w:rPr>
                <w:rFonts w:ascii="Arial" w:cs="Arial" w:eastAsia="Arial" w:hAnsi="Arial"/>
                <w:sz w:val="16"/>
                <w:szCs w:val="16"/>
                <w:color w:val="auto"/>
              </w:rPr>
              <w:t>Net (Loss) Income attributable to SEACOR Marine</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Arial" w:cs="Arial" w:eastAsia="Arial" w:hAnsi="Arial"/>
                <w:sz w:val="16"/>
                <w:szCs w:val="16"/>
                <w:color w:val="auto"/>
              </w:rPr>
              <w:t>Holdings Inc.</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(5,829)</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(18,081)</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48,982</w:t>
            </w:r>
          </w:p>
        </w:tc>
        <w:tc>
          <w:tcPr>
            <w:tcW w:w="2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(40,099)</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Direct Vessel Profit. </w:t>
      </w:r>
      <w:r>
        <w:rPr>
          <w:rFonts w:ascii="Arial" w:cs="Arial" w:eastAsia="Arial" w:hAnsi="Arial"/>
          <w:sz w:val="21"/>
          <w:szCs w:val="21"/>
          <w:color w:val="auto"/>
        </w:rPr>
        <w:t>Direct vessel profit (defined as operating revenues less operating expenses excluding leased-in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equipment, “DVP”) is the Company’s measure of segment profitability when applied to reportable segments and a non-GAAP measure when applied to individual vessels, fleet categories or the combined fleet. DVP is a critical financial measure used by the Company to analyze and compare the operating performance of its individual vessels, fleet categories, regions and combined fleet, without regard to financing decisions (depreciation and interest expense for owned vessel vs. lease expense for leased-in vessels). DVP is also useful when comparing the Company’s fleet’s performance against those of its competitors who may have differing fleet financing structures.</w:t>
      </w:r>
    </w:p>
    <w:p>
      <w:pPr>
        <w:sectPr>
          <w:pgSz w:w="11900" w:h="16838" w:orient="portrait"/>
          <w:cols w:equalWidth="0" w:num="1">
            <w:col w:w="11240"/>
          </w:cols>
          <w:pgMar w:left="320" w:top="111"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3" w:name="page34"/>
    <w:bookmarkEnd w:id="33"/>
    <w:p>
      <w:pPr>
        <w:jc w:val="both"/>
        <w:ind w:firstLine="749"/>
        <w:spacing w:after="0" w:line="238" w:lineRule="auto"/>
        <w:rPr>
          <w:sz w:val="20"/>
          <w:szCs w:val="20"/>
          <w:color w:val="auto"/>
        </w:rPr>
      </w:pPr>
      <w:r>
        <w:rPr>
          <w:rFonts w:ascii="Arial" w:cs="Arial" w:eastAsia="Arial" w:hAnsi="Arial"/>
          <w:sz w:val="22"/>
          <w:szCs w:val="22"/>
          <w:color w:val="auto"/>
        </w:rPr>
        <w:t>DVP by region and by vessel class has material limitations as an analytical tool in that it does not reflect all of the costs associated with the operation of the Company’s fleet and it should not be considered in isolation or used as a substitute for the Company’s results as reported under GAAP. A reconciliation of DVP by region and by vessel class to operating loss, its most comparable GAAP measure, is included in the tables below.</w:t>
      </w:r>
    </w:p>
    <w:p>
      <w:pPr>
        <w:spacing w:after="0" w:line="15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Africa</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0"/>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9"/>
                <w:szCs w:val="19"/>
                <w:color w:val="auto"/>
              </w:rPr>
            </w:pPr>
          </w:p>
        </w:tc>
        <w:tc>
          <w:tcPr>
            <w:tcW w:w="1340" w:type="dxa"/>
            <w:vAlign w:val="bottom"/>
            <w:gridSpan w:val="3"/>
          </w:tcPr>
          <w:p>
            <w:pPr>
              <w:jc w:val="right"/>
              <w:ind w:right="320"/>
              <w:spacing w:after="0" w:line="220" w:lineRule="exact"/>
              <w:rPr>
                <w:sz w:val="20"/>
                <w:szCs w:val="20"/>
                <w:color w:val="auto"/>
              </w:rPr>
            </w:pPr>
            <w:r>
              <w:rPr>
                <w:rFonts w:ascii="Arial" w:cs="Arial" w:eastAsia="Arial" w:hAnsi="Arial"/>
                <w:sz w:val="15"/>
                <w:szCs w:val="15"/>
                <w:b w:val="1"/>
                <w:bCs w:val="1"/>
                <w:color w:val="auto"/>
                <w:w w:val="93"/>
              </w:rPr>
              <w:t xml:space="preserve">and Europe </w:t>
            </w:r>
            <w:r>
              <w:rPr>
                <w:rFonts w:ascii="Arial" w:cs="Arial" w:eastAsia="Arial" w:hAnsi="Arial"/>
                <w:sz w:val="25"/>
                <w:szCs w:val="25"/>
                <w:b w:val="1"/>
                <w:bCs w:val="1"/>
                <w:color w:val="auto"/>
                <w:w w:val="93"/>
                <w:vertAlign w:val="superscript"/>
              </w:rPr>
              <w:t>(1)</w:t>
            </w:r>
          </w:p>
        </w:tc>
        <w:tc>
          <w:tcPr>
            <w:tcW w:w="1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September 30,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18,702</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10,374</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16,240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12,120</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92%</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5,108</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5,289</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13,417</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41,782</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1,215</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(429)</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1,881</w:t>
            </w:r>
          </w:p>
        </w:tc>
        <w:tc>
          <w:tcPr>
            <w:tcW w:w="140" w:type="dxa"/>
            <w:vAlign w:val="bottom"/>
            <w:shd w:val="clear" w:color="auto" w:fill="CFF0FC"/>
          </w:tcPr>
          <w:p>
            <w:pPr>
              <w:spacing w:after="0"/>
              <w:rPr>
                <w:sz w:val="18"/>
                <w:szCs w:val="18"/>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10,017</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13,502</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13,640</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43,663</w:t>
            </w:r>
          </w:p>
        </w:tc>
        <w:tc>
          <w:tcPr>
            <w:tcW w:w="140" w:type="dxa"/>
            <w:vAlign w:val="bottom"/>
            <w:tcBorders>
              <w:bottom w:val="single" w:sz="8" w:color="CFF0FC"/>
            </w:tcBorders>
          </w:tcPr>
          <w:p>
            <w:pPr>
              <w:spacing w:after="0"/>
              <w:rPr>
                <w:sz w:val="18"/>
                <w:szCs w:val="18"/>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15,051</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6,536</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2,189</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3,684</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1,424</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2,823</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5,217</w:t>
            </w:r>
          </w:p>
        </w:tc>
        <w:tc>
          <w:tcPr>
            <w:tcW w:w="140" w:type="dxa"/>
            <w:vAlign w:val="bottom"/>
            <w:tcBorders>
              <w:bottom w:val="single" w:sz="8" w:color="CFF0FC"/>
            </w:tcBorders>
          </w:tcPr>
          <w:p>
            <w:pPr>
              <w:spacing w:after="0"/>
              <w:rPr>
                <w:sz w:val="18"/>
                <w:szCs w:val="18"/>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4,801</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8,402</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11,922</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8,323</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33,448</w:t>
            </w:r>
          </w:p>
        </w:tc>
        <w:tc>
          <w:tcPr>
            <w:tcW w:w="140" w:type="dxa"/>
            <w:vAlign w:val="bottom"/>
            <w:shd w:val="clear" w:color="auto" w:fill="CFF0FC"/>
          </w:tcPr>
          <w:p>
            <w:pPr>
              <w:spacing w:after="0"/>
              <w:rPr>
                <w:sz w:val="18"/>
                <w:szCs w:val="18"/>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1,703</w:t>
            </w:r>
          </w:p>
        </w:tc>
        <w:tc>
          <w:tcPr>
            <w:tcW w:w="200" w:type="dxa"/>
            <w:vAlign w:val="bottom"/>
          </w:tcPr>
          <w:p>
            <w:pPr>
              <w:spacing w:after="0"/>
              <w:rPr>
                <w:sz w:val="21"/>
                <w:szCs w:val="21"/>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1,615</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1,580</w:t>
            </w:r>
          </w:p>
        </w:tc>
        <w:tc>
          <w:tcPr>
            <w:tcW w:w="2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5,317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10,215</w:t>
            </w:r>
          </w:p>
        </w:tc>
        <w:tc>
          <w:tcPr>
            <w:tcW w:w="140" w:type="dxa"/>
            <w:vAlign w:val="bottom"/>
          </w:tcPr>
          <w:p>
            <w:pPr>
              <w:spacing w:after="0"/>
              <w:rPr>
                <w:sz w:val="21"/>
                <w:szCs w:val="21"/>
                <w:color w:val="auto"/>
              </w:rPr>
            </w:pPr>
          </w:p>
        </w:tc>
      </w:tr>
      <w:tr>
        <w:trPr>
          <w:trHeight w:val="196"/>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621</w:t>
            </w:r>
          </w:p>
        </w:tc>
        <w:tc>
          <w:tcPr>
            <w:tcW w:w="200" w:type="dxa"/>
            <w:vAlign w:val="bottom"/>
          </w:tcPr>
          <w:p>
            <w:pPr>
              <w:spacing w:after="0"/>
              <w:rPr>
                <w:sz w:val="18"/>
                <w:szCs w:val="18"/>
                <w:color w:val="auto"/>
              </w:rPr>
            </w:pPr>
          </w:p>
        </w:tc>
        <w:tc>
          <w:tcPr>
            <w:tcW w:w="26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284</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377</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1,109</w:t>
            </w:r>
          </w:p>
        </w:tc>
        <w:tc>
          <w:tcPr>
            <w:tcW w:w="140" w:type="dxa"/>
            <w:vAlign w:val="bottom"/>
          </w:tcPr>
          <w:p>
            <w:pPr>
              <w:spacing w:after="0"/>
              <w:rPr>
                <w:sz w:val="18"/>
                <w:szCs w:val="18"/>
                <w:color w:val="auto"/>
              </w:rPr>
            </w:pPr>
          </w:p>
        </w:tc>
      </w:tr>
      <w:tr>
        <w:trPr>
          <w:trHeight w:val="24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9,134</w:t>
            </w:r>
          </w:p>
        </w:tc>
        <w:tc>
          <w:tcPr>
            <w:tcW w:w="140" w:type="dxa"/>
            <w:vAlign w:val="bottom"/>
            <w:shd w:val="clear" w:color="auto" w:fill="CFF0FC"/>
          </w:tcPr>
          <w:p>
            <w:pPr>
              <w:spacing w:after="0"/>
              <w:rPr>
                <w:sz w:val="21"/>
                <w:szCs w:val="2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3,936</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3,296</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4,456</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2,618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14,306</w:t>
            </w:r>
          </w:p>
        </w:tc>
        <w:tc>
          <w:tcPr>
            <w:tcW w:w="140" w:type="dxa"/>
            <w:vAlign w:val="bottom"/>
            <w:tcBorders>
              <w:bottom w:val="single" w:sz="8" w:color="CFF0FC"/>
            </w:tcBorders>
          </w:tcPr>
          <w:p>
            <w:pPr>
              <w:spacing w:after="0"/>
              <w:rPr>
                <w:sz w:val="18"/>
                <w:szCs w:val="18"/>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24,549</w:t>
            </w:r>
          </w:p>
        </w:tc>
        <w:tc>
          <w:tcPr>
            <w:tcW w:w="140" w:type="dxa"/>
            <w:vAlign w:val="bottom"/>
            <w:shd w:val="clear" w:color="auto" w:fill="CFF0FC"/>
          </w:tcPr>
          <w:p>
            <w:pPr>
              <w:spacing w:after="0"/>
              <w:rPr>
                <w:sz w:val="18"/>
                <w:szCs w:val="18"/>
                <w:color w:val="auto"/>
              </w:rPr>
            </w:pPr>
          </w:p>
        </w:tc>
      </w:tr>
      <w:tr>
        <w:trPr>
          <w:trHeight w:val="206"/>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8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CFF0FC"/>
            </w:tcBorders>
          </w:tcPr>
          <w:p>
            <w:pPr>
              <w:spacing w:after="0"/>
              <w:rPr>
                <w:sz w:val="17"/>
                <w:szCs w:val="17"/>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(14,278)</w:t>
            </w: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130" w:lineRule="exact"/>
        <w:rPr>
          <w:sz w:val="20"/>
          <w:szCs w:val="20"/>
          <w:color w:val="auto"/>
        </w:rPr>
      </w:pPr>
    </w:p>
    <w:p>
      <w:pPr>
        <w:jc w:val="both"/>
        <w:ind w:left="740" w:hanging="368"/>
        <w:spacing w:after="0" w:line="264" w:lineRule="auto"/>
        <w:tabs>
          <w:tab w:leader="none" w:pos="7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 and prior period information has been conformed to the new consolidated reporting segment.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line="220" w:lineRule="exact"/>
              <w:rPr>
                <w:sz w:val="20"/>
                <w:szCs w:val="20"/>
                <w:color w:val="auto"/>
              </w:rPr>
            </w:pPr>
            <w:r>
              <w:rPr>
                <w:rFonts w:ascii="Arial" w:cs="Arial" w:eastAsia="Arial" w:hAnsi="Arial"/>
                <w:sz w:val="15"/>
                <w:szCs w:val="15"/>
                <w:b w:val="1"/>
                <w:bCs w:val="1"/>
                <w:color w:val="auto"/>
                <w:w w:val="94"/>
              </w:rPr>
              <w:t xml:space="preserve">Mexico) </w:t>
            </w:r>
            <w:r>
              <w:rPr>
                <w:rFonts w:ascii="Arial" w:cs="Arial" w:eastAsia="Arial" w:hAnsi="Arial"/>
                <w:sz w:val="25"/>
                <w:szCs w:val="25"/>
                <w:b w:val="1"/>
                <w:bCs w:val="1"/>
                <w:color w:val="auto"/>
                <w:w w:val="94"/>
                <w:vertAlign w:val="superscript"/>
              </w:rPr>
              <w:t>(3)</w:t>
            </w:r>
          </w:p>
        </w:tc>
        <w:tc>
          <w:tcPr>
            <w:tcW w:w="80" w:type="dxa"/>
            <w:vAlign w:val="bottom"/>
          </w:tcPr>
          <w:p>
            <w:pPr>
              <w:spacing w:after="0"/>
              <w:rPr>
                <w:sz w:val="19"/>
                <w:szCs w:val="19"/>
                <w:color w:val="auto"/>
              </w:rPr>
            </w:pPr>
          </w:p>
        </w:tc>
        <w:tc>
          <w:tcPr>
            <w:tcW w:w="1340" w:type="dxa"/>
            <w:vAlign w:val="bottom"/>
            <w:gridSpan w:val="3"/>
          </w:tcPr>
          <w:p>
            <w:pPr>
              <w:jc w:val="center"/>
              <w:ind w:right="300"/>
              <w:spacing w:after="0" w:line="220" w:lineRule="exact"/>
              <w:rPr>
                <w:sz w:val="20"/>
                <w:szCs w:val="20"/>
                <w:color w:val="auto"/>
              </w:rPr>
            </w:pPr>
            <w:r>
              <w:rPr>
                <w:rFonts w:ascii="Arial" w:cs="Arial" w:eastAsia="Arial" w:hAnsi="Arial"/>
                <w:sz w:val="16"/>
                <w:szCs w:val="16"/>
                <w:b w:val="1"/>
                <w:bCs w:val="1"/>
                <w:color w:val="auto"/>
                <w:w w:val="89"/>
              </w:rPr>
              <w:t>Operations</w:t>
            </w:r>
            <w:r>
              <w:rPr>
                <w:rFonts w:ascii="Arial" w:cs="Arial" w:eastAsia="Arial" w:hAnsi="Arial"/>
                <w:sz w:val="22"/>
                <w:szCs w:val="22"/>
                <w:b w:val="1"/>
                <w:bCs w:val="1"/>
                <w:color w:val="auto"/>
                <w:w w:val="89"/>
                <w:vertAlign w:val="superscript"/>
              </w:rPr>
              <w:t>(2)</w:t>
            </w:r>
          </w:p>
        </w:tc>
        <w:tc>
          <w:tcPr>
            <w:tcW w:w="140" w:type="dxa"/>
            <w:vAlign w:val="bottom"/>
          </w:tcPr>
          <w:p>
            <w:pPr>
              <w:spacing w:after="0"/>
              <w:rPr>
                <w:sz w:val="19"/>
                <w:szCs w:val="19"/>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and Asia</w:t>
            </w: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Nine Months Ended September 30,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16,066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11,837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39,744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35,220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117,546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(922)</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13,848</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31,463</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40,220</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37,443</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122,974</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16,435</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42,822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4,926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5,319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10,846</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12,963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24,834</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32,458</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22,115</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92,370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885</w:t>
            </w:r>
          </w:p>
        </w:tc>
        <w:tc>
          <w:tcPr>
            <w:tcW w:w="20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6,629</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7,762</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15,328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30,604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1,988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910</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434</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26,897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11,387</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9,908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13,829</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8,073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43,197</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73,515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20,436</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(22,475)</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September 30, 2021</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248,125</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212,491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358,356</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170,938</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989,910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(122,437)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(66,424)</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(85,054)</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(29,263)</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(303,178)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125,688</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146,067</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273,302</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141,675</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686,732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149,286</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162,815</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274,324</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211,909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798,334</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29"/>
          <w:szCs w:val="29"/>
          <w:color w:val="auto"/>
          <w:vertAlign w:val="superscript"/>
        </w:rPr>
      </w:pPr>
      <w:r>
        <w:rPr>
          <w:rFonts w:ascii="Arial" w:cs="Arial" w:eastAsia="Arial" w:hAnsi="Arial"/>
          <w:sz w:val="14"/>
          <w:szCs w:val="14"/>
          <w:color w:val="auto"/>
        </w:rPr>
        <w:t>Total assets by region does not include corporate assets of $103.7 million as of September 30, 2021</w:t>
      </w:r>
      <w:r>
        <w:rPr>
          <w:rFonts w:ascii="Arial" w:cs="Arial" w:eastAsia="Arial" w:hAnsi="Arial"/>
          <w:sz w:val="17"/>
          <w:szCs w:val="17"/>
          <w:color w:val="auto"/>
        </w:rPr>
        <w:t>.</w:t>
      </w:r>
    </w:p>
    <w:p>
      <w:pPr>
        <w:spacing w:after="0" w:line="6" w:lineRule="exact"/>
        <w:rPr>
          <w:rFonts w:ascii="Arial" w:cs="Arial" w:eastAsia="Arial" w:hAnsi="Arial"/>
          <w:sz w:val="29"/>
          <w:szCs w:val="29"/>
          <w:color w:val="auto"/>
          <w:vertAlign w:val="superscript"/>
        </w:rPr>
      </w:pPr>
    </w:p>
    <w:p>
      <w:pPr>
        <w:jc w:val="both"/>
        <w:ind w:left="740" w:hanging="368"/>
        <w:spacing w:after="0" w:line="238" w:lineRule="auto"/>
        <w:tabs>
          <w:tab w:leader="none" w:pos="7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 and prior period information has been conformed to the new consolidated reporting segment.</w:t>
      </w:r>
    </w:p>
    <w:p>
      <w:pPr>
        <w:ind w:left="740" w:hanging="368"/>
        <w:spacing w:after="0" w:line="237" w:lineRule="auto"/>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the second quarter of 2021, the Company removed from service four vessels (four liftboats) in this region. Regional statistics reflect the removed from service status of these vessels.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Middle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East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0"/>
        </w:trPr>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9"/>
                <w:szCs w:val="19"/>
                <w:color w:val="auto"/>
              </w:rPr>
            </w:pPr>
          </w:p>
        </w:tc>
        <w:tc>
          <w:tcPr>
            <w:tcW w:w="1340" w:type="dxa"/>
            <w:vAlign w:val="bottom"/>
            <w:gridSpan w:val="3"/>
          </w:tcPr>
          <w:p>
            <w:pPr>
              <w:jc w:val="center"/>
              <w:ind w:right="300"/>
              <w:spacing w:after="0" w:line="220" w:lineRule="exact"/>
              <w:rPr>
                <w:sz w:val="20"/>
                <w:szCs w:val="20"/>
                <w:color w:val="auto"/>
              </w:rPr>
            </w:pPr>
            <w:r>
              <w:rPr>
                <w:rFonts w:ascii="Arial" w:cs="Arial" w:eastAsia="Arial" w:hAnsi="Arial"/>
                <w:sz w:val="15"/>
                <w:szCs w:val="15"/>
                <w:b w:val="1"/>
                <w:bCs w:val="1"/>
                <w:color w:val="auto"/>
                <w:w w:val="92"/>
              </w:rPr>
              <w:t xml:space="preserve">Operations </w:t>
            </w:r>
            <w:r>
              <w:rPr>
                <w:rFonts w:ascii="Arial" w:cs="Arial" w:eastAsia="Arial" w:hAnsi="Arial"/>
                <w:sz w:val="25"/>
                <w:szCs w:val="25"/>
                <w:b w:val="1"/>
                <w:bCs w:val="1"/>
                <w:color w:val="auto"/>
                <w:w w:val="92"/>
                <w:vertAlign w:val="superscript"/>
              </w:rPr>
              <w:t>(1)</w:t>
            </w:r>
          </w:p>
        </w:tc>
        <w:tc>
          <w:tcPr>
            <w:tcW w:w="1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and Asia</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September 30, 2020</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9,670</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13,355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11,051</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54%</w:t>
            </w: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5,807</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1,668</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13,672</w:t>
            </w:r>
          </w:p>
        </w:tc>
        <w:tc>
          <w:tcPr>
            <w:tcW w:w="2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34,822</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676</w:t>
            </w:r>
          </w:p>
        </w:tc>
        <w:tc>
          <w:tcPr>
            <w:tcW w:w="140" w:type="dxa"/>
            <w:vAlign w:val="bottom"/>
          </w:tcPr>
          <w:p>
            <w:pPr>
              <w:spacing w:after="0"/>
              <w:rPr>
                <w:sz w:val="18"/>
                <w:szCs w:val="18"/>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(255)</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w:t>
            </w:r>
          </w:p>
        </w:tc>
        <w:tc>
          <w:tcPr>
            <w:tcW w:w="140" w:type="dxa"/>
            <w:vAlign w:val="bottom"/>
            <w:shd w:val="clear" w:color="auto" w:fill="CFF0FC"/>
          </w:tcPr>
          <w:p>
            <w:pPr>
              <w:spacing w:after="0"/>
              <w:rPr>
                <w:sz w:val="18"/>
                <w:szCs w:val="18"/>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2,872</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10,551</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13,968</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8,833</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36,224</w:t>
            </w:r>
          </w:p>
        </w:tc>
        <w:tc>
          <w:tcPr>
            <w:tcW w:w="140" w:type="dxa"/>
            <w:vAlign w:val="bottom"/>
            <w:tcBorders>
              <w:bottom w:val="single" w:sz="8" w:color="CFF0FC"/>
            </w:tcBorders>
          </w:tcPr>
          <w:p>
            <w:pPr>
              <w:spacing w:after="0"/>
              <w:rPr>
                <w:sz w:val="18"/>
                <w:szCs w:val="18"/>
                <w:color w:val="auto"/>
              </w:rPr>
            </w:pP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13,401</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3,764</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1,765</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3,073</w:t>
            </w:r>
          </w:p>
        </w:tc>
        <w:tc>
          <w:tcPr>
            <w:tcW w:w="140" w:type="dxa"/>
            <w:vAlign w:val="bottom"/>
            <w:tcBorders>
              <w:bottom w:val="single" w:sz="8" w:color="CFF0FC"/>
            </w:tcBorders>
          </w:tcPr>
          <w:p>
            <w:pPr>
              <w:spacing w:after="0"/>
              <w:rPr>
                <w:sz w:val="18"/>
                <w:szCs w:val="18"/>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3,933</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7,308</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9,543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3,935</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24,719</w:t>
            </w:r>
          </w:p>
        </w:tc>
        <w:tc>
          <w:tcPr>
            <w:tcW w:w="140" w:type="dxa"/>
            <w:vAlign w:val="bottom"/>
            <w:shd w:val="clear" w:color="auto" w:fill="CFF0FC"/>
          </w:tcPr>
          <w:p>
            <w:pPr>
              <w:spacing w:after="0"/>
              <w:rPr>
                <w:sz w:val="18"/>
                <w:szCs w:val="18"/>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(Loss)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(1,061)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3,243</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4,425</w:t>
            </w:r>
          </w:p>
        </w:tc>
        <w:tc>
          <w:tcPr>
            <w:tcW w:w="2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4,898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11,505</w:t>
            </w:r>
          </w:p>
        </w:tc>
        <w:tc>
          <w:tcPr>
            <w:tcW w:w="140" w:type="dxa"/>
            <w:vAlign w:val="bottom"/>
          </w:tcPr>
          <w:p>
            <w:pPr>
              <w:spacing w:after="0"/>
              <w:rPr>
                <w:sz w:val="21"/>
                <w:szCs w:val="21"/>
                <w:color w:val="auto"/>
              </w:rPr>
            </w:pPr>
          </w:p>
        </w:tc>
      </w:tr>
      <w:tr>
        <w:trPr>
          <w:trHeight w:val="196"/>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716</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429</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1,200</w:t>
            </w:r>
          </w:p>
        </w:tc>
        <w:tc>
          <w:tcPr>
            <w:tcW w:w="140" w:type="dxa"/>
            <w:vAlign w:val="bottom"/>
          </w:tcPr>
          <w:p>
            <w:pPr>
              <w:spacing w:after="0"/>
              <w:rPr>
                <w:sz w:val="18"/>
                <w:szCs w:val="18"/>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8,885</w:t>
            </w:r>
          </w:p>
        </w:tc>
        <w:tc>
          <w:tcPr>
            <w:tcW w:w="140" w:type="dxa"/>
            <w:vAlign w:val="bottom"/>
            <w:shd w:val="clear" w:color="auto" w:fill="CFF0FC"/>
          </w:tcPr>
          <w:p>
            <w:pPr>
              <w:spacing w:after="0"/>
              <w:rPr>
                <w:sz w:val="19"/>
                <w:szCs w:val="19"/>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4,961</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3,785</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4,379</w:t>
            </w:r>
          </w:p>
        </w:tc>
        <w:tc>
          <w:tcPr>
            <w:tcW w:w="2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1,708</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14,833</w:t>
            </w:r>
          </w:p>
        </w:tc>
        <w:tc>
          <w:tcPr>
            <w:tcW w:w="140" w:type="dxa"/>
            <w:vAlign w:val="bottom"/>
            <w:tcBorders>
              <w:bottom w:val="single" w:sz="8" w:color="CFF0FC"/>
            </w:tcBorders>
          </w:tcPr>
          <w:p>
            <w:pPr>
              <w:spacing w:after="0"/>
              <w:rPr>
                <w:sz w:val="18"/>
                <w:szCs w:val="18"/>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24,918</w:t>
            </w:r>
          </w:p>
        </w:tc>
        <w:tc>
          <w:tcPr>
            <w:tcW w:w="140" w:type="dxa"/>
            <w:vAlign w:val="bottom"/>
            <w:shd w:val="clear" w:color="auto" w:fill="CFF0FC"/>
          </w:tcPr>
          <w:p>
            <w:pPr>
              <w:spacing w:after="0"/>
              <w:rPr>
                <w:sz w:val="18"/>
                <w:szCs w:val="18"/>
                <w:color w:val="auto"/>
              </w:rPr>
            </w:pPr>
          </w:p>
        </w:tc>
      </w:tr>
      <w:tr>
        <w:trPr>
          <w:trHeight w:val="206"/>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40" w:type="dxa"/>
            <w:vAlign w:val="bottom"/>
            <w:tcBorders>
              <w:bottom w:val="single" w:sz="8" w:color="CFF0FC"/>
            </w:tcBorders>
          </w:tcPr>
          <w:p>
            <w:pPr>
              <w:spacing w:after="0"/>
              <w:rPr>
                <w:sz w:val="17"/>
                <w:szCs w:val="17"/>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(13,180)</w:t>
            </w: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130" w:lineRule="exact"/>
        <w:rPr>
          <w:sz w:val="20"/>
          <w:szCs w:val="20"/>
          <w:color w:val="auto"/>
        </w:rPr>
      </w:pPr>
    </w:p>
    <w:p>
      <w:pPr>
        <w:jc w:val="both"/>
        <w:ind w:left="740" w:hanging="368"/>
        <w:spacing w:after="0" w:line="264" w:lineRule="auto"/>
        <w:tabs>
          <w:tab w:leader="none" w:pos="7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 and prior period information has been conformed to the new consolidated reporting segment.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340" w:type="dxa"/>
            <w:vAlign w:val="bottom"/>
            <w:gridSpan w:val="3"/>
          </w:tcPr>
          <w:p>
            <w:pPr>
              <w:jc w:val="center"/>
              <w:ind w:right="300"/>
              <w:spacing w:after="0" w:line="217" w:lineRule="exact"/>
              <w:rPr>
                <w:sz w:val="20"/>
                <w:szCs w:val="20"/>
                <w:color w:val="auto"/>
              </w:rPr>
            </w:pPr>
            <w:r>
              <w:rPr>
                <w:rFonts w:ascii="Arial" w:cs="Arial" w:eastAsia="Arial" w:hAnsi="Arial"/>
                <w:sz w:val="16"/>
                <w:szCs w:val="16"/>
                <w:b w:val="1"/>
                <w:bCs w:val="1"/>
                <w:color w:val="auto"/>
                <w:w w:val="89"/>
              </w:rPr>
              <w:t>Operations</w:t>
            </w:r>
            <w:r>
              <w:rPr>
                <w:rFonts w:ascii="Arial" w:cs="Arial" w:eastAsia="Arial" w:hAnsi="Arial"/>
                <w:sz w:val="22"/>
                <w:szCs w:val="22"/>
                <w:b w:val="1"/>
                <w:bCs w:val="1"/>
                <w:color w:val="auto"/>
                <w:w w:val="89"/>
                <w:vertAlign w:val="superscript"/>
              </w:rPr>
              <w:t>(2)</w:t>
            </w: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and Asia</w:t>
            </w: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Nine Months Ended September 30, 2020</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19,317</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9,852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10,897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81%</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97%</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7,521</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37,927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39,044</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16,268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100,760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(454)</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11,327</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37,418</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40,274</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16,797</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105,816</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12,777</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35,291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4,206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4,390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718</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2,516</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12,617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20,557</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24,480</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7,929</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65,583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(Loss)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(1,290)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16,861</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15,794</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8,868</w:t>
            </w:r>
          </w:p>
        </w:tc>
        <w:tc>
          <w:tcPr>
            <w:tcW w:w="2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40,233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3,595</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1,982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31,519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15,573</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10,700</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12,090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3,557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41,920</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79,166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(15,792)</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(54,725)</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September 30, 2020</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258,710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262,809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365,049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109,802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996,370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(128,390)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(65,520)</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(75,013)</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(11,545)</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(280,468)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130,320</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197,289</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290,036</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98,257</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715,902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172,218</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231,211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312,622</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175,164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891,215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60" w:hanging="371"/>
        <w:spacing w:after="0"/>
        <w:tabs>
          <w:tab w:leader="none" w:pos="460" w:val="left"/>
        </w:tabs>
        <w:numPr>
          <w:ilvl w:val="0"/>
          <w:numId w:val="27"/>
        </w:numPr>
        <w:rPr>
          <w:rFonts w:ascii="Arial" w:cs="Arial" w:eastAsia="Arial" w:hAnsi="Arial"/>
          <w:sz w:val="29"/>
          <w:szCs w:val="29"/>
          <w:color w:val="auto"/>
          <w:vertAlign w:val="superscript"/>
        </w:rPr>
      </w:pPr>
      <w:r>
        <w:rPr>
          <w:rFonts w:ascii="Arial" w:cs="Arial" w:eastAsia="Arial" w:hAnsi="Arial"/>
          <w:sz w:val="14"/>
          <w:szCs w:val="14"/>
          <w:color w:val="auto"/>
        </w:rPr>
        <w:t>Total assets by region does not include corporate assets of $119.2 million, and $46.8 million of discontinued operations as of September 30, 2020</w:t>
      </w:r>
      <w:r>
        <w:rPr>
          <w:rFonts w:ascii="Arial" w:cs="Arial" w:eastAsia="Arial" w:hAnsi="Arial"/>
          <w:sz w:val="17"/>
          <w:szCs w:val="17"/>
          <w:color w:val="auto"/>
        </w:rPr>
        <w:t>.</w:t>
      </w:r>
    </w:p>
    <w:p>
      <w:pPr>
        <w:spacing w:after="0" w:line="6" w:lineRule="exact"/>
        <w:rPr>
          <w:rFonts w:ascii="Arial" w:cs="Arial" w:eastAsia="Arial" w:hAnsi="Arial"/>
          <w:sz w:val="29"/>
          <w:szCs w:val="29"/>
          <w:color w:val="auto"/>
          <w:vertAlign w:val="superscript"/>
        </w:rPr>
      </w:pPr>
    </w:p>
    <w:p>
      <w:pPr>
        <w:jc w:val="both"/>
        <w:ind w:left="460" w:hanging="371"/>
        <w:spacing w:after="0" w:line="255" w:lineRule="auto"/>
        <w:tabs>
          <w:tab w:leader="none" w:pos="4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 and prior period information has been conformed to the new consolidated reporting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bookmarkStart w:id="37" w:name="page38"/>
    <w:bookmarkEnd w:id="37"/>
    <w:p>
      <w:pPr>
        <w:ind w:firstLine="749"/>
        <w:spacing w:after="0" w:line="250"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September 30, 2021</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14,346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8,455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11,631</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23,137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12,120</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70%</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0%</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68%</w:t>
            </w: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5,108</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5,224</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13,007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12,317</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11,234</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41,782</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(151)</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(121)</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1,881</w:t>
            </w:r>
          </w:p>
        </w:tc>
        <w:tc>
          <w:tcPr>
            <w:tcW w:w="140" w:type="dxa"/>
            <w:vAlign w:val="bottom"/>
            <w:shd w:val="clear" w:color="auto" w:fill="CFF0FC"/>
          </w:tcPr>
          <w:p>
            <w:pPr>
              <w:spacing w:after="0"/>
              <w:rPr>
                <w:sz w:val="15"/>
                <w:szCs w:val="15"/>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5,073</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12,886</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12,538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12,231</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935</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43,663</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4,588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4,738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15,051</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1,044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2,313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2,078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1,104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6,536</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(217)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771</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328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595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1,170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(100)</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2,189</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3,684</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Borders>
              <w:bottom w:val="single" w:sz="8" w:color="CFF0FC"/>
            </w:tcBorders>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408</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2,021</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988</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1,672</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5,217</w:t>
            </w:r>
          </w:p>
        </w:tc>
        <w:tc>
          <w:tcPr>
            <w:tcW w:w="140" w:type="dxa"/>
            <w:vAlign w:val="bottom"/>
            <w:tcBorders>
              <w:bottom w:val="single" w:sz="8" w:color="CFF0FC"/>
            </w:tcBorders>
          </w:tcPr>
          <w:p>
            <w:pPr>
              <w:spacing w:after="0"/>
              <w:rPr>
                <w:sz w:val="15"/>
                <w:szCs w:val="15"/>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3,400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11,605</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9,643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79</w:t>
            </w:r>
          </w:p>
        </w:tc>
        <w:tc>
          <w:tcPr>
            <w:tcW w:w="28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8,647</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74</w:t>
            </w: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33,448</w:t>
            </w:r>
          </w:p>
        </w:tc>
        <w:tc>
          <w:tcPr>
            <w:tcW w:w="140" w:type="dxa"/>
            <w:vAlign w:val="bottom"/>
            <w:shd w:val="clear" w:color="auto" w:fill="CFF0FC"/>
          </w:tcPr>
          <w:p>
            <w:pPr>
              <w:spacing w:after="0"/>
              <w:rPr>
                <w:sz w:val="14"/>
                <w:szCs w:val="14"/>
                <w:color w:val="auto"/>
              </w:rPr>
            </w:pPr>
          </w:p>
        </w:tc>
      </w:tr>
      <w:tr>
        <w:trPr>
          <w:trHeight w:val="209"/>
        </w:trPr>
        <w:tc>
          <w:tcPr>
            <w:tcW w:w="3520" w:type="dxa"/>
            <w:vAlign w:val="bottom"/>
          </w:tcPr>
          <w:p>
            <w:pPr>
              <w:spacing w:after="0" w:line="169" w:lineRule="exact"/>
              <w:rPr>
                <w:sz w:val="20"/>
                <w:szCs w:val="20"/>
                <w:color w:val="auto"/>
              </w:rPr>
            </w:pPr>
            <w:r>
              <w:rPr>
                <w:rFonts w:ascii="Arial" w:cs="Arial" w:eastAsia="Arial" w:hAnsi="Arial"/>
                <w:sz w:val="15"/>
                <w:szCs w:val="15"/>
                <w:b w:val="1"/>
                <w:bCs w:val="1"/>
                <w:color w:val="auto"/>
              </w:rPr>
              <w:t>Direct Vessel Profit (Loss)</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1,673</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1,281</w:t>
            </w:r>
          </w:p>
        </w:tc>
        <w:tc>
          <w:tcPr>
            <w:tcW w:w="28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2,895</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(79)</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3,584</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861</w:t>
            </w:r>
          </w:p>
        </w:tc>
        <w:tc>
          <w:tcPr>
            <w:tcW w:w="260" w:type="dxa"/>
            <w:vAlign w:val="bottom"/>
          </w:tcPr>
          <w:p>
            <w:pPr>
              <w:spacing w:after="0"/>
              <w:rPr>
                <w:sz w:val="18"/>
                <w:szCs w:val="18"/>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10,215</w:t>
            </w:r>
          </w:p>
        </w:tc>
        <w:tc>
          <w:tcPr>
            <w:tcW w:w="140" w:type="dxa"/>
            <w:vAlign w:val="bottom"/>
          </w:tcPr>
          <w:p>
            <w:pPr>
              <w:spacing w:after="0"/>
              <w:rPr>
                <w:sz w:val="18"/>
                <w:szCs w:val="18"/>
                <w:color w:val="auto"/>
              </w:rPr>
            </w:pPr>
          </w:p>
        </w:tc>
      </w:tr>
      <w:tr>
        <w:trPr>
          <w:trHeight w:val="156"/>
        </w:trPr>
        <w:tc>
          <w:tcPr>
            <w:tcW w:w="3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354</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693</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(200)</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262</w:t>
            </w:r>
          </w:p>
        </w:tc>
        <w:tc>
          <w:tcPr>
            <w:tcW w:w="26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1,109</w:t>
            </w: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9,134</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494</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4,929</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3,149</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5,170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564</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14,306</w:t>
            </w:r>
          </w:p>
        </w:tc>
        <w:tc>
          <w:tcPr>
            <w:tcW w:w="140" w:type="dxa"/>
            <w:vAlign w:val="bottom"/>
            <w:tcBorders>
              <w:bottom w:val="single" w:sz="8" w:color="CFF0FC"/>
            </w:tcBorders>
          </w:tcPr>
          <w:p>
            <w:pPr>
              <w:spacing w:after="0"/>
              <w:rPr>
                <w:sz w:val="15"/>
                <w:szCs w:val="15"/>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24,549</w:t>
            </w:r>
          </w:p>
        </w:tc>
        <w:tc>
          <w:tcPr>
            <w:tcW w:w="140" w:type="dxa"/>
            <w:vAlign w:val="bottom"/>
            <w:shd w:val="clear" w:color="auto" w:fill="CFF0FC"/>
          </w:tcPr>
          <w:p>
            <w:pPr>
              <w:spacing w:after="0"/>
              <w:rPr>
                <w:sz w:val="14"/>
                <w:szCs w:val="14"/>
                <w:color w:val="auto"/>
              </w:rPr>
            </w:pPr>
          </w:p>
        </w:tc>
      </w:tr>
      <w:tr>
        <w:trPr>
          <w:trHeight w:val="169"/>
        </w:trPr>
        <w:tc>
          <w:tcPr>
            <w:tcW w:w="352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Gain on Asset Dispositions and Impairments</w:t>
            </w: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56</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Loss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(14,278)</w:t>
            </w: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4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w w:val="95"/>
              </w:rPr>
              <w:t xml:space="preserve">Liftboats </w:t>
            </w:r>
            <w:r>
              <w:rPr>
                <w:rFonts w:ascii="Arial" w:cs="Arial" w:eastAsia="Arial" w:hAnsi="Arial"/>
                <w:sz w:val="13"/>
                <w:szCs w:val="13"/>
                <w:b w:val="1"/>
                <w:bCs w:val="1"/>
                <w:color w:val="auto"/>
                <w:w w:val="95"/>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Nine Months Ended September 30, 2021</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11,139</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8,113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11,870</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1,732</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24,989</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11,837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67%</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64%</w:t>
            </w:r>
          </w:p>
        </w:tc>
        <w:tc>
          <w:tcPr>
            <w:tcW w:w="18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6,514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3,964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15,790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11,665</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35,491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34,578</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301</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35,511</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117,546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1,163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(438)</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(588)</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2,090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4,265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11,227</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36,066</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35,262</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336</w:t>
            </w:r>
          </w:p>
        </w:tc>
        <w:tc>
          <w:tcPr>
            <w:tcW w:w="280" w:type="dxa"/>
            <w:vAlign w:val="bottom"/>
            <w:tcBorders>
              <w:bottom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37,993</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2,090</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122,974</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4,081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13,431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12,940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11,755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392</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42,822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1,756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7,466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5,252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2,714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17,335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3,321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5,780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486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1,301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1,505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3,641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(137)</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6,808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3,270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3,258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8,779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1,122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4,802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2,752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87</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2,291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(208)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10,846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9,475</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33,591</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26,020</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460</w:t>
            </w:r>
          </w:p>
        </w:tc>
        <w:tc>
          <w:tcPr>
            <w:tcW w:w="2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22,729</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95</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92,370</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line="169" w:lineRule="exact"/>
              <w:rPr>
                <w:sz w:val="20"/>
                <w:szCs w:val="20"/>
                <w:color w:val="auto"/>
              </w:rPr>
            </w:pPr>
            <w:r>
              <w:rPr>
                <w:rFonts w:ascii="Arial" w:cs="Arial" w:eastAsia="Arial" w:hAnsi="Arial"/>
                <w:sz w:val="15"/>
                <w:szCs w:val="15"/>
                <w:b w:val="1"/>
                <w:bCs w:val="1"/>
                <w:color w:val="auto"/>
              </w:rPr>
              <w:t>Direct Vessel Profit (Loss)</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1,752</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20" w:type="dxa"/>
            <w:vAlign w:val="bottom"/>
          </w:tcPr>
          <w:p>
            <w:pPr>
              <w:jc w:val="right"/>
              <w:spacing w:after="0" w:line="169" w:lineRule="exact"/>
              <w:rPr>
                <w:sz w:val="20"/>
                <w:szCs w:val="20"/>
                <w:color w:val="auto"/>
              </w:rPr>
            </w:pPr>
            <w:r>
              <w:rPr>
                <w:rFonts w:ascii="Arial" w:cs="Arial" w:eastAsia="Arial" w:hAnsi="Arial"/>
                <w:sz w:val="15"/>
                <w:szCs w:val="15"/>
                <w:color w:val="auto"/>
              </w:rPr>
              <w:t>2,475</w:t>
            </w:r>
          </w:p>
        </w:tc>
        <w:tc>
          <w:tcPr>
            <w:tcW w:w="280" w:type="dxa"/>
            <w:vAlign w:val="bottom"/>
          </w:tcPr>
          <w:p>
            <w:pPr>
              <w:spacing w:after="0"/>
              <w:rPr>
                <w:sz w:val="18"/>
                <w:szCs w:val="18"/>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9,242</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(124)</w:t>
            </w:r>
          </w:p>
        </w:tc>
        <w:tc>
          <w:tcPr>
            <w:tcW w:w="180" w:type="dxa"/>
            <w:vAlign w:val="bottom"/>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15,264</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1,995</w:t>
            </w:r>
          </w:p>
        </w:tc>
        <w:tc>
          <w:tcPr>
            <w:tcW w:w="260" w:type="dxa"/>
            <w:vAlign w:val="bottom"/>
          </w:tcPr>
          <w:p>
            <w:pPr>
              <w:spacing w:after="0"/>
              <w:rPr>
                <w:sz w:val="18"/>
                <w:szCs w:val="18"/>
                <w:color w:val="auto"/>
              </w:rPr>
            </w:pPr>
          </w:p>
        </w:tc>
        <w:tc>
          <w:tcPr>
            <w:tcW w:w="160" w:type="dxa"/>
            <w:vAlign w:val="bottom"/>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30,604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1,116</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1,397</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17</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891</w:t>
            </w:r>
          </w:p>
        </w:tc>
        <w:tc>
          <w:tcPr>
            <w:tcW w:w="260" w:type="dxa"/>
            <w:vAlign w:val="bottom"/>
          </w:tcPr>
          <w:p>
            <w:pPr>
              <w:spacing w:after="0"/>
              <w:rPr>
                <w:sz w:val="15"/>
                <w:szCs w:val="15"/>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3,421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26,897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1,483</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14,956</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9,062</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tcPr>
          <w:p>
            <w:pPr>
              <w:spacing w:after="0"/>
              <w:rPr>
                <w:sz w:val="15"/>
                <w:szCs w:val="15"/>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16,000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1,696</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43,197</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73,515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Gain on Asset Dispositions and Impairments</w:t>
            </w: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20,436</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Loss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(22,475)</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September 30, 2021</w:t>
            </w: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50,189</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363,021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246,862</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3,163</w:t>
            </w:r>
          </w:p>
        </w:tc>
        <w:tc>
          <w:tcPr>
            <w:tcW w:w="28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303,278</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23,397</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989,910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(33,262)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(112,226)</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(17,501)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(3,138)</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(116,844)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(20,207)</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(303,178)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5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16,927</w:t>
            </w:r>
          </w:p>
        </w:tc>
        <w:tc>
          <w:tcPr>
            <w:tcW w:w="20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250,795</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229,361</w:t>
            </w:r>
          </w:p>
        </w:tc>
        <w:tc>
          <w:tcPr>
            <w:tcW w:w="2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186,434</w:t>
            </w:r>
          </w:p>
        </w:tc>
        <w:tc>
          <w:tcPr>
            <w:tcW w:w="18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3,190</w:t>
            </w:r>
          </w:p>
        </w:tc>
        <w:tc>
          <w:tcPr>
            <w:tcW w:w="26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686,732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In the second quarter of 2021, the Company removed from service four vessels (four liftboats) in this class. Liftboats statistics reflect the removed from service status of these vessels.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September 30, 2020</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7,388</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8,421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11,355</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2,025</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27,947</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11,051</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63%</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54%</w:t>
            </w: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5,807</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2,564</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12,212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10,541</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9,319</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34,822</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731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(55)</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676</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(147)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(256)</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720</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726</w:t>
            </w:r>
          </w:p>
        </w:tc>
        <w:tc>
          <w:tcPr>
            <w:tcW w:w="140" w:type="dxa"/>
            <w:vAlign w:val="bottom"/>
            <w:shd w:val="clear" w:color="auto" w:fill="CFF0FC"/>
          </w:tcPr>
          <w:p>
            <w:pPr>
              <w:spacing w:after="0"/>
              <w:rPr>
                <w:sz w:val="15"/>
                <w:szCs w:val="15"/>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2,417</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12,687</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10,578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187</w:t>
            </w:r>
          </w:p>
        </w:tc>
        <w:tc>
          <w:tcPr>
            <w:tcW w:w="2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9,635</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720</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36,224</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4,180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3,821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3,963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13,401</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432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1,642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968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3,764</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585</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230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1,055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(26)</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1,765</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2,131</w:t>
            </w:r>
          </w:p>
        </w:tc>
        <w:tc>
          <w:tcPr>
            <w:tcW w:w="140" w:type="dxa"/>
            <w:vAlign w:val="bottom"/>
            <w:shd w:val="clear" w:color="auto" w:fill="CFF0FC"/>
          </w:tcPr>
          <w:p>
            <w:pPr>
              <w:spacing w:after="0"/>
              <w:rPr>
                <w:sz w:val="15"/>
                <w:szCs w:val="15"/>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370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1,489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1,022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538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(401)</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3,073</w:t>
            </w:r>
          </w:p>
        </w:tc>
        <w:tc>
          <w:tcPr>
            <w:tcW w:w="140" w:type="dxa"/>
            <w:vAlign w:val="bottom"/>
          </w:tcPr>
          <w:p>
            <w:pPr>
              <w:spacing w:after="0"/>
              <w:rPr>
                <w:sz w:val="15"/>
                <w:szCs w:val="15"/>
                <w:color w:val="auto"/>
              </w:rPr>
            </w:pPr>
          </w:p>
        </w:tc>
      </w:tr>
      <w:tr>
        <w:trPr>
          <w:trHeight w:val="169"/>
        </w:trPr>
        <w:tc>
          <w:tcPr>
            <w:tcW w:w="35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2,037</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9,227</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6,642</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190</w:t>
            </w: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6,550</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73</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24,719</w:t>
            </w:r>
          </w:p>
        </w:tc>
        <w:tc>
          <w:tcPr>
            <w:tcW w:w="140" w:type="dxa"/>
            <w:vAlign w:val="bottom"/>
            <w:tcBorders>
              <w:top w:val="single" w:sz="8" w:color="CFF0FC"/>
            </w:tcBorders>
            <w:shd w:val="clear" w:color="auto" w:fill="CFF0FC"/>
          </w:tcPr>
          <w:p>
            <w:pPr>
              <w:spacing w:after="0"/>
              <w:rPr>
                <w:sz w:val="14"/>
                <w:szCs w:val="14"/>
                <w:color w:val="auto"/>
              </w:rPr>
            </w:pPr>
          </w:p>
        </w:tc>
      </w:tr>
      <w:tr>
        <w:trPr>
          <w:trHeight w:val="152"/>
        </w:trPr>
        <w:tc>
          <w:tcPr>
            <w:tcW w:w="3520" w:type="dxa"/>
            <w:vAlign w:val="bottom"/>
          </w:tcPr>
          <w:p>
            <w:pPr>
              <w:spacing w:after="0" w:line="152" w:lineRule="exact"/>
              <w:rPr>
                <w:sz w:val="20"/>
                <w:szCs w:val="20"/>
                <w:color w:val="auto"/>
              </w:rPr>
            </w:pPr>
            <w:r>
              <w:rPr>
                <w:rFonts w:ascii="Arial" w:cs="Arial" w:eastAsia="Arial" w:hAnsi="Arial"/>
                <w:sz w:val="15"/>
                <w:szCs w:val="15"/>
                <w:b w:val="1"/>
                <w:bCs w:val="1"/>
                <w:color w:val="auto"/>
              </w:rPr>
              <w:t>Direct Vessel Profit (Loss), from Continuing</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9"/>
        </w:trPr>
        <w:tc>
          <w:tcPr>
            <w:tcW w:w="3520" w:type="dxa"/>
            <w:vAlign w:val="bottom"/>
          </w:tcPr>
          <w:p>
            <w:pPr>
              <w:spacing w:after="0"/>
              <w:rPr>
                <w:sz w:val="20"/>
                <w:szCs w:val="20"/>
                <w:color w:val="auto"/>
              </w:rPr>
            </w:pPr>
            <w:r>
              <w:rPr>
                <w:rFonts w:ascii="Arial" w:cs="Arial" w:eastAsia="Arial" w:hAnsi="Arial"/>
                <w:sz w:val="15"/>
                <w:szCs w:val="15"/>
                <w:b w:val="1"/>
                <w:bCs w:val="1"/>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380</w:t>
            </w:r>
          </w:p>
        </w:tc>
        <w:tc>
          <w:tcPr>
            <w:tcW w:w="20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3,460</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3,936</w:t>
            </w:r>
          </w:p>
        </w:tc>
        <w:tc>
          <w:tcPr>
            <w:tcW w:w="2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3,085</w:t>
            </w:r>
          </w:p>
        </w:tc>
        <w:tc>
          <w:tcPr>
            <w:tcW w:w="1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11,505</w:t>
            </w:r>
          </w:p>
        </w:tc>
        <w:tc>
          <w:tcPr>
            <w:tcW w:w="140" w:type="dxa"/>
            <w:vAlign w:val="bottom"/>
          </w:tcPr>
          <w:p>
            <w:pPr>
              <w:spacing w:after="0"/>
              <w:rPr>
                <w:sz w:val="19"/>
                <w:szCs w:val="19"/>
                <w:color w:val="auto"/>
              </w:rPr>
            </w:pPr>
          </w:p>
        </w:tc>
      </w:tr>
      <w:tr>
        <w:trPr>
          <w:trHeight w:val="156"/>
        </w:trPr>
        <w:tc>
          <w:tcPr>
            <w:tcW w:w="3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505</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351</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31</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313</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1,200</w:t>
            </w:r>
          </w:p>
        </w:tc>
        <w:tc>
          <w:tcPr>
            <w:tcW w:w="140" w:type="dxa"/>
            <w:vAlign w:val="bottom"/>
          </w:tcPr>
          <w:p>
            <w:pPr>
              <w:spacing w:after="0"/>
              <w:rPr>
                <w:sz w:val="15"/>
                <w:szCs w:val="15"/>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8,885</w:t>
            </w:r>
          </w:p>
        </w:tc>
        <w:tc>
          <w:tcPr>
            <w:tcW w:w="140" w:type="dxa"/>
            <w:vAlign w:val="bottom"/>
            <w:shd w:val="clear" w:color="auto" w:fill="CFF0FC"/>
          </w:tcPr>
          <w:p>
            <w:pPr>
              <w:spacing w:after="0"/>
              <w:rPr>
                <w:sz w:val="15"/>
                <w:szCs w:val="15"/>
                <w:color w:val="auto"/>
              </w:rPr>
            </w:pPr>
          </w:p>
        </w:tc>
      </w:tr>
      <w:tr>
        <w:trPr>
          <w:trHeight w:val="175"/>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495</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5,105</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2,673</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27</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5,980</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553</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14,833</w:t>
            </w:r>
          </w:p>
        </w:tc>
        <w:tc>
          <w:tcPr>
            <w:tcW w:w="140" w:type="dxa"/>
            <w:vAlign w:val="bottom"/>
            <w:tcBorders>
              <w:bottom w:val="single" w:sz="8" w:color="CFF0FC"/>
            </w:tcBorders>
          </w:tcPr>
          <w:p>
            <w:pPr>
              <w:spacing w:after="0"/>
              <w:rPr>
                <w:sz w:val="15"/>
                <w:szCs w:val="15"/>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24,918</w:t>
            </w:r>
          </w:p>
        </w:tc>
        <w:tc>
          <w:tcPr>
            <w:tcW w:w="140" w:type="dxa"/>
            <w:vAlign w:val="bottom"/>
            <w:shd w:val="clear" w:color="auto" w:fill="CFF0FC"/>
          </w:tcPr>
          <w:p>
            <w:pPr>
              <w:spacing w:after="0"/>
              <w:rPr>
                <w:sz w:val="14"/>
                <w:szCs w:val="14"/>
                <w:color w:val="auto"/>
              </w:rPr>
            </w:pPr>
          </w:p>
        </w:tc>
      </w:tr>
      <w:tr>
        <w:trPr>
          <w:trHeight w:val="169"/>
        </w:trPr>
        <w:tc>
          <w:tcPr>
            <w:tcW w:w="352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Gain on Asset Dispositions and Impairments</w:t>
            </w: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233</w:t>
            </w:r>
          </w:p>
        </w:tc>
        <w:tc>
          <w:tcPr>
            <w:tcW w:w="140" w:type="dxa"/>
            <w:vAlign w:val="bottom"/>
            <w:tcBorders>
              <w:bottom w:val="single" w:sz="8" w:color="CFF0FC"/>
            </w:tcBorders>
          </w:tcPr>
          <w:p>
            <w:pPr>
              <w:spacing w:after="0"/>
              <w:rPr>
                <w:sz w:val="14"/>
                <w:szCs w:val="14"/>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Loss, for Continuing Operations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(13,180)</w:t>
            </w: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Nine Months Ended September 30, 2020</w:t>
            </w: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7,892</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8,498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9,816</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26,686</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10,897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71%</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7,247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4,384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16,426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spacing w:after="0"/>
              <w:rPr>
                <w:sz w:val="20"/>
                <w:szCs w:val="20"/>
                <w:color w:val="auto"/>
              </w:rPr>
            </w:pPr>
            <w:r>
              <w:rPr>
                <w:rFonts w:ascii="Arial" w:cs="Arial" w:eastAsia="Arial" w:hAnsi="Arial"/>
                <w:sz w:val="15"/>
                <w:szCs w:val="15"/>
                <w:color w:val="auto"/>
              </w:rPr>
              <w:t>Operating Revenues:</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7,202</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43,574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16,774</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32,659</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100,760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2,178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2,123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(983)</w:t>
            </w: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(30)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(6)</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872</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2,933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7,477</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44,769</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16,689</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545</w:t>
            </w:r>
          </w:p>
        </w:tc>
        <w:tc>
          <w:tcPr>
            <w:tcW w:w="2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33,531</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2,805</w:t>
            </w:r>
          </w:p>
        </w:tc>
        <w:tc>
          <w:tcPr>
            <w:tcW w:w="260" w:type="dxa"/>
            <w:vAlign w:val="bottom"/>
            <w:tcBorders>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105,816</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13,005</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6,618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11,605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1,164</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35,291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1,519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5,842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1,691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255</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1,681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11,216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197</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1,418</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2,516</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343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989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2,627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(318)</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4,094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3,060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6,047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500"/>
              <w:spacing w:after="0"/>
              <w:rPr>
                <w:sz w:val="20"/>
                <w:szCs w:val="20"/>
                <w:color w:val="auto"/>
              </w:rPr>
            </w:pPr>
            <w:r>
              <w:rPr>
                <w:rFonts w:ascii="Arial" w:cs="Arial" w:eastAsia="Arial" w:hAnsi="Arial"/>
                <w:sz w:val="15"/>
                <w:szCs w:val="15"/>
                <w:color w:val="auto"/>
              </w:rPr>
              <w:t>Other</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970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3,692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1,665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257</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904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(1,069)</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6,419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6,060</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27,485</w:t>
            </w: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11,513</w:t>
            </w: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801</w:t>
            </w: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19,438</w:t>
            </w: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286</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65,583</w:t>
            </w: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line="152" w:lineRule="exact"/>
              <w:rPr>
                <w:sz w:val="20"/>
                <w:szCs w:val="20"/>
                <w:color w:val="auto"/>
              </w:rPr>
            </w:pPr>
            <w:r>
              <w:rPr>
                <w:rFonts w:ascii="Arial" w:cs="Arial" w:eastAsia="Arial" w:hAnsi="Arial"/>
                <w:sz w:val="15"/>
                <w:szCs w:val="15"/>
                <w:b w:val="1"/>
                <w:bCs w:val="1"/>
                <w:color w:val="auto"/>
              </w:rPr>
              <w:t>Direct Vessel Profit (Loss), from Continuing</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520" w:type="dxa"/>
            <w:vAlign w:val="bottom"/>
          </w:tcPr>
          <w:p>
            <w:pPr>
              <w:spacing w:after="0"/>
              <w:rPr>
                <w:sz w:val="20"/>
                <w:szCs w:val="20"/>
                <w:color w:val="auto"/>
              </w:rPr>
            </w:pPr>
            <w:r>
              <w:rPr>
                <w:rFonts w:ascii="Arial" w:cs="Arial" w:eastAsia="Arial" w:hAnsi="Arial"/>
                <w:sz w:val="15"/>
                <w:szCs w:val="15"/>
                <w:b w:val="1"/>
                <w:bCs w:val="1"/>
                <w:color w:val="auto"/>
              </w:rPr>
              <w:t>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1,417</w:t>
            </w:r>
          </w:p>
        </w:tc>
        <w:tc>
          <w:tcPr>
            <w:tcW w:w="20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17,284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5,176</w:t>
            </w:r>
          </w:p>
        </w:tc>
        <w:tc>
          <w:tcPr>
            <w:tcW w:w="2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14,093</w:t>
            </w:r>
          </w:p>
        </w:tc>
        <w:tc>
          <w:tcPr>
            <w:tcW w:w="18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2,519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40,233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520" w:type="dxa"/>
            <w:vAlign w:val="bottom"/>
            <w:tcBorders>
              <w:top w:val="single" w:sz="8" w:color="CFF0FC"/>
            </w:tcBorders>
            <w:shd w:val="clear" w:color="auto" w:fill="CFF0FC"/>
          </w:tcPr>
          <w:p>
            <w:pPr>
              <w:spacing w:after="0" w:line="156" w:lineRule="exact"/>
              <w:rPr>
                <w:sz w:val="20"/>
                <w:szCs w:val="20"/>
                <w:color w:val="auto"/>
              </w:rPr>
            </w:pPr>
            <w:r>
              <w:rPr>
                <w:rFonts w:ascii="Arial" w:cs="Arial" w:eastAsia="Arial" w:hAnsi="Arial"/>
                <w:sz w:val="15"/>
                <w:szCs w:val="15"/>
                <w:color w:val="auto"/>
              </w:rPr>
              <w:t>Other Costs and Expenses:</w:t>
            </w: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2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2,239</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1,055</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1,572</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861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5,727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31,519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1,556</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15,628</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4,460</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437</w:t>
            </w:r>
          </w:p>
        </w:tc>
        <w:tc>
          <w:tcPr>
            <w:tcW w:w="2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18,189</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1,650</w:t>
            </w:r>
          </w:p>
        </w:tc>
        <w:tc>
          <w:tcPr>
            <w:tcW w:w="2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41,920</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79,166</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(15,792)</w:t>
            </w: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 for Continuing Operations</w:t>
            </w: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(54,725)</w:t>
            </w: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September 30, 2020</w:t>
            </w: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2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50,189</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378,387</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216,769</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3,832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323,145</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24,048</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996,370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(31,284)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(102,455)</w:t>
            </w: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(12,931)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(3,807)</w:t>
            </w: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(111,355)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(18,636)</w:t>
            </w: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(280,468)</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18,905</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275,932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203,838</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211,790</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5,412</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715,902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spacing w:after="0"/>
        <w:rPr>
          <w:sz w:val="20"/>
          <w:szCs w:val="20"/>
          <w:color w:val="auto"/>
        </w:rPr>
      </w:pPr>
      <w:r>
        <w:rPr>
          <w:rFonts w:ascii="Arial" w:cs="Arial" w:eastAsia="Arial" w:hAnsi="Arial"/>
          <w:sz w:val="21"/>
          <w:szCs w:val="21"/>
          <w:b w:val="1"/>
          <w:bCs w:val="1"/>
          <w:i w:val="1"/>
          <w:iCs w:val="1"/>
          <w:color w:val="auto"/>
        </w:rPr>
        <w:t xml:space="preserve">Fleet Counts. </w:t>
      </w:r>
      <w:r>
        <w:rPr>
          <w:rFonts w:ascii="Arial" w:cs="Arial" w:eastAsia="Arial" w:hAnsi="Arial"/>
          <w:sz w:val="21"/>
          <w:szCs w:val="21"/>
          <w:color w:val="auto"/>
        </w:rPr>
        <w:t>The Company’s fleet count as of September 30, 2021 and December 31, 2020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Owned</w:t>
            </w: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Joint Ventured</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Leased-in</w:t>
            </w: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Managed</w:t>
            </w:r>
          </w:p>
        </w:tc>
        <w:tc>
          <w:tcPr>
            <w:tcW w:w="112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080" w:type="dxa"/>
            <w:vAlign w:val="bottom"/>
            <w:tcBorders>
              <w:top w:val="single" w:sz="8" w:color="CFF0FC"/>
              <w:bottom w:val="single" w:sz="8" w:color="auto"/>
            </w:tcBorders>
            <w:shd w:val="clear" w:color="auto" w:fill="CFF0FC"/>
          </w:tcPr>
          <w:p>
            <w:pPr>
              <w:ind w:left="1860"/>
              <w:spacing w:after="0"/>
              <w:rPr>
                <w:sz w:val="20"/>
                <w:szCs w:val="20"/>
                <w:color w:val="auto"/>
              </w:rPr>
            </w:pPr>
            <w:r>
              <w:rPr>
                <w:rFonts w:ascii="Arial" w:cs="Arial" w:eastAsia="Arial" w:hAnsi="Arial"/>
                <w:sz w:val="16"/>
                <w:szCs w:val="16"/>
                <w:b w:val="1"/>
                <w:bCs w:val="1"/>
                <w:color w:val="auto"/>
              </w:rPr>
              <w:t>September 30, 2021</w:t>
            </w: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200" w:type="dxa"/>
            <w:vAlign w:val="bottom"/>
            <w:gridSpan w:val="2"/>
          </w:tcPr>
          <w:p>
            <w:pPr>
              <w:spacing w:after="0"/>
              <w:rPr>
                <w:sz w:val="20"/>
                <w:szCs w:val="20"/>
                <w:color w:val="auto"/>
              </w:rPr>
            </w:pPr>
            <w:r>
              <w:rPr>
                <w:rFonts w:ascii="Arial" w:cs="Arial" w:eastAsia="Arial" w:hAnsi="Arial"/>
                <w:sz w:val="16"/>
                <w:szCs w:val="16"/>
                <w:color w:val="auto"/>
              </w:rPr>
              <w:t>AHTS</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FSV</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Supply</w:t>
            </w: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Specialty </w:t>
            </w:r>
            <w:r>
              <w:rPr>
                <w:rFonts w:ascii="Arial" w:cs="Arial" w:eastAsia="Arial" w:hAnsi="Arial"/>
                <w:sz w:val="25"/>
                <w:szCs w:val="25"/>
                <w:color w:val="auto"/>
                <w:vertAlign w:val="superscript"/>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line="216" w:lineRule="exact"/>
              <w:rPr>
                <w:sz w:val="20"/>
                <w:szCs w:val="20"/>
                <w:color w:val="auto"/>
              </w:rPr>
            </w:pPr>
            <w:r>
              <w:rPr>
                <w:rFonts w:ascii="Arial" w:cs="Arial" w:eastAsia="Arial" w:hAnsi="Arial"/>
                <w:sz w:val="15"/>
                <w:szCs w:val="15"/>
                <w:color w:val="auto"/>
              </w:rPr>
              <w:t xml:space="preserve">Liftboats </w:t>
            </w:r>
            <w:r>
              <w:rPr>
                <w:rFonts w:ascii="Arial" w:cs="Arial" w:eastAsia="Arial" w:hAnsi="Arial"/>
                <w:sz w:val="25"/>
                <w:szCs w:val="25"/>
                <w:color w:val="auto"/>
                <w:vertAlign w:val="superscript"/>
              </w:rPr>
              <w:t>(2)</w:t>
            </w: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188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FF0FC"/>
            </w:tcBorders>
            <w:vMerge w:val="continue"/>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04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AHTS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FSV</w:t>
            </w: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Supply</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Specialty</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Liftboats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Arial" w:cs="Arial" w:eastAsia="Arial" w:hAnsi="Arial"/>
                <w:sz w:val="16"/>
                <w:szCs w:val="16"/>
                <w:color w:val="auto"/>
              </w:rPr>
              <w:t>Crew Transfer - Discontinued Operations</w:t>
            </w: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gridSpan w:val="2"/>
            <w:shd w:val="clear" w:color="auto" w:fill="CFF0FC"/>
          </w:tcPr>
          <w:p>
            <w:pPr>
              <w:spacing w:after="0" w:line="218" w:lineRule="exact"/>
              <w:rPr>
                <w:sz w:val="20"/>
                <w:szCs w:val="20"/>
                <w:color w:val="auto"/>
              </w:rPr>
            </w:pPr>
            <w:r>
              <w:rPr>
                <w:rFonts w:ascii="Arial" w:cs="Arial" w:eastAsia="Arial" w:hAnsi="Arial"/>
                <w:sz w:val="15"/>
                <w:szCs w:val="15"/>
                <w:color w:val="auto"/>
              </w:rPr>
              <w:t xml:space="preserve">Crew Transfer - Continuing Operations </w:t>
            </w:r>
            <w:r>
              <w:rPr>
                <w:rFonts w:ascii="Arial" w:cs="Arial" w:eastAsia="Arial" w:hAnsi="Arial"/>
                <w:sz w:val="25"/>
                <w:szCs w:val="25"/>
                <w:color w:val="auto"/>
                <w:vertAlign w:val="superscript"/>
              </w:rPr>
              <w:t>(1)</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hanging="368"/>
        <w:spacing w:after="0"/>
        <w:tabs>
          <w:tab w:leader="none" w:pos="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One owned vessel classified as a Crew Transfer Continuing Operations as of December 31, 2020 was reclassified as a specialty vessel as of January 12, 2021.</w:t>
      </w:r>
    </w:p>
    <w:p>
      <w:pPr>
        <w:spacing w:after="0" w:line="68" w:lineRule="exact"/>
        <w:rPr>
          <w:rFonts w:ascii="Arial" w:cs="Arial" w:eastAsia="Arial" w:hAnsi="Arial"/>
          <w:sz w:val="14"/>
          <w:szCs w:val="14"/>
          <w:color w:val="auto"/>
        </w:rPr>
      </w:pPr>
    </w:p>
    <w:p>
      <w:pPr>
        <w:ind w:left="740" w:hanging="368"/>
        <w:spacing w:after="0"/>
        <w:tabs>
          <w:tab w:leader="none" w:pos="7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the second quarter of 2021, the Company removed from service four vessels (four liftboats) in this class. Removed from service vessels are not counted in active fleet count.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Operating Income (Loss)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United States, primarily Gulf of Mexico. </w:t>
      </w:r>
      <w:r>
        <w:rPr>
          <w:rFonts w:ascii="Arial" w:cs="Arial" w:eastAsia="Arial" w:hAnsi="Arial"/>
          <w:sz w:val="22"/>
          <w:szCs w:val="22"/>
          <w:color w:val="auto"/>
        </w:rPr>
        <w:t>For the three and nine months ended September 30, 2021 and 2020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Company’s time charter statistics and direct vessel profit (loss) in the United States was as follows (in thousands, except statistics):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gridSpan w:val="9"/>
          </w:tcPr>
          <w:p>
            <w:pPr>
              <w:jc w:val="right"/>
              <w:ind w:right="540"/>
              <w:spacing w:after="0"/>
              <w:rPr>
                <w:sz w:val="20"/>
                <w:szCs w:val="20"/>
                <w:color w:val="auto"/>
              </w:rPr>
            </w:pPr>
            <w:r>
              <w:rPr>
                <w:rFonts w:ascii="Arial" w:cs="Arial" w:eastAsia="Arial" w:hAnsi="Arial"/>
                <w:sz w:val="16"/>
                <w:szCs w:val="16"/>
                <w:b w:val="1"/>
                <w:bCs w:val="1"/>
                <w:color w:val="auto"/>
                <w:w w:val="93"/>
              </w:rPr>
              <w:t>For the Three Months Ended September 30,</w:t>
            </w:r>
          </w:p>
        </w:tc>
        <w:tc>
          <w:tcPr>
            <w:tcW w:w="180" w:type="dxa"/>
            <w:vAlign w:val="bottom"/>
          </w:tcPr>
          <w:p>
            <w:pPr>
              <w:spacing w:after="0"/>
              <w:rPr>
                <w:sz w:val="18"/>
                <w:szCs w:val="18"/>
                <w:color w:val="auto"/>
              </w:rPr>
            </w:pPr>
          </w:p>
        </w:tc>
        <w:tc>
          <w:tcPr>
            <w:tcW w:w="3060" w:type="dxa"/>
            <w:vAlign w:val="bottom"/>
            <w:gridSpan w:val="8"/>
          </w:tcPr>
          <w:p>
            <w:pPr>
              <w:ind w:left="100"/>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30,158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32,041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Arial" w:cs="Arial" w:eastAsia="Arial" w:hAnsi="Arial"/>
                <w:sz w:val="16"/>
                <w:szCs w:val="16"/>
                <w:color w:val="auto"/>
              </w:rPr>
              <w:t>FSV</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7,363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13,179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20,996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13,820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19,397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17,677</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2880" w:type="dxa"/>
            <w:vAlign w:val="bottom"/>
          </w:tcPr>
          <w:p>
            <w:pPr>
              <w:ind w:left="500"/>
              <w:spacing w:after="0"/>
              <w:rPr>
                <w:sz w:val="20"/>
                <w:szCs w:val="20"/>
                <w:color w:val="auto"/>
              </w:rPr>
            </w:pPr>
            <w:r>
              <w:rPr>
                <w:rFonts w:ascii="Arial" w:cs="Arial" w:eastAsia="Arial" w:hAnsi="Arial"/>
                <w:sz w:val="16"/>
                <w:szCs w:val="16"/>
                <w:color w:val="auto"/>
              </w:rPr>
              <w:t>FSV</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3"/>
        </w:trPr>
        <w:tc>
          <w:tcPr>
            <w:tcW w:w="2880" w:type="dxa"/>
            <w:vAlign w:val="bottom"/>
          </w:tcPr>
          <w:p>
            <w:pPr>
              <w:ind w:left="500"/>
              <w:spacing w:after="0" w:line="243" w:lineRule="exact"/>
              <w:rPr>
                <w:sz w:val="20"/>
                <w:szCs w:val="20"/>
                <w:color w:val="auto"/>
              </w:rPr>
            </w:pPr>
            <w:r>
              <w:rPr>
                <w:rFonts w:ascii="Arial" w:cs="Arial" w:eastAsia="Arial" w:hAnsi="Arial"/>
                <w:sz w:val="16"/>
                <w:szCs w:val="16"/>
                <w:color w:val="auto"/>
              </w:rPr>
              <w:t xml:space="preserve">Liftboats </w:t>
            </w:r>
            <w:r>
              <w:rPr>
                <w:rFonts w:ascii="Arial" w:cs="Arial" w:eastAsia="Arial" w:hAnsi="Arial"/>
                <w:sz w:val="22"/>
                <w:szCs w:val="22"/>
                <w:color w:val="auto"/>
                <w:vertAlign w:val="superscript"/>
              </w:rPr>
              <w:t>(1)</w:t>
            </w: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2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27%</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Arial" w:cs="Arial" w:eastAsia="Arial" w:hAnsi="Arial"/>
                <w:sz w:val="16"/>
                <w:szCs w:val="16"/>
                <w:color w:val="auto"/>
              </w:rPr>
              <w:t>FSV</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500"/>
              <w:spacing w:after="0" w:line="219" w:lineRule="exact"/>
              <w:rPr>
                <w:sz w:val="20"/>
                <w:szCs w:val="20"/>
                <w:color w:val="auto"/>
              </w:rPr>
            </w:pPr>
            <w:r>
              <w:rPr>
                <w:rFonts w:ascii="Arial" w:cs="Arial" w:eastAsia="Arial" w:hAnsi="Arial"/>
                <w:sz w:val="16"/>
                <w:szCs w:val="16"/>
                <w:color w:val="auto"/>
              </w:rPr>
              <w:t xml:space="preserve">Liftboats </w:t>
            </w:r>
            <w:r>
              <w:rPr>
                <w:rFonts w:ascii="Arial" w:cs="Arial" w:eastAsia="Arial" w:hAnsi="Arial"/>
                <w:sz w:val="22"/>
                <w:szCs w:val="22"/>
                <w:color w:val="auto"/>
                <w:vertAlign w:val="superscript"/>
              </w:rPr>
              <w:t>(1)</w:t>
            </w:r>
          </w:p>
        </w:tc>
        <w:tc>
          <w:tcPr>
            <w:tcW w:w="8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8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8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3,692</w:t>
            </w:r>
          </w:p>
        </w:tc>
        <w:tc>
          <w:tcPr>
            <w:tcW w:w="20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5,578</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5,289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1,668</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58%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10,197</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74%</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7,521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1,163</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473</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2,488</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6,504</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2,872</w:t>
            </w:r>
          </w:p>
        </w:tc>
        <w:tc>
          <w:tcPr>
            <w:tcW w:w="22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13,848</w:t>
            </w: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06"/>
        </w:trPr>
        <w:tc>
          <w:tcPr>
            <w:tcW w:w="288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8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2,428</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2,481</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5,700</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338</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2,309</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1,891</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778</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1,912</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2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Other</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448</w:t>
            </w: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8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4,801</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74%</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3,933</w:t>
            </w:r>
          </w:p>
        </w:tc>
        <w:tc>
          <w:tcPr>
            <w:tcW w:w="22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12,963</w:t>
            </w: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94%</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7"/>
              </w:rPr>
              <w:t>111%</w:t>
            </w:r>
          </w:p>
        </w:tc>
        <w:tc>
          <w:tcPr>
            <w:tcW w:w="0" w:type="dxa"/>
            <w:vAlign w:val="bottom"/>
          </w:tcPr>
          <w:p>
            <w:pPr>
              <w:spacing w:after="0"/>
              <w:rPr>
                <w:sz w:val="1"/>
                <w:szCs w:val="1"/>
                <w:color w:val="auto"/>
              </w:rPr>
            </w:pPr>
          </w:p>
        </w:tc>
      </w:tr>
      <w:tr>
        <w:trPr>
          <w:trHeight w:val="20"/>
        </w:trPr>
        <w:tc>
          <w:tcPr>
            <w:tcW w:w="2880" w:type="dxa"/>
            <w:vAlign w:val="bottom"/>
            <w:vMerge w:val="restart"/>
          </w:tcPr>
          <w:p>
            <w:pPr>
              <w:spacing w:after="0"/>
              <w:rPr>
                <w:sz w:val="20"/>
                <w:szCs w:val="20"/>
                <w:color w:val="auto"/>
              </w:rPr>
            </w:pPr>
            <w:r>
              <w:rPr>
                <w:rFonts w:ascii="Arial" w:cs="Arial" w:eastAsia="Arial" w:hAnsi="Arial"/>
                <w:sz w:val="16"/>
                <w:szCs w:val="16"/>
                <w:color w:val="auto"/>
              </w:rPr>
              <w:t>Direct Vessel Profit (Loss)</w:t>
            </w: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1,703</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(1,061)</w:t>
            </w: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885</w:t>
            </w:r>
          </w:p>
        </w:tc>
        <w:tc>
          <w:tcPr>
            <w:tcW w:w="2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(1,290)</w:t>
            </w:r>
          </w:p>
        </w:tc>
        <w:tc>
          <w:tcPr>
            <w:tcW w:w="14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right="20" w:hanging="368"/>
        <w:spacing w:after="0" w:line="253" w:lineRule="auto"/>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 the second quarter of 2021, the Company removed from service four vessels (four liftboats) in this class. Liftboat Utilization and Available Days reflects the removed from service status of these vessels.</w:t>
      </w:r>
    </w:p>
    <w:p>
      <w:pPr>
        <w:spacing w:after="0" w:line="43"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$2.9 million higher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Charter revenues were $3.9 million higher due to higher utilization of the core fleet. Charter revenues were $0.5 million lower due to the repositioning of vessels between geographic regions and $0.5 million lower due to net fleet dispositions. As of September 30, 2021, the Company had five of 12 owned and leased-in vessels (one AHTS vessel, one FSV, one Supply and two liftboats) cold-stacked in this region compared with 17 of 22 vessels as of September 30, 2020.</w:t>
      </w:r>
    </w:p>
    <w:p>
      <w:pPr>
        <w:spacing w:after="0" w:line="14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Direct Operating Expenses</w:t>
      </w:r>
      <w:r>
        <w:rPr>
          <w:rFonts w:ascii="Arial" w:cs="Arial" w:eastAsia="Arial" w:hAnsi="Arial"/>
          <w:sz w:val="22"/>
          <w:szCs w:val="22"/>
          <w:color w:val="auto"/>
        </w:rPr>
        <w:t>. Direct operating expenses were $0.9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$2.1 million higher for the core fleet, primarily due to reactivation of vessels from cold-stacked status, $0.6 million lower due to net fleet dispositions, and $0.6 million lower due to the repositioning of vessels between geographic regions.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2" w:name="page43"/>
    <w:bookmarkEnd w:id="42"/>
    <w:p>
      <w:pPr>
        <w:ind w:left="760"/>
        <w:spacing w:after="0"/>
        <w:rPr>
          <w:sz w:val="20"/>
          <w:szCs w:val="20"/>
          <w:color w:val="auto"/>
        </w:rPr>
      </w:pPr>
      <w:r>
        <w:rPr>
          <w:rFonts w:ascii="Arial" w:cs="Arial" w:eastAsia="Arial" w:hAnsi="Arial"/>
          <w:sz w:val="22"/>
          <w:szCs w:val="22"/>
          <w:b w:val="1"/>
          <w:bCs w:val="1"/>
          <w:u w:val="single" w:color="auto"/>
          <w:color w:val="auto"/>
        </w:rPr>
        <w:t>Current Nine Months compared with Prior Nine Months</w:t>
      </w:r>
    </w:p>
    <w:p>
      <w:pPr>
        <w:spacing w:after="0" w:line="239"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$1.7 million higher in the Current Nine Months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Nine Months. Charter revenues were $5.9 million higher due to higher utilization of the core fleet and $4.2 million lower due to the repositioning of vessels between geographic regions.</w:t>
      </w:r>
    </w:p>
    <w:p>
      <w:pPr>
        <w:spacing w:after="0" w:line="21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i w:val="1"/>
          <w:iCs w:val="1"/>
          <w:color w:val="auto"/>
        </w:rPr>
        <w:t>Direct Operating Expenses</w:t>
      </w:r>
      <w:r>
        <w:rPr>
          <w:rFonts w:ascii="Arial" w:cs="Arial" w:eastAsia="Arial" w:hAnsi="Arial"/>
          <w:sz w:val="21"/>
          <w:szCs w:val="21"/>
          <w:color w:val="auto"/>
        </w:rPr>
        <w:t>. Direct operating expenses were $0.3 million higher in the Current Nine Months compared</w:t>
      </w:r>
      <w:r>
        <w:rPr>
          <w:rFonts w:ascii="Arial" w:cs="Arial" w:eastAsia="Arial" w:hAnsi="Arial"/>
          <w:sz w:val="21"/>
          <w:szCs w:val="21"/>
          <w:i w:val="1"/>
          <w:iCs w:val="1"/>
          <w:color w:val="auto"/>
        </w:rPr>
        <w:t xml:space="preserve"> </w:t>
      </w:r>
      <w:r>
        <w:rPr>
          <w:rFonts w:ascii="Arial" w:cs="Arial" w:eastAsia="Arial" w:hAnsi="Arial"/>
          <w:sz w:val="21"/>
          <w:szCs w:val="21"/>
          <w:color w:val="auto"/>
        </w:rPr>
        <w:t>with the Prior Nine Months. Direct operating expenses were $3.3 million higher for the core fleet, primarily due to the reactivation of vessels from cold-stacked status. Direct operating expenses were $1.7 million lower due the repositioning of vessels between geographic regions and $1.3 million lower due to net fleet dispositions.</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19"/>
          <w:szCs w:val="19"/>
          <w:b w:val="1"/>
          <w:bCs w:val="1"/>
          <w:i w:val="1"/>
          <w:iCs w:val="1"/>
          <w:color w:val="auto"/>
        </w:rPr>
        <w:t xml:space="preserve">Africa and Europe, continuing operations. </w:t>
      </w:r>
      <w:r>
        <w:rPr>
          <w:rFonts w:ascii="Arial" w:cs="Arial" w:eastAsia="Arial" w:hAnsi="Arial"/>
          <w:sz w:val="19"/>
          <w:szCs w:val="19"/>
          <w:color w:val="auto"/>
        </w:rPr>
        <w:t>For the three and nine months ended September 30, 2021 and 2020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Company’s time charter statistics and direct vessel profit in Africa and Europe was as follows (in thousands, except statistics):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w w:val="91"/>
              </w:rPr>
              <w:t>For the Three Months Ended September 30,</w:t>
            </w:r>
          </w:p>
        </w:tc>
        <w:tc>
          <w:tcPr>
            <w:tcW w:w="2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9,001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7,778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8,687</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500"/>
              <w:spacing w:after="0"/>
              <w:rPr>
                <w:sz w:val="20"/>
                <w:szCs w:val="20"/>
                <w:color w:val="auto"/>
              </w:rPr>
            </w:pPr>
            <w:r>
              <w:rPr>
                <w:rFonts w:ascii="Arial" w:cs="Arial" w:eastAsia="Arial" w:hAnsi="Arial"/>
                <w:sz w:val="16"/>
                <w:szCs w:val="16"/>
                <w:color w:val="auto"/>
              </w:rPr>
              <w:t>FSV</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9,132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8,996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8,731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10,008</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36,010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34,856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33,748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9,551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10,664</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2"/>
              </w:rPr>
              <w:t>100%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3"/>
        </w:trPr>
        <w:tc>
          <w:tcPr>
            <w:tcW w:w="3620" w:type="dxa"/>
            <w:vAlign w:val="bottom"/>
          </w:tcPr>
          <w:p>
            <w:pPr>
              <w:ind w:left="500"/>
              <w:spacing w:after="0"/>
              <w:rPr>
                <w:sz w:val="20"/>
                <w:szCs w:val="20"/>
                <w:color w:val="auto"/>
              </w:rPr>
            </w:pPr>
            <w:r>
              <w:rPr>
                <w:rFonts w:ascii="Arial" w:cs="Arial" w:eastAsia="Arial" w:hAnsi="Arial"/>
                <w:sz w:val="16"/>
                <w:szCs w:val="16"/>
                <w:color w:val="auto"/>
              </w:rPr>
              <w:t>FSV</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74%</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3"/>
        </w:trPr>
        <w:tc>
          <w:tcPr>
            <w:tcW w:w="362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21%</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w w:val="92"/>
              </w:rPr>
              <w:t>100%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78%</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77%</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68%</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362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500"/>
              <w:spacing w:after="0"/>
              <w:rPr>
                <w:sz w:val="20"/>
                <w:szCs w:val="20"/>
                <w:color w:val="auto"/>
              </w:rPr>
            </w:pPr>
            <w:r>
              <w:rPr>
                <w:rFonts w:ascii="Arial" w:cs="Arial" w:eastAsia="Arial" w:hAnsi="Arial"/>
                <w:sz w:val="16"/>
                <w:szCs w:val="16"/>
                <w:color w:val="auto"/>
              </w:rPr>
              <w:t>FSV</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2,463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2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Liftboats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2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2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1,417</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4,138</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4,304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10,446</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92"/>
              </w:rPr>
              <w:t>103%</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32,385</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103%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37,927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7"/>
              </w:rPr>
              <w:t>101%</w:t>
            </w:r>
          </w:p>
        </w:tc>
        <w:tc>
          <w:tcPr>
            <w:tcW w:w="0" w:type="dxa"/>
            <w:vAlign w:val="bottom"/>
          </w:tcPr>
          <w:p>
            <w:pPr>
              <w:spacing w:after="0"/>
              <w:rPr>
                <w:sz w:val="1"/>
                <w:szCs w:val="1"/>
                <w:color w:val="auto"/>
              </w:rPr>
            </w:pPr>
          </w:p>
        </w:tc>
      </w:tr>
      <w:tr>
        <w:trPr>
          <w:trHeight w:val="213"/>
        </w:trPr>
        <w:tc>
          <w:tcPr>
            <w:tcW w:w="362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(55)</w:t>
            </w: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(429)</w:t>
            </w: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(255)</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(922)</w:t>
            </w:r>
          </w:p>
        </w:tc>
        <w:tc>
          <w:tcPr>
            <w:tcW w:w="7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(454)</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10,017</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10,551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w w:val="92"/>
              </w:rPr>
              <w:t>100%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31,463</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37,418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1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3,147</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10,620</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4,926</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62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1,015</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1,108</w:t>
            </w:r>
          </w:p>
        </w:tc>
        <w:tc>
          <w:tcPr>
            <w:tcW w:w="200" w:type="dxa"/>
            <w:vAlign w:val="bottom"/>
            <w:shd w:val="clear" w:color="auto" w:fill="CFF0FC"/>
          </w:tcPr>
          <w:p>
            <w:pPr>
              <w:spacing w:after="0"/>
              <w:rPr>
                <w:sz w:val="19"/>
                <w:szCs w:val="19"/>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62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1,631</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3,090</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6"/>
        </w:trPr>
        <w:tc>
          <w:tcPr>
            <w:tcW w:w="3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1,424</w:t>
            </w: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4,075</w:t>
            </w: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8,402</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24,834</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79%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3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1,615</w:t>
            </w: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6,629</w:t>
            </w:r>
          </w:p>
        </w:tc>
        <w:tc>
          <w:tcPr>
            <w:tcW w:w="200" w:type="dxa"/>
            <w:vAlign w:val="bottom"/>
            <w:shd w:val="clear" w:color="auto" w:fill="CFF0FC"/>
          </w:tcPr>
          <w:p>
            <w:pPr>
              <w:spacing w:after="0"/>
              <w:rPr>
                <w:sz w:val="18"/>
                <w:szCs w:val="18"/>
                <w:color w:val="auto"/>
              </w:rPr>
            </w:pPr>
          </w:p>
        </w:tc>
        <w:tc>
          <w:tcPr>
            <w:tcW w:w="7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3" w:name="page44"/>
    <w:bookmarkEnd w:id="43"/>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$0.4 million lower in the Current Year Quarter compared with the Prior</w:t>
      </w:r>
      <w:r>
        <w:rPr>
          <w:rFonts w:ascii="Arial" w:cs="Arial" w:eastAsia="Arial" w:hAnsi="Arial"/>
          <w:sz w:val="19"/>
          <w:szCs w:val="19"/>
          <w:i w:val="1"/>
          <w:iCs w:val="1"/>
          <w:color w:val="auto"/>
        </w:rPr>
        <w:t xml:space="preserve"> </w:t>
      </w:r>
      <w:r>
        <w:rPr>
          <w:rFonts w:ascii="Arial" w:cs="Arial" w:eastAsia="Arial" w:hAnsi="Arial"/>
          <w:sz w:val="19"/>
          <w:szCs w:val="19"/>
          <w:color w:val="auto"/>
        </w:rPr>
        <w:t>Year Quarter. Charter revenues were $2.7 million lower due to the deferral of revenue for one vessel on time charter as collection was not reasonably assured. Charter revenues were $2.1 million higher for the core fleet, primarily due to the reactivation of vessels from cold-stacked status, and $0.2 million higher due to the repositioning of vessels between geographic regions.</w:t>
      </w:r>
    </w:p>
    <w:p>
      <w:pPr>
        <w:spacing w:after="0" w:line="11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i w:val="1"/>
          <w:iCs w:val="1"/>
          <w:color w:val="auto"/>
        </w:rPr>
        <w:t xml:space="preserve">Direct Operating Expenses. </w:t>
      </w:r>
      <w:r>
        <w:rPr>
          <w:rFonts w:ascii="Arial" w:cs="Arial" w:eastAsia="Arial" w:hAnsi="Arial"/>
          <w:sz w:val="21"/>
          <w:szCs w:val="21"/>
          <w:color w:val="auto"/>
        </w:rPr>
        <w:t>Direct operating expenses were $1.1 million higher in the Current Year Quarter compared</w:t>
      </w:r>
      <w:r>
        <w:rPr>
          <w:rFonts w:ascii="Arial" w:cs="Arial" w:eastAsia="Arial" w:hAnsi="Arial"/>
          <w:sz w:val="21"/>
          <w:szCs w:val="21"/>
          <w:i w:val="1"/>
          <w:iCs w:val="1"/>
          <w:color w:val="auto"/>
        </w:rPr>
        <w:t xml:space="preserve"> </w:t>
      </w:r>
      <w:r>
        <w:rPr>
          <w:rFonts w:ascii="Arial" w:cs="Arial" w:eastAsia="Arial" w:hAnsi="Arial"/>
          <w:sz w:val="21"/>
          <w:szCs w:val="21"/>
          <w:color w:val="auto"/>
        </w:rPr>
        <w:t>with the Prior Year Quarter, primarily due to an increase in the Company’s share of local Angolan expenses.</w:t>
      </w:r>
    </w:p>
    <w:p>
      <w:pPr>
        <w:spacing w:after="0" w:line="347"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Nine Months compared with Prior Nine Months</w:t>
      </w:r>
    </w:p>
    <w:p>
      <w:pPr>
        <w:spacing w:after="0" w:line="239"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$5.5 million lower in the Current Nine Months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Nine Months. Charter revenues were $2.5 million lower due to deferral of revenue for one vessel on time charter as collection was not reasonably assured. In addition, charter revenues were $1.5 million lower for the core fleet, primarily due to the effect of cold-stacking vessels, $1.3 million lower due to the repositioning of vessels between geographic regions and $0.2 million lower due to net fleet dispositions.</w:t>
      </w:r>
    </w:p>
    <w:p>
      <w:pPr>
        <w:spacing w:after="0" w:line="214"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$4.3 million higher in the Current Nine Months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Nine Months, primarily due to an increase in the Company’s share of local Angolan expenses, and due to the reactivation of vessels from cold-stacked status.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4" w:name="page45"/>
    <w:bookmarkEnd w:id="44"/>
    <w:p>
      <w:pPr>
        <w:jc w:val="both"/>
        <w:ind w:firstLine="749"/>
        <w:spacing w:after="0" w:line="274" w:lineRule="auto"/>
        <w:rPr>
          <w:sz w:val="20"/>
          <w:szCs w:val="20"/>
          <w:color w:val="auto"/>
        </w:rPr>
      </w:pPr>
      <w:r>
        <w:rPr>
          <w:rFonts w:ascii="Arial" w:cs="Arial" w:eastAsia="Arial" w:hAnsi="Arial"/>
          <w:sz w:val="21"/>
          <w:szCs w:val="21"/>
          <w:b w:val="1"/>
          <w:bCs w:val="1"/>
          <w:i w:val="1"/>
          <w:iCs w:val="1"/>
          <w:color w:val="auto"/>
        </w:rPr>
        <w:t xml:space="preserve">Middle East and Asia. </w:t>
      </w:r>
      <w:r>
        <w:rPr>
          <w:rFonts w:ascii="Arial" w:cs="Arial" w:eastAsia="Arial" w:hAnsi="Arial"/>
          <w:sz w:val="21"/>
          <w:szCs w:val="21"/>
          <w:color w:val="auto"/>
        </w:rPr>
        <w:t>For the three and nine months ended September 30, 2021 and 2020 the Company’s time charter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statistics and direct vessel profit in the Middle East and Asia was as follows (in thousands, except statistics):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6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w w:val="93"/>
              </w:rPr>
              <w:t>For the Three Months Ended September 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10"/>
        </w:trPr>
        <w:tc>
          <w:tcPr>
            <w:tcW w:w="37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FF0FC"/>
            </w:tcBorders>
          </w:tcPr>
          <w:p>
            <w:pPr>
              <w:spacing w:after="0"/>
              <w:rPr>
                <w:sz w:val="18"/>
                <w:szCs w:val="18"/>
                <w:color w:val="auto"/>
              </w:rPr>
            </w:pPr>
          </w:p>
        </w:tc>
      </w:tr>
      <w:tr>
        <w:trPr>
          <w:trHeight w:val="226"/>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5,875</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5,834</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5,836</w:t>
            </w: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FSV</w:t>
            </w:r>
          </w:p>
        </w:tc>
        <w:tc>
          <w:tcPr>
            <w:tcW w:w="160" w:type="dxa"/>
            <w:vAlign w:val="bottom"/>
          </w:tcPr>
          <w:p>
            <w:pPr>
              <w:spacing w:after="0"/>
              <w:rPr>
                <w:sz w:val="18"/>
                <w:szCs w:val="18"/>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color w:val="auto"/>
              </w:rPr>
              <w:t>8,061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8,432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color w:val="auto"/>
              </w:rPr>
              <w:t>7,492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8,178</w:t>
            </w: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7,565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7,170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7,781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6,922</w:t>
            </w:r>
          </w:p>
        </w:tc>
        <w:tc>
          <w:tcPr>
            <w:tcW w:w="140" w:type="dxa"/>
            <w:vAlign w:val="bottom"/>
            <w:shd w:val="clear" w:color="auto" w:fill="CFF0FC"/>
          </w:tcPr>
          <w:p>
            <w:pPr>
              <w:spacing w:after="0"/>
              <w:rPr>
                <w:sz w:val="19"/>
                <w:szCs w:val="19"/>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60" w:type="dxa"/>
            <w:vAlign w:val="bottom"/>
          </w:tcPr>
          <w:p>
            <w:pPr>
              <w:spacing w:after="0"/>
              <w:rPr>
                <w:sz w:val="18"/>
                <w:szCs w:val="18"/>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color w:val="auto"/>
              </w:rPr>
              <w:t>25,332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27,318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color w:val="auto"/>
              </w:rPr>
              <w:t>25,253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27,790</w:t>
            </w:r>
          </w:p>
        </w:tc>
        <w:tc>
          <w:tcPr>
            <w:tcW w:w="140" w:type="dxa"/>
            <w:vAlign w:val="bottom"/>
          </w:tcPr>
          <w:p>
            <w:pPr>
              <w:spacing w:after="0"/>
              <w:rPr>
                <w:sz w:val="18"/>
                <w:szCs w:val="18"/>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Specialty</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1,732</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2,011</w:t>
            </w:r>
          </w:p>
        </w:tc>
        <w:tc>
          <w:tcPr>
            <w:tcW w:w="140" w:type="dxa"/>
            <w:vAlign w:val="bottom"/>
            <w:shd w:val="clear" w:color="auto" w:fill="CFF0FC"/>
          </w:tcPr>
          <w:p>
            <w:pPr>
              <w:spacing w:after="0"/>
              <w:rPr>
                <w:sz w:val="19"/>
                <w:szCs w:val="19"/>
                <w:color w:val="auto"/>
              </w:rPr>
            </w:pPr>
          </w:p>
        </w:tc>
      </w:tr>
      <w:tr>
        <w:trPr>
          <w:trHeight w:val="210"/>
        </w:trPr>
        <w:tc>
          <w:tcPr>
            <w:tcW w:w="3760" w:type="dxa"/>
            <w:vAlign w:val="bottom"/>
          </w:tcPr>
          <w:p>
            <w:pPr>
              <w:ind w:left="500"/>
              <w:spacing w:after="0"/>
              <w:rPr>
                <w:sz w:val="20"/>
                <w:szCs w:val="20"/>
                <w:color w:val="auto"/>
              </w:rPr>
            </w:pPr>
            <w:r>
              <w:rPr>
                <w:rFonts w:ascii="Arial" w:cs="Arial" w:eastAsia="Arial" w:hAnsi="Arial"/>
                <w:sz w:val="16"/>
                <w:szCs w:val="16"/>
                <w:color w:val="auto"/>
              </w:rPr>
              <w:t>Overall</w:t>
            </w:r>
          </w:p>
        </w:tc>
        <w:tc>
          <w:tcPr>
            <w:tcW w:w="160" w:type="dxa"/>
            <w:vAlign w:val="bottom"/>
          </w:tcPr>
          <w:p>
            <w:pPr>
              <w:spacing w:after="0"/>
              <w:rPr>
                <w:sz w:val="18"/>
                <w:szCs w:val="18"/>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color w:val="auto"/>
              </w:rPr>
              <w:t>10,374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579"/>
              <w:spacing w:after="0"/>
              <w:rPr>
                <w:sz w:val="20"/>
                <w:szCs w:val="20"/>
                <w:color w:val="auto"/>
              </w:rPr>
            </w:pPr>
            <w:r>
              <w:rPr>
                <w:rFonts w:ascii="Arial" w:cs="Arial" w:eastAsia="Arial" w:hAnsi="Arial"/>
                <w:sz w:val="16"/>
                <w:szCs w:val="16"/>
                <w:color w:val="auto"/>
              </w:rPr>
              <w:t>9,670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color w:val="auto"/>
              </w:rPr>
              <w:t>9,637</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color w:val="auto"/>
              </w:rPr>
              <w:t>9,852</w:t>
            </w:r>
          </w:p>
        </w:tc>
        <w:tc>
          <w:tcPr>
            <w:tcW w:w="14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318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9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3"/>
        </w:trPr>
        <w:tc>
          <w:tcPr>
            <w:tcW w:w="3080" w:type="dxa"/>
            <w:vAlign w:val="bottom"/>
          </w:tcPr>
          <w:p>
            <w:pPr>
              <w:ind w:left="500"/>
              <w:spacing w:after="0"/>
              <w:rPr>
                <w:sz w:val="20"/>
                <w:szCs w:val="20"/>
                <w:color w:val="auto"/>
              </w:rPr>
            </w:pPr>
            <w:r>
              <w:rPr>
                <w:rFonts w:ascii="Arial" w:cs="Arial" w:eastAsia="Arial" w:hAnsi="Arial"/>
                <w:sz w:val="16"/>
                <w:szCs w:val="16"/>
                <w:color w:val="auto"/>
              </w:rPr>
              <w:t>AHTS</w:t>
            </w:r>
          </w:p>
        </w:tc>
        <w:tc>
          <w:tcPr>
            <w:tcW w:w="31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679"/>
              <w:spacing w:after="0"/>
              <w:rPr>
                <w:sz w:val="20"/>
                <w:szCs w:val="20"/>
                <w:color w:val="auto"/>
              </w:rPr>
            </w:pPr>
            <w:r>
              <w:rPr>
                <w:rFonts w:ascii="Arial" w:cs="Arial" w:eastAsia="Arial" w:hAnsi="Arial"/>
                <w:sz w:val="16"/>
                <w:szCs w:val="16"/>
                <w:color w:val="auto"/>
              </w:rPr>
              <w:t>77%</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41%</w:t>
            </w:r>
          </w:p>
        </w:tc>
        <w:tc>
          <w:tcPr>
            <w:tcW w:w="11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30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318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81%</w:t>
            </w:r>
          </w:p>
        </w:tc>
        <w:tc>
          <w:tcPr>
            <w:tcW w:w="190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76%</w:t>
            </w:r>
          </w:p>
        </w:tc>
        <w:tc>
          <w:tcPr>
            <w:tcW w:w="194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78%</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r>
      <w:tr>
        <w:trPr>
          <w:trHeight w:val="213"/>
        </w:trPr>
        <w:tc>
          <w:tcPr>
            <w:tcW w:w="3080" w:type="dxa"/>
            <w:vAlign w:val="bottom"/>
          </w:tcPr>
          <w:p>
            <w:pPr>
              <w:ind w:left="500"/>
              <w:spacing w:after="0"/>
              <w:rPr>
                <w:sz w:val="20"/>
                <w:szCs w:val="20"/>
                <w:color w:val="auto"/>
              </w:rPr>
            </w:pPr>
            <w:r>
              <w:rPr>
                <w:rFonts w:ascii="Arial" w:cs="Arial" w:eastAsia="Arial" w:hAnsi="Arial"/>
                <w:sz w:val="16"/>
                <w:szCs w:val="16"/>
                <w:color w:val="auto"/>
              </w:rPr>
              <w:t>Supply</w:t>
            </w:r>
          </w:p>
        </w:tc>
        <w:tc>
          <w:tcPr>
            <w:tcW w:w="3180" w:type="dxa"/>
            <w:vAlign w:val="bottom"/>
          </w:tcPr>
          <w:p>
            <w:pPr>
              <w:jc w:val="right"/>
              <w:ind w:right="659"/>
              <w:spacing w:after="0"/>
              <w:rPr>
                <w:sz w:val="20"/>
                <w:szCs w:val="20"/>
                <w:color w:val="auto"/>
              </w:rPr>
            </w:pPr>
            <w:r>
              <w:rPr>
                <w:rFonts w:ascii="Arial" w:cs="Arial" w:eastAsia="Arial" w:hAnsi="Arial"/>
                <w:sz w:val="16"/>
                <w:szCs w:val="16"/>
                <w:color w:val="auto"/>
              </w:rPr>
              <w:t>75%</w:t>
            </w:r>
          </w:p>
        </w:tc>
        <w:tc>
          <w:tcPr>
            <w:tcW w:w="1900" w:type="dxa"/>
            <w:vAlign w:val="bottom"/>
          </w:tcPr>
          <w:p>
            <w:pPr>
              <w:jc w:val="right"/>
              <w:ind w:right="679"/>
              <w:spacing w:after="0"/>
              <w:rPr>
                <w:sz w:val="20"/>
                <w:szCs w:val="20"/>
                <w:color w:val="auto"/>
              </w:rPr>
            </w:pPr>
            <w:r>
              <w:rPr>
                <w:rFonts w:ascii="Arial" w:cs="Arial" w:eastAsia="Arial" w:hAnsi="Arial"/>
                <w:sz w:val="16"/>
                <w:szCs w:val="16"/>
                <w:color w:val="auto"/>
              </w:rPr>
              <w:t>75%</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71%</w:t>
            </w: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30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318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100%</w:t>
            </w:r>
          </w:p>
        </w:tc>
        <w:tc>
          <w:tcPr>
            <w:tcW w:w="190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89%</w:t>
            </w:r>
          </w:p>
        </w:tc>
        <w:tc>
          <w:tcPr>
            <w:tcW w:w="194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100%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r>
      <w:tr>
        <w:trPr>
          <w:trHeight w:val="213"/>
        </w:trPr>
        <w:tc>
          <w:tcPr>
            <w:tcW w:w="308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3180" w:type="dxa"/>
            <w:vAlign w:val="bottom"/>
          </w:tcPr>
          <w:p>
            <w:pPr>
              <w:jc w:val="right"/>
              <w:ind w:right="659"/>
              <w:spacing w:after="0"/>
              <w:rPr>
                <w:sz w:val="20"/>
                <w:szCs w:val="20"/>
                <w:color w:val="auto"/>
              </w:rPr>
            </w:pPr>
            <w:r>
              <w:rPr>
                <w:rFonts w:ascii="Arial" w:cs="Arial" w:eastAsia="Arial" w:hAnsi="Arial"/>
                <w:sz w:val="16"/>
                <w:szCs w:val="16"/>
                <w:color w:val="auto"/>
              </w:rPr>
              <w:t>0%</w:t>
            </w:r>
          </w:p>
        </w:tc>
        <w:tc>
          <w:tcPr>
            <w:tcW w:w="1900" w:type="dxa"/>
            <w:vAlign w:val="bottom"/>
          </w:tcPr>
          <w:p>
            <w:pPr>
              <w:jc w:val="right"/>
              <w:ind w:right="679"/>
              <w:spacing w:after="0"/>
              <w:rPr>
                <w:sz w:val="20"/>
                <w:szCs w:val="20"/>
                <w:color w:val="auto"/>
              </w:rPr>
            </w:pPr>
            <w:r>
              <w:rPr>
                <w:rFonts w:ascii="Arial" w:cs="Arial" w:eastAsia="Arial" w:hAnsi="Arial"/>
                <w:sz w:val="16"/>
                <w:szCs w:val="16"/>
                <w:color w:val="auto"/>
              </w:rPr>
              <w:t>100%</w:t>
            </w:r>
          </w:p>
        </w:tc>
        <w:tc>
          <w:tcPr>
            <w:tcW w:w="1940" w:type="dxa"/>
            <w:vAlign w:val="bottom"/>
          </w:tcPr>
          <w:p>
            <w:pPr>
              <w:jc w:val="right"/>
              <w:ind w:right="719"/>
              <w:spacing w:after="0"/>
              <w:rPr>
                <w:sz w:val="20"/>
                <w:szCs w:val="20"/>
                <w:color w:val="auto"/>
              </w:rPr>
            </w:pPr>
            <w:r>
              <w:rPr>
                <w:rFonts w:ascii="Arial" w:cs="Arial" w:eastAsia="Arial" w:hAnsi="Arial"/>
                <w:sz w:val="16"/>
                <w:szCs w:val="16"/>
                <w:color w:val="auto"/>
              </w:rPr>
              <w:t>64%</w:t>
            </w:r>
          </w:p>
        </w:tc>
        <w:tc>
          <w:tcPr>
            <w:tcW w:w="11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30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3180" w:type="dxa"/>
            <w:vAlign w:val="bottom"/>
            <w:shd w:val="clear" w:color="auto" w:fill="CFF0FC"/>
          </w:tcPr>
          <w:p>
            <w:pPr>
              <w:jc w:val="right"/>
              <w:ind w:right="659"/>
              <w:spacing w:after="0"/>
              <w:rPr>
                <w:sz w:val="20"/>
                <w:szCs w:val="20"/>
                <w:color w:val="auto"/>
              </w:rPr>
            </w:pPr>
            <w:r>
              <w:rPr>
                <w:rFonts w:ascii="Arial" w:cs="Arial" w:eastAsia="Arial" w:hAnsi="Arial"/>
                <w:sz w:val="16"/>
                <w:szCs w:val="16"/>
                <w:color w:val="auto"/>
              </w:rPr>
              <w:t>73%</w:t>
            </w:r>
          </w:p>
        </w:tc>
        <w:tc>
          <w:tcPr>
            <w:tcW w:w="1900" w:type="dxa"/>
            <w:vAlign w:val="bottom"/>
            <w:shd w:val="clear" w:color="auto" w:fill="CFF0FC"/>
          </w:tcPr>
          <w:p>
            <w:pPr>
              <w:jc w:val="right"/>
              <w:ind w:right="679"/>
              <w:spacing w:after="0"/>
              <w:rPr>
                <w:sz w:val="20"/>
                <w:szCs w:val="20"/>
                <w:color w:val="auto"/>
              </w:rPr>
            </w:pPr>
            <w:r>
              <w:rPr>
                <w:rFonts w:ascii="Arial" w:cs="Arial" w:eastAsia="Arial" w:hAnsi="Arial"/>
                <w:sz w:val="16"/>
                <w:szCs w:val="16"/>
                <w:color w:val="auto"/>
              </w:rPr>
              <w:t>78%</w:t>
            </w:r>
          </w:p>
        </w:tc>
        <w:tc>
          <w:tcPr>
            <w:tcW w:w="194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76%</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6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FSV</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921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2,724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2,705</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548</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Specialty</w:t>
            </w: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5,452</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5,092</w:t>
            </w:r>
          </w:p>
        </w:tc>
        <w:tc>
          <w:tcPr>
            <w:tcW w:w="22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13,417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13,672</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39,744</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99%</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39,044</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13,502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13,968</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40,220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40,274</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5,849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5,171</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16,435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12,777</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1,564</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5,319</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4,390</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718</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220" w:type="dxa"/>
            <w:vAlign w:val="bottom"/>
            <w:shd w:val="clear" w:color="auto" w:fill="CFF0FC"/>
          </w:tcPr>
          <w:p>
            <w:pPr>
              <w:spacing w:after="0"/>
              <w:rPr>
                <w:sz w:val="19"/>
                <w:szCs w:val="19"/>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1,870</w:t>
            </w:r>
          </w:p>
        </w:tc>
        <w:tc>
          <w:tcPr>
            <w:tcW w:w="220" w:type="dxa"/>
            <w:vAlign w:val="bottom"/>
            <w:shd w:val="clear" w:color="auto" w:fill="CFF0FC"/>
          </w:tcPr>
          <w:p>
            <w:pPr>
              <w:spacing w:after="0"/>
              <w:rPr>
                <w:sz w:val="19"/>
                <w:szCs w:val="19"/>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1,220</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76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777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482</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2,102</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2,823</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1,771</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4,010</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3,273</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11,922</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9,543</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68%</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32,458</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24,480</w:t>
            </w:r>
          </w:p>
        </w:tc>
        <w:tc>
          <w:tcPr>
            <w:tcW w:w="2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37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6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1,580</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4,425</w:t>
            </w:r>
          </w:p>
        </w:tc>
        <w:tc>
          <w:tcPr>
            <w:tcW w:w="220" w:type="dxa"/>
            <w:vAlign w:val="bottom"/>
            <w:shd w:val="clear" w:color="auto" w:fill="CFF0FC"/>
          </w:tcPr>
          <w:p>
            <w:pPr>
              <w:spacing w:after="0"/>
              <w:rPr>
                <w:sz w:val="18"/>
                <w:szCs w:val="18"/>
                <w:color w:val="auto"/>
              </w:rPr>
            </w:pPr>
          </w:p>
        </w:tc>
        <w:tc>
          <w:tcPr>
            <w:tcW w:w="6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7,762</w:t>
            </w:r>
          </w:p>
        </w:tc>
        <w:tc>
          <w:tcPr>
            <w:tcW w:w="220" w:type="dxa"/>
            <w:vAlign w:val="bottom"/>
            <w:shd w:val="clear" w:color="auto" w:fill="CFF0FC"/>
          </w:tcPr>
          <w:p>
            <w:pPr>
              <w:spacing w:after="0"/>
              <w:rPr>
                <w:sz w:val="18"/>
                <w:szCs w:val="18"/>
                <w:color w:val="auto"/>
              </w:rPr>
            </w:pPr>
          </w:p>
        </w:tc>
        <w:tc>
          <w:tcPr>
            <w:tcW w:w="6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15,794</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i w:val="1"/>
          <w:iCs w:val="1"/>
          <w:color w:val="auto"/>
        </w:rPr>
        <w:t xml:space="preserve">Operating Revenues. </w:t>
      </w:r>
      <w:r>
        <w:rPr>
          <w:rFonts w:ascii="Arial" w:cs="Arial" w:eastAsia="Arial" w:hAnsi="Arial"/>
          <w:sz w:val="19"/>
          <w:szCs w:val="19"/>
          <w:color w:val="auto"/>
        </w:rPr>
        <w:t>Charter revenues were $0.3 million lower in the Current Year Quarter compared with the Prior Year</w:t>
      </w:r>
      <w:r>
        <w:rPr>
          <w:rFonts w:ascii="Arial" w:cs="Arial" w:eastAsia="Arial" w:hAnsi="Arial"/>
          <w:sz w:val="19"/>
          <w:szCs w:val="19"/>
          <w:i w:val="1"/>
          <w:iCs w:val="1"/>
          <w:color w:val="auto"/>
        </w:rPr>
        <w:t xml:space="preserve"> </w:t>
      </w:r>
      <w:r>
        <w:rPr>
          <w:rFonts w:ascii="Arial" w:cs="Arial" w:eastAsia="Arial" w:hAnsi="Arial"/>
          <w:sz w:val="19"/>
          <w:szCs w:val="19"/>
          <w:color w:val="auto"/>
        </w:rPr>
        <w:t>Quarter. Charter revenues were $0.5 million lower due to net fleet dispositions and $0.6 million lower for the core fleet, primarily due to the timing of major repairs and dry dockings. Charter revenues were $0.8 million higher due to the repositioning of vessels between geographic regions. As of September 30, 2021, the Company had two of 19 owned and leased-in vessels (one Specialty and one Supply) cold-stacked in this region compared with one of 21 vessels as of September 30, 2020.</w:t>
      </w:r>
    </w:p>
    <w:p>
      <w:pPr>
        <w:spacing w:after="0" w:line="120"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$2.4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$2.2 million higher for the core fleet, primarily due to an increase in the Company’s share of local Saudi Arabian expenses, $0.6 million higher due to the repositioning of vessels between geographic regions, and $0.4 million lower due to net fleet dispositions.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5" w:name="page46"/>
    <w:bookmarkEnd w:id="45"/>
    <w:p>
      <w:pPr>
        <w:ind w:left="760"/>
        <w:spacing w:after="0"/>
        <w:rPr>
          <w:sz w:val="20"/>
          <w:szCs w:val="20"/>
          <w:color w:val="auto"/>
        </w:rPr>
      </w:pPr>
      <w:r>
        <w:rPr>
          <w:rFonts w:ascii="Arial" w:cs="Arial" w:eastAsia="Arial" w:hAnsi="Arial"/>
          <w:sz w:val="22"/>
          <w:szCs w:val="22"/>
          <w:b w:val="1"/>
          <w:bCs w:val="1"/>
          <w:u w:val="single" w:color="auto"/>
          <w:color w:val="auto"/>
        </w:rPr>
        <w:t>Current Nine Months compared with Prior Nine Months</w:t>
      </w:r>
    </w:p>
    <w:p>
      <w:pPr>
        <w:spacing w:after="0" w:line="23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$0.7 million higher in the Current Nine Months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Nine Months. Charter revenues were $1.9 million higher due to net fleet additions and $1.5 million higher due to the repositioning of vessels between geographic regions. Charter revenues were $2.7 million lower due to the cold stacking of one vessel and due to the timing of major repairs and dry dockings.</w:t>
      </w:r>
    </w:p>
    <w:p>
      <w:pPr>
        <w:spacing w:after="0" w:line="144"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$8.0 million higher in the Current Nine Months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Prior Nine Months. Direct operating expenses were $5.5 million higher for the core fleet, primarily due an increase in the Company’s share of local Saudi Arabian expenses and the timing of dry dockings and certain repair expenditures, $1.6 million higher due to net fleet additions and $0.9 million higher due to the repositioning of vessels between geographic regions.</w:t>
      </w:r>
    </w:p>
    <w:p>
      <w:pPr>
        <w:spacing w:after="0" w:line="116"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Latin America (Brazil, Mexico, Central and South America). </w:t>
      </w:r>
      <w:r>
        <w:rPr>
          <w:rFonts w:ascii="Arial" w:cs="Arial" w:eastAsia="Arial" w:hAnsi="Arial"/>
          <w:sz w:val="22"/>
          <w:szCs w:val="22"/>
          <w:color w:val="auto"/>
        </w:rPr>
        <w:t>For the three and nine months ended September 30, 2021</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2020 the Company’s time charter statistics and direct vessel profit in Latin America was as follows (in thousands, except statistics):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10"/>
          </w:tcPr>
          <w:p>
            <w:pPr>
              <w:jc w:val="right"/>
              <w:ind w:right="480"/>
              <w:spacing w:after="0"/>
              <w:rPr>
                <w:sz w:val="20"/>
                <w:szCs w:val="20"/>
                <w:color w:val="auto"/>
              </w:rPr>
            </w:pPr>
            <w:r>
              <w:rPr>
                <w:rFonts w:ascii="Arial" w:cs="Arial" w:eastAsia="Arial" w:hAnsi="Arial"/>
                <w:sz w:val="16"/>
                <w:szCs w:val="16"/>
                <w:b w:val="1"/>
                <w:bCs w:val="1"/>
                <w:color w:val="auto"/>
                <w:w w:val="93"/>
              </w:rPr>
              <w:t>For the Three Months Ended September 30,</w:t>
            </w:r>
          </w:p>
        </w:tc>
        <w:tc>
          <w:tcPr>
            <w:tcW w:w="200" w:type="dxa"/>
            <w:vAlign w:val="bottom"/>
          </w:tcPr>
          <w:p>
            <w:pPr>
              <w:spacing w:after="0"/>
              <w:rPr>
                <w:sz w:val="18"/>
                <w:szCs w:val="18"/>
                <w:color w:val="auto"/>
              </w:rPr>
            </w:pPr>
          </w:p>
        </w:tc>
        <w:tc>
          <w:tcPr>
            <w:tcW w:w="3080" w:type="dxa"/>
            <w:vAlign w:val="bottom"/>
            <w:gridSpan w:val="8"/>
          </w:tcPr>
          <w:p>
            <w:pPr>
              <w:ind w:left="100"/>
              <w:spacing w:after="0"/>
              <w:rPr>
                <w:sz w:val="20"/>
                <w:szCs w:val="20"/>
                <w:color w:val="auto"/>
              </w:rPr>
            </w:pPr>
            <w:r>
              <w:rPr>
                <w:rFonts w:ascii="Arial" w:cs="Arial" w:eastAsia="Arial" w:hAnsi="Arial"/>
                <w:sz w:val="16"/>
                <w:szCs w:val="16"/>
                <w:b w:val="1"/>
                <w:bCs w:val="1"/>
                <w:color w:val="auto"/>
                <w:w w:val="91"/>
              </w:rPr>
              <w:t>For the Nine Months Ended September 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8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7,577</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Supply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15,379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15,658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15,429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15,306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36,742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37,941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Overall</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16,240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13,355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16,066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11,601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FSV</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89%</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90%</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71%</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99%</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87%</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Supply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324</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7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22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1,452</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12,630</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8,621</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35,220</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94%</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16,268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2,223</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13,640</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8,833</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37,443</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16,797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100%</w:t>
            </w:r>
          </w:p>
        </w:tc>
        <w:tc>
          <w:tcPr>
            <w:tcW w:w="0" w:type="dxa"/>
            <w:vAlign w:val="bottom"/>
          </w:tcPr>
          <w:p>
            <w:pPr>
              <w:spacing w:after="0"/>
              <w:rPr>
                <w:sz w:val="1"/>
                <w:szCs w:val="1"/>
                <w:color w:val="auto"/>
              </w:rPr>
            </w:pPr>
          </w:p>
        </w:tc>
      </w:tr>
      <w:tr>
        <w:trPr>
          <w:trHeight w:val="212"/>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3,627</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2,342</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10,067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2,120</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4,781</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467</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(114)</w:t>
            </w:r>
          </w:p>
        </w:tc>
        <w:tc>
          <w:tcPr>
            <w:tcW w:w="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w:t>
            </w:r>
          </w:p>
        </w:tc>
        <w:tc>
          <w:tcPr>
            <w:tcW w:w="2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2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1,918</w:t>
            </w:r>
          </w:p>
        </w:tc>
        <w:tc>
          <w:tcPr>
            <w:tcW w:w="2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1,017</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307</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2,569</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2,313</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w:t>
            </w: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8,323</w:t>
            </w:r>
          </w:p>
        </w:tc>
        <w:tc>
          <w:tcPr>
            <w:tcW w:w="2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3,935</w:t>
            </w:r>
          </w:p>
        </w:tc>
        <w:tc>
          <w:tcPr>
            <w:tcW w:w="2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22,115</w:t>
            </w:r>
          </w:p>
        </w:tc>
        <w:tc>
          <w:tcPr>
            <w:tcW w:w="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59%</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5,317</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4,898</w:t>
            </w: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15,328</w:t>
            </w:r>
          </w:p>
        </w:tc>
        <w:tc>
          <w:tcPr>
            <w:tcW w:w="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8,868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$4.0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Charter revenues were $3.5 million higher due to the repositioning of vessels between geographic regions, and $1.4 million higher due to net fleet additions. Charter revenues were $0.9 million lower for the core fleet, primarily due to the timing of major repairs and dry dockings.</w:t>
      </w:r>
    </w:p>
    <w:p>
      <w:pPr>
        <w:spacing w:after="0" w:line="144"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$4.4 million higher in the Current Year Quarter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Prior Year Quarter, primarily due to net fleet additions and the repositioning of vessel between geographic regions.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6" w:name="page47"/>
    <w:bookmarkEnd w:id="46"/>
    <w:p>
      <w:pPr>
        <w:ind w:left="760"/>
        <w:spacing w:after="0"/>
        <w:rPr>
          <w:sz w:val="20"/>
          <w:szCs w:val="20"/>
          <w:color w:val="auto"/>
        </w:rPr>
      </w:pPr>
      <w:r>
        <w:rPr>
          <w:rFonts w:ascii="Arial" w:cs="Arial" w:eastAsia="Arial" w:hAnsi="Arial"/>
          <w:sz w:val="22"/>
          <w:szCs w:val="22"/>
          <w:b w:val="1"/>
          <w:bCs w:val="1"/>
          <w:u w:val="single" w:color="auto"/>
          <w:color w:val="auto"/>
        </w:rPr>
        <w:t>Current Nine Months compared with Prior Nine Months</w:t>
      </w:r>
    </w:p>
    <w:p>
      <w:pPr>
        <w:spacing w:after="0" w:line="23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$19.0 million higher in the Current Nine Months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Nine Months. Charter revenues were $13.6 million higher due to net fleet additions, and $5.8 million higher due to the repositioning of vessels between geographic regions. Charter revenues were $0.4 million lower for the core fleet, primarily due to the timing of major repairs and drydocking.</w:t>
      </w:r>
    </w:p>
    <w:p>
      <w:pPr>
        <w:spacing w:after="0" w:line="212"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i w:val="1"/>
          <w:iCs w:val="1"/>
          <w:color w:val="auto"/>
        </w:rPr>
        <w:t xml:space="preserve">Direct Operating Expenses. </w:t>
      </w:r>
      <w:r>
        <w:rPr>
          <w:rFonts w:ascii="Arial" w:cs="Arial" w:eastAsia="Arial" w:hAnsi="Arial"/>
          <w:sz w:val="19"/>
          <w:szCs w:val="19"/>
          <w:color w:val="auto"/>
        </w:rPr>
        <w:t>Direct operating expenses were $14.2 million higher in the Current Nine Months compared</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Prior Nine Months, primarily due to net fleet additions and the repositioning of vessels between geographic regions.</w:t>
      </w:r>
    </w:p>
    <w:p>
      <w:pPr>
        <w:spacing w:after="0" w:line="7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Other Operating Expenses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Leased Expense. </w:t>
      </w:r>
      <w:r>
        <w:rPr>
          <w:rFonts w:ascii="Arial" w:cs="Arial" w:eastAsia="Arial" w:hAnsi="Arial"/>
          <w:sz w:val="22"/>
          <w:szCs w:val="22"/>
          <w:color w:val="auto"/>
        </w:rPr>
        <w:t>Leased-in equipment expense for the Current Year Quarter was essentially flat compared with the Prior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Year Quarter. Leased-in equipment for the Current Nine Months was $2.3 million lower compared with the Prior Nine Months, primarily due to the impairment of two leased-in vessels during the first quarter of 2020 and the amendment of one leased-in vessel during the third quarter of 2020.</w:t>
      </w:r>
    </w:p>
    <w:p>
      <w:pPr>
        <w:spacing w:after="0" w:line="14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Administrative and general. </w:t>
      </w:r>
      <w:r>
        <w:rPr>
          <w:rFonts w:ascii="Arial" w:cs="Arial" w:eastAsia="Arial" w:hAnsi="Arial"/>
          <w:sz w:val="22"/>
          <w:szCs w:val="22"/>
          <w:color w:val="auto"/>
        </w:rPr>
        <w:t>Administrative and general expenses for the Current Year Quarter were $0.2 million higher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compared to the Prior Year Quarter. Administrative and general expenses for the Current Nine Months were $4.6 million lower compared to the Prior Nine Months, primarily due to a $3.0 million transaction fee paid in the Prior Year Quarter to SEACOR Holdings under the Tax Refund Agreement.</w:t>
      </w:r>
    </w:p>
    <w:p>
      <w:pPr>
        <w:spacing w:after="0" w:line="158"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and Current Nine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was $0.5 million lower and $1.3 million higher compared to the Prior Year Quarter and Prior Nine Months, respectively, primarily due to net fleet change.</w:t>
      </w:r>
    </w:p>
    <w:p>
      <w:pPr>
        <w:spacing w:after="0" w:line="186" w:lineRule="exact"/>
        <w:rPr>
          <w:sz w:val="20"/>
          <w:szCs w:val="20"/>
          <w:color w:val="auto"/>
        </w:rPr>
      </w:pPr>
    </w:p>
    <w:p>
      <w:pPr>
        <w:jc w:val="both"/>
        <w:ind w:firstLine="749"/>
        <w:spacing w:after="0"/>
        <w:rPr>
          <w:sz w:val="20"/>
          <w:szCs w:val="20"/>
          <w:color w:val="auto"/>
        </w:rPr>
      </w:pPr>
      <w:r>
        <w:rPr>
          <w:rFonts w:ascii="Arial" w:cs="Arial" w:eastAsia="Arial" w:hAnsi="Arial"/>
          <w:sz w:val="22"/>
          <w:szCs w:val="22"/>
          <w:b w:val="1"/>
          <w:bCs w:val="1"/>
          <w:i w:val="1"/>
          <w:iCs w:val="1"/>
          <w:color w:val="auto"/>
        </w:rPr>
        <w:t xml:space="preserve">Gains (Losses) on Asset Dispositions and Impairments, Net. </w:t>
      </w:r>
      <w:r>
        <w:rPr>
          <w:rFonts w:ascii="Arial" w:cs="Arial" w:eastAsia="Arial" w:hAnsi="Arial"/>
          <w:sz w:val="22"/>
          <w:szCs w:val="22"/>
          <w:color w:val="auto"/>
        </w:rPr>
        <w:t>There were no vessel sales or impairment charges for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Current Year Quarter. During the Prior Year Quarter, the Company sold one specialty vessel and other equipment for $3.0 million cash and gains of $0.3 million all of which was recognized currently.</w:t>
      </w:r>
    </w:p>
    <w:p>
      <w:pPr>
        <w:spacing w:after="0" w:line="213" w:lineRule="exact"/>
        <w:rPr>
          <w:sz w:val="20"/>
          <w:szCs w:val="20"/>
          <w:color w:val="auto"/>
        </w:rPr>
      </w:pPr>
    </w:p>
    <w:p>
      <w:pPr>
        <w:jc w:val="both"/>
        <w:ind w:firstLine="779"/>
        <w:spacing w:after="0" w:line="273" w:lineRule="auto"/>
        <w:rPr>
          <w:sz w:val="20"/>
          <w:szCs w:val="20"/>
          <w:color w:val="auto"/>
        </w:rPr>
      </w:pPr>
      <w:r>
        <w:rPr>
          <w:rFonts w:ascii="Arial" w:cs="Arial" w:eastAsia="Arial" w:hAnsi="Arial"/>
          <w:sz w:val="19"/>
          <w:szCs w:val="19"/>
          <w:color w:val="auto"/>
        </w:rPr>
        <w:t>During the Current Nine Months, the Company sold one PSV vessel, three FSVs and set off debt payments with hull and machinery insurance proceeds for the liftboat SEACOR Power of $25.0 million, for a total of $30.1 million in cash, resulting in gains of $20.9 million all of which was recognized currently. The insurance proceeds from the SEACOR Power were primarily used to repay associated debt under the FGUSA Credit Facility as described in “Note 4. Long-Term Debt” in the unaudited consolidated financial statements included in Part I. Item 1. “Financial Statements” elsewhere in this Quarterly Report on Form 10-Q. During the Prior Nine Months, the Company sold two AHTS vessels and one specialty vessel previously removed from service, four FSVs, one specialty, one vessel under construction and other equipment for $21.6 million ($20.7 million in cash and $0.9 million in previously received deposits) resulting in gains of $1.2 million all of which was recognized currently. In addition, the Company recorded aggregate impairment charges of $12.5 million related to six liftboats (two leased-in and four owned) and one specialty vessel and recognized net losses of $4.5 million ($4.8 million loss due to the disposal of one vessel under construction, offset by a $0.3 million gain due to the redelivery of one leased-in AHTS vessel).</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b w:val="1"/>
          <w:bCs w:val="1"/>
          <w:color w:val="auto"/>
        </w:rPr>
        <w:t>Other Income (Expense), Net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1"/>
          <w:szCs w:val="21"/>
          <w:color w:val="auto"/>
        </w:rPr>
        <w:t>For the periods ended September 30, the Company’s other income (expense) was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7"/>
          </w:tcPr>
          <w:p>
            <w:pPr>
              <w:jc w:val="right"/>
              <w:ind w:right="18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8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w:t>
            </w:r>
          </w:p>
        </w:tc>
        <w:tc>
          <w:tcPr>
            <w:tcW w:w="24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1,245</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(6,403)</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(8,312)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(21,731)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(22,403)</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SEACOR Holdings guarantee fees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debt extinguishment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Derivative gains,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5,204</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gains (losses),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(911)</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(878)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r>
      <w:tr>
        <w:trPr>
          <w:trHeight w:val="21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w w:val="98"/>
              </w:rPr>
              <w:t>Gain from return of investments in 50% or less owned companies and other, net</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9,442</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r>
      <w:tr>
        <w:trPr>
          <w:trHeight w:val="210"/>
        </w:trPr>
        <w:tc>
          <w:tcPr>
            <w:tcW w:w="58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(9,195)</w:t>
            </w:r>
          </w:p>
        </w:tc>
        <w:tc>
          <w:tcPr>
            <w:tcW w:w="240" w:type="dxa"/>
            <w:vAlign w:val="bottom"/>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50,451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(16,031)</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Interest income. </w:t>
      </w:r>
      <w:r>
        <w:rPr>
          <w:rFonts w:ascii="Arial" w:cs="Arial" w:eastAsia="Arial" w:hAnsi="Arial"/>
          <w:sz w:val="22"/>
          <w:szCs w:val="22"/>
          <w:color w:val="auto"/>
        </w:rPr>
        <w:t>Interest income for the Current Year Quarter compared with the Prior Year Quarter increased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due to a tax refund on a portion of interest paid.</w:t>
      </w:r>
    </w:p>
    <w:p>
      <w:pPr>
        <w:spacing w:after="0" w:line="20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i w:val="1"/>
          <w:iCs w:val="1"/>
          <w:color w:val="auto"/>
        </w:rPr>
        <w:t xml:space="preserve">Interest expense. </w:t>
      </w:r>
      <w:r>
        <w:rPr>
          <w:rFonts w:ascii="Arial" w:cs="Arial" w:eastAsia="Arial" w:hAnsi="Arial"/>
          <w:sz w:val="22"/>
          <w:szCs w:val="22"/>
          <w:color w:val="auto"/>
        </w:rPr>
        <w:t>Interest expense in the Current Year Quarter and Current Nine Months compared with the Prior Year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Quarter and Prior Nine Months was lower primarily due to the repayment of the FGUSA Credit Facility and lower interest rates on floating rate debt. This decrease was offset by increases in interest associated with the SEACOR Alpine Shipyard Financing following delivery of one PSV in 2020 and increases in interest associated with the Tarahumara Shipyard Financing following delivery of one PSV in 2021.</w:t>
      </w:r>
    </w:p>
    <w:p>
      <w:pPr>
        <w:spacing w:after="0" w:line="16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 xml:space="preserve">Derivative gains, net. </w:t>
      </w:r>
      <w:r>
        <w:rPr>
          <w:rFonts w:ascii="Arial" w:cs="Arial" w:eastAsia="Arial" w:hAnsi="Arial"/>
          <w:sz w:val="19"/>
          <w:szCs w:val="19"/>
          <w:color w:val="auto"/>
        </w:rPr>
        <w:t>Net derivative gains during the Current Year Quarter compared to the Prior Year Quarter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decreased due to the fair value of the Company’s conversion option liability embedded in the Company’s Convertible Senior Notes approximating zero in the Current Year Quarter. Net Derivative gains in the Current Nine Months compared to the Prior Nine Months was due to the fair value of the conversion option liability decreasing from $5.2 million to approximately zero in the Prior Nine Months; offset by gains realized on foreign currency forwards in the Current Nine Months.</w:t>
      </w:r>
    </w:p>
    <w:p>
      <w:pPr>
        <w:spacing w:after="0" w:line="107"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b w:val="1"/>
          <w:bCs w:val="1"/>
          <w:i w:val="1"/>
          <w:iCs w:val="1"/>
          <w:color w:val="auto"/>
        </w:rPr>
        <w:t xml:space="preserve">Foreign currency gains (losses), net. </w:t>
      </w:r>
      <w:r>
        <w:rPr>
          <w:rFonts w:ascii="Arial" w:cs="Arial" w:eastAsia="Arial" w:hAnsi="Arial"/>
          <w:sz w:val="19"/>
          <w:szCs w:val="19"/>
          <w:color w:val="auto"/>
        </w:rPr>
        <w:t>Foreign currency gains for the Current Year Quarter compared to foreign currency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losses for the Prior Year Quarter was primarily due to various changes in foreign currencies. Foreign currency losses for the Current Nine Months compared to the Prior Nine Months were higher primarily due to various changes in foreign currencies.</w:t>
      </w:r>
    </w:p>
    <w:p>
      <w:pPr>
        <w:spacing w:after="0" w:line="2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Gain from return of investments in 50% or less owned companies and other, net. </w:t>
      </w:r>
      <w:r>
        <w:rPr>
          <w:rFonts w:ascii="Arial" w:cs="Arial" w:eastAsia="Arial" w:hAnsi="Arial"/>
          <w:sz w:val="21"/>
          <w:szCs w:val="21"/>
          <w:color w:val="auto"/>
        </w:rPr>
        <w:t>Other gains during the Current Year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Quarter and Current Nine Months were primarily due to a distribution of $12.0 million from the Company’s MEXMAR Offshore joint venture of which $9.4 million was in excess of the Company’s investment in the joint venture.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Benefit</w:t>
      </w:r>
    </w:p>
    <w:p>
      <w:pPr>
        <w:spacing w:after="0" w:line="18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During the nine months ended September 30, 2021, the Company’s effective income tax rate of 24.56% was primarily due to foreign taxes not creditable against U.S. income taxes offset by the impact of foreign sourced income not subject to U.S. income taxes. For the nine months ended September 30, 2020, the Company’s effective income tax rate of 34.97% was primarily due to taxes provided on income attributable to noncontrolling interest, foreign sourced income not subject to U.S. income taxes, foreign taxes not creditable against U.S. income taxes, and an adjustment for the acquisition of the remaining minority membership interest in a consolidated subsidiary.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Equity in Earnings (Losses) of 50% or Less Owned Companies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Equity in earnings (losses) of 50% or less owned companies for the Current Three Months compared with the Prior Three Months were $4.9 million higher and earnings for the Current Nine Months compared with the Prior Nine Months were $9.1 million higher due to the following changes in equity earnings (losses)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2160" w:type="dxa"/>
            <w:vAlign w:val="bottom"/>
            <w:gridSpan w:val="4"/>
          </w:tcPr>
          <w:p>
            <w:pPr>
              <w:jc w:val="right"/>
              <w:ind w:right="102"/>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gridSpan w:val="3"/>
          </w:tcPr>
          <w:p>
            <w:pPr>
              <w:jc w:val="right"/>
              <w:ind w:right="342"/>
              <w:spacing w:after="0"/>
              <w:rPr>
                <w:sz w:val="20"/>
                <w:szCs w:val="20"/>
                <w:color w:val="auto"/>
              </w:rPr>
            </w:pPr>
            <w:r>
              <w:rPr>
                <w:rFonts w:ascii="Arial" w:cs="Arial" w:eastAsia="Arial" w:hAnsi="Arial"/>
                <w:sz w:val="16"/>
                <w:szCs w:val="16"/>
                <w:b w:val="1"/>
                <w:bCs w:val="1"/>
                <w:color w:val="auto"/>
                <w:w w:val="89"/>
              </w:rPr>
              <w:t>September 30,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6"/>
          </w:tcPr>
          <w:p>
            <w:pPr>
              <w:jc w:val="right"/>
              <w:ind w:right="18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840" w:type="dxa"/>
            <w:vAlign w:val="bottom"/>
            <w:tcBorders>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12"/>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MexMar</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3,634</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2"/>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(327)</w:t>
            </w:r>
          </w:p>
        </w:tc>
        <w:tc>
          <w:tcPr>
            <w:tcW w:w="240" w:type="dxa"/>
            <w:vAlign w:val="bottom"/>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2,552</w:t>
            </w:r>
          </w:p>
        </w:tc>
        <w:tc>
          <w:tcPr>
            <w:tcW w:w="100" w:type="dxa"/>
            <w:vAlign w:val="bottom"/>
            <w:shd w:val="clear" w:color="auto" w:fill="CFF0FC"/>
          </w:tcPr>
          <w:p>
            <w:pPr>
              <w:spacing w:after="0"/>
              <w:rPr>
                <w:sz w:val="18"/>
                <w:szCs w:val="18"/>
                <w:color w:val="auto"/>
              </w:rPr>
            </w:pPr>
          </w:p>
        </w:tc>
      </w:tr>
      <w:tr>
        <w:trPr>
          <w:trHeight w:val="213"/>
        </w:trPr>
        <w:tc>
          <w:tcPr>
            <w:tcW w:w="6580" w:type="dxa"/>
            <w:vAlign w:val="bottom"/>
            <w:gridSpan w:val="2"/>
          </w:tcPr>
          <w:p>
            <w:pPr>
              <w:spacing w:after="0"/>
              <w:rPr>
                <w:sz w:val="20"/>
                <w:szCs w:val="20"/>
                <w:color w:val="auto"/>
              </w:rPr>
            </w:pPr>
            <w:r>
              <w:rPr>
                <w:rFonts w:ascii="Arial" w:cs="Arial" w:eastAsia="Arial" w:hAnsi="Arial"/>
                <w:sz w:val="16"/>
                <w:szCs w:val="16"/>
                <w:color w:val="auto"/>
              </w:rPr>
              <w:t>MEXMAR Offshore</w:t>
            </w:r>
          </w:p>
        </w:tc>
        <w:tc>
          <w:tcPr>
            <w:tcW w:w="6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2,562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SEACOR Arabia</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1,250</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2,099</w:t>
            </w:r>
          </w:p>
        </w:tc>
        <w:tc>
          <w:tcPr>
            <w:tcW w:w="100" w:type="dxa"/>
            <w:vAlign w:val="bottom"/>
            <w:shd w:val="clear" w:color="auto" w:fill="CFF0FC"/>
          </w:tcPr>
          <w:p>
            <w:pPr>
              <w:spacing w:after="0"/>
              <w:rPr>
                <w:sz w:val="19"/>
                <w:szCs w:val="19"/>
                <w:color w:val="auto"/>
              </w:rPr>
            </w:pPr>
          </w:p>
        </w:tc>
      </w:tr>
      <w:tr>
        <w:trPr>
          <w:trHeight w:val="213"/>
        </w:trPr>
        <w:tc>
          <w:tcPr>
            <w:tcW w:w="6580" w:type="dxa"/>
            <w:vAlign w:val="bottom"/>
            <w:gridSpan w:val="2"/>
          </w:tcPr>
          <w:p>
            <w:pPr>
              <w:spacing w:after="0"/>
              <w:rPr>
                <w:sz w:val="20"/>
                <w:szCs w:val="20"/>
                <w:color w:val="auto"/>
              </w:rPr>
            </w:pPr>
            <w:r>
              <w:rPr>
                <w:rFonts w:ascii="Arial" w:cs="Arial" w:eastAsia="Arial" w:hAnsi="Arial"/>
                <w:sz w:val="16"/>
                <w:szCs w:val="16"/>
                <w:color w:val="auto"/>
              </w:rPr>
              <w:t>OSV Partners</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(473)</w:t>
            </w:r>
          </w:p>
        </w:tc>
        <w:tc>
          <w:tcPr>
            <w:tcW w:w="7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(315)</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(1,502)</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(1,094)</w:t>
            </w:r>
          </w:p>
        </w:tc>
      </w:tr>
      <w:tr>
        <w:trPr>
          <w:trHeight w:val="219"/>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SEACOR Offshore Delta (f/k/a SEACOSCO)</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(1,702)</w:t>
            </w:r>
          </w:p>
        </w:tc>
      </w:tr>
      <w:tr>
        <w:trPr>
          <w:trHeight w:val="213"/>
        </w:trPr>
        <w:tc>
          <w:tcPr>
            <w:tcW w:w="6580" w:type="dxa"/>
            <w:vAlign w:val="bottom"/>
            <w:gridSpan w:val="2"/>
          </w:tcPr>
          <w:p>
            <w:pPr>
              <w:spacing w:after="0"/>
              <w:rPr>
                <w:sz w:val="20"/>
                <w:szCs w:val="20"/>
                <w:color w:val="auto"/>
              </w:rPr>
            </w:pPr>
            <w:r>
              <w:rPr>
                <w:rFonts w:ascii="Arial" w:cs="Arial" w:eastAsia="Arial" w:hAnsi="Arial"/>
                <w:sz w:val="16"/>
                <w:szCs w:val="16"/>
                <w:color w:val="auto"/>
              </w:rPr>
              <w:t>Offshore Vessel Holdings</w:t>
            </w:r>
          </w:p>
        </w:tc>
        <w:tc>
          <w:tcPr>
            <w:tcW w:w="400" w:type="dxa"/>
            <w:vAlign w:val="bottom"/>
          </w:tcPr>
          <w:p>
            <w:pPr>
              <w:jc w:val="right"/>
              <w:spacing w:after="0"/>
              <w:rPr>
                <w:sz w:val="20"/>
                <w:szCs w:val="20"/>
                <w:color w:val="auto"/>
              </w:rPr>
            </w:pPr>
            <w:r>
              <w:rPr>
                <w:rFonts w:ascii="Arial" w:cs="Arial" w:eastAsia="Arial" w:hAnsi="Arial"/>
                <w:sz w:val="16"/>
                <w:szCs w:val="16"/>
                <w:color w:val="auto"/>
              </w:rPr>
              <w:t>243</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(178)</w:t>
            </w: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7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(340)</w:t>
            </w:r>
          </w:p>
        </w:tc>
        <w:tc>
          <w:tcPr>
            <w:tcW w:w="7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(399)</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(170)</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(159)</w:t>
            </w:r>
          </w:p>
        </w:tc>
      </w:tr>
      <w:tr>
        <w:trPr>
          <w:trHeight w:val="20"/>
        </w:trPr>
        <w:tc>
          <w:tcPr>
            <w:tcW w:w="5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40" w:type="dxa"/>
            <w:vAlign w:val="bottom"/>
          </w:tcPr>
          <w:p>
            <w:pPr>
              <w:spacing w:after="0"/>
              <w:rPr>
                <w:sz w:val="18"/>
                <w:szCs w:val="18"/>
                <w:color w:val="auto"/>
              </w:rPr>
            </w:pPr>
          </w:p>
        </w:tc>
        <w:tc>
          <w:tcPr>
            <w:tcW w:w="740" w:type="dxa"/>
            <w:vAlign w:val="bottom"/>
          </w:tcPr>
          <w:p>
            <w:pPr>
              <w:jc w:val="right"/>
              <w:ind w:right="581"/>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4,314</w:t>
            </w:r>
          </w:p>
        </w:tc>
        <w:tc>
          <w:tcPr>
            <w:tcW w:w="240" w:type="dxa"/>
            <w:vAlign w:val="bottom"/>
          </w:tcPr>
          <w:p>
            <w:pPr>
              <w:spacing w:after="0"/>
              <w:rPr>
                <w:sz w:val="18"/>
                <w:szCs w:val="18"/>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(588)</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10,584</w:t>
            </w:r>
          </w:p>
        </w:tc>
        <w:tc>
          <w:tcPr>
            <w:tcW w:w="24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222222"/>
        </w:rPr>
        <w:t>MEXMAR Offshore – UP Offshore Sale Transaction</w:t>
      </w:r>
      <w:r>
        <w:rPr>
          <w:rFonts w:ascii="Arial" w:cs="Arial" w:eastAsia="Arial" w:hAnsi="Arial"/>
          <w:sz w:val="21"/>
          <w:szCs w:val="21"/>
          <w:color w:val="222222"/>
        </w:rPr>
        <w:t>. On June 1, 2021, MEXMAR Offshore International LLC</w:t>
      </w:r>
      <w:r>
        <w:rPr>
          <w:rFonts w:ascii="Arial" w:cs="Arial" w:eastAsia="Arial" w:hAnsi="Arial"/>
          <w:sz w:val="21"/>
          <w:szCs w:val="21"/>
          <w:b w:val="1"/>
          <w:bCs w:val="1"/>
          <w:i w:val="1"/>
          <w:iCs w:val="1"/>
          <w:color w:val="222222"/>
        </w:rPr>
        <w:t xml:space="preserve"> </w:t>
      </w:r>
      <w:r>
        <w:rPr>
          <w:rFonts w:ascii="Arial" w:cs="Arial" w:eastAsia="Arial" w:hAnsi="Arial"/>
          <w:sz w:val="21"/>
          <w:szCs w:val="21"/>
          <w:color w:val="222222"/>
        </w:rPr>
        <w:t>(“MEXMAR Offshore”), a joint venture 49% owned by an indirect wholly-owned subsidiary of SEACOR Marine, and 51% owned by a subsidiary of Proyectos Globales de Energía y Servicios CME, S.A. de C.V. (“CME”), UP Offshore (Bahamas) Ltd. (“UP Bahamas”), a provider of offshore support vessel services to the energy industry in Brazil and a wholly owned subsidiary of MEXMAR Offshore, and certain of subsidiaries of UP Bahamas, completed the sale of eight vessels and certain Brazilian entities to Oceanpact Servicos Maritimos S.A. and its subsidiary, OceanPact Netherlands B.V., for a total purchase price of $30.15 million (the “UP Offshore Sale Transaction”). The UP Offshore Sale Transaction resulted in an equity earnings gain from 50% or less owned companies of $2.6 million.</w:t>
      </w:r>
    </w:p>
    <w:p>
      <w:pPr>
        <w:spacing w:after="0" w:line="207"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222222"/>
        </w:rPr>
        <w:t xml:space="preserve">MEXMAR Offshore – Distribution. </w:t>
      </w:r>
      <w:r>
        <w:rPr>
          <w:rFonts w:ascii="Arial" w:cs="Arial" w:eastAsia="Arial" w:hAnsi="Arial"/>
          <w:sz w:val="22"/>
          <w:szCs w:val="22"/>
          <w:color w:val="222222"/>
        </w:rPr>
        <w:t>On July 23, 2021, the Company received a distribution from its MEXMAR</w:t>
      </w:r>
      <w:r>
        <w:rPr>
          <w:rFonts w:ascii="Arial" w:cs="Arial" w:eastAsia="Arial" w:hAnsi="Arial"/>
          <w:sz w:val="22"/>
          <w:szCs w:val="22"/>
          <w:b w:val="1"/>
          <w:bCs w:val="1"/>
          <w:i w:val="1"/>
          <w:iCs w:val="1"/>
          <w:color w:val="222222"/>
        </w:rPr>
        <w:t xml:space="preserve"> </w:t>
      </w:r>
      <w:r>
        <w:rPr>
          <w:rFonts w:ascii="Arial" w:cs="Arial" w:eastAsia="Arial" w:hAnsi="Arial"/>
          <w:sz w:val="22"/>
          <w:szCs w:val="22"/>
          <w:color w:val="222222"/>
        </w:rPr>
        <w:t xml:space="preserve">Offshore joint venture in the amount of $12.0 million of which $9.4 million was in excess of the Company’s investment balance of $2.6 million. The excess was recorded by the Company in the current quarter as a gain </w:t>
      </w:r>
      <w:r>
        <w:rPr>
          <w:rFonts w:ascii="Arial" w:cs="Arial" w:eastAsia="Arial" w:hAnsi="Arial"/>
          <w:sz w:val="22"/>
          <w:szCs w:val="22"/>
          <w:color w:val="000000"/>
        </w:rPr>
        <w:t>from return of investments in 50% or</w:t>
      </w:r>
      <w:r>
        <w:rPr>
          <w:rFonts w:ascii="Arial" w:cs="Arial" w:eastAsia="Arial" w:hAnsi="Arial"/>
          <w:sz w:val="22"/>
          <w:szCs w:val="22"/>
          <w:color w:val="222222"/>
        </w:rPr>
        <w:t xml:space="preserve"> </w:t>
      </w:r>
      <w:r>
        <w:rPr>
          <w:rFonts w:ascii="Arial" w:cs="Arial" w:eastAsia="Arial" w:hAnsi="Arial"/>
          <w:sz w:val="22"/>
          <w:szCs w:val="22"/>
          <w:color w:val="000000"/>
        </w:rPr>
        <w:t>less owned companies</w:t>
      </w:r>
      <w:r>
        <w:rPr>
          <w:rFonts w:ascii="Arial" w:cs="Arial" w:eastAsia="Arial" w:hAnsi="Arial"/>
          <w:sz w:val="22"/>
          <w:szCs w:val="22"/>
          <w:color w:val="222222"/>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General</w:t>
      </w:r>
    </w:p>
    <w:p>
      <w:pPr>
        <w:spacing w:after="0" w:line="17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Company’s ongoing liquidity requirements arise primarily from working capital needs, capital commitments and its obligations to service outstanding debt.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SEACOR Marine Common Stock or common stock of its subsidiaries, preferred stock or a combination thereof.</w:t>
      </w:r>
    </w:p>
    <w:p>
      <w:pPr>
        <w:spacing w:after="0" w:line="12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As of September 30, 2021, the Company had unfunded capital commitments of $0.9 million for miscellaneous vessel equipment payable during 2022. The Company has indefinitely deferred an additional $9.4 million of orders with respect to one FSV that the Company had previously reported as unfunded capital commitments.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49" w:name="page50"/>
    <w:bookmarkEnd w:id="49"/>
    <w:p>
      <w:pPr>
        <w:ind w:left="760"/>
        <w:spacing w:after="0"/>
        <w:rPr>
          <w:sz w:val="20"/>
          <w:szCs w:val="20"/>
          <w:color w:val="auto"/>
        </w:rPr>
      </w:pPr>
      <w:r>
        <w:rPr>
          <w:rFonts w:ascii="Arial" w:cs="Arial" w:eastAsia="Arial" w:hAnsi="Arial"/>
          <w:sz w:val="19"/>
          <w:szCs w:val="19"/>
          <w:color w:val="auto"/>
        </w:rPr>
        <w:t>As of September 30, 2021, the Company had outstanding debt of $350.5 million, net of debt discount and issue costs.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Company’s contractual long-term debt maturities as of September 30, 2021,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Borders>
              <w:bottom w:val="single" w:sz="8" w:color="CFF0FC"/>
            </w:tcBorders>
          </w:tcPr>
          <w:p>
            <w:pPr>
              <w:spacing w:after="0"/>
              <w:rPr>
                <w:sz w:val="18"/>
                <w:szCs w:val="18"/>
                <w:color w:val="auto"/>
              </w:rPr>
            </w:pP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FF0FC"/>
            </w:tcBorders>
          </w:tcPr>
          <w:p>
            <w:pPr>
              <w:spacing w:after="0"/>
              <w:rPr>
                <w:sz w:val="18"/>
                <w:szCs w:val="18"/>
                <w:color w:val="auto"/>
              </w:rPr>
            </w:pPr>
          </w:p>
        </w:tc>
      </w:tr>
      <w:tr>
        <w:trPr>
          <w:trHeight w:val="212"/>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Remainder 2021</w:t>
            </w: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5,871</w:t>
            </w:r>
          </w:p>
        </w:tc>
        <w:tc>
          <w:tcPr>
            <w:tcW w:w="100" w:type="dxa"/>
            <w:vAlign w:val="bottom"/>
            <w:shd w:val="clear" w:color="auto" w:fill="CFF0FC"/>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2022</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29,712</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236,194</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2024</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44,334</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12,629</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2025</w:t>
            </w: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60,144</w:t>
            </w:r>
          </w:p>
        </w:tc>
        <w:tc>
          <w:tcPr>
            <w:tcW w:w="100" w:type="dxa"/>
            <w:vAlign w:val="bottom"/>
            <w:tcBorders>
              <w:bottom w:val="single" w:sz="8" w:color="CFF0FC"/>
            </w:tcBorders>
          </w:tcPr>
          <w:p>
            <w:pPr>
              <w:spacing w:after="0"/>
              <w:rPr>
                <w:sz w:val="18"/>
                <w:szCs w:val="18"/>
                <w:color w:val="auto"/>
              </w:rPr>
            </w:pPr>
          </w:p>
        </w:tc>
      </w:tr>
      <w:tr>
        <w:trPr>
          <w:trHeight w:val="209"/>
        </w:trPr>
        <w:tc>
          <w:tcPr>
            <w:tcW w:w="5460" w:type="dxa"/>
            <w:vAlign w:val="bottom"/>
            <w:shd w:val="clear" w:color="auto" w:fill="CFF0FC"/>
          </w:tcPr>
          <w:p>
            <w:pPr>
              <w:spacing w:after="0"/>
              <w:rPr>
                <w:sz w:val="18"/>
                <w:szCs w:val="18"/>
                <w:color w:val="auto"/>
              </w:rPr>
            </w:pP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388,884</w:t>
            </w:r>
          </w:p>
        </w:tc>
        <w:tc>
          <w:tcPr>
            <w:tcW w:w="100" w:type="dxa"/>
            <w:vAlign w:val="bottom"/>
            <w:shd w:val="clear" w:color="auto" w:fill="CFF0FC"/>
          </w:tcPr>
          <w:p>
            <w:pPr>
              <w:spacing w:after="0"/>
              <w:rPr>
                <w:sz w:val="18"/>
                <w:szCs w:val="18"/>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As of September 30, 2021, the Company held balances of cash and cash equivalents totaling $46.4 million. Additionally, the Company had $1.4 million available borrowing capacity under subsidiary credit facilities.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Summary of Cash Flows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following is a summary of the Company’s cash flows (in thousands) for the nine months ended the following years: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520" w:type="dxa"/>
            <w:vAlign w:val="bottom"/>
            <w:gridSpan w:val="7"/>
          </w:tcPr>
          <w:p>
            <w:pPr>
              <w:jc w:val="right"/>
              <w:ind w:right="620"/>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6940" w:type="dxa"/>
            <w:vAlign w:val="bottom"/>
            <w:tcBorders>
              <w:bottom w:val="single" w:sz="8" w:color="CFF0FC"/>
            </w:tcBorders>
          </w:tcPr>
          <w:p>
            <w:pPr>
              <w:spacing w:after="0"/>
              <w:rPr>
                <w:sz w:val="18"/>
                <w:szCs w:val="18"/>
                <w:color w:val="auto"/>
              </w:rPr>
            </w:pPr>
          </w:p>
        </w:tc>
        <w:tc>
          <w:tcPr>
            <w:tcW w:w="78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Cash flows provided by or (used in):</w:t>
            </w:r>
          </w:p>
        </w:tc>
        <w:tc>
          <w:tcPr>
            <w:tcW w:w="7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176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4,944</w:t>
            </w:r>
          </w:p>
        </w:tc>
        <w:tc>
          <w:tcPr>
            <w:tcW w:w="1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(27,397)</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(72,909)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(16,820)</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Restricted Cash and Cash Equivalents</w:t>
            </w:r>
          </w:p>
        </w:tc>
        <w:tc>
          <w:tcPr>
            <w:tcW w:w="7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Net Increase in Cash, Restricted Cash and Cash Equivalents from Discontinued Operations</w:t>
            </w: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Restricted Cash and Cash Equivalents</w:t>
            </w:r>
          </w:p>
        </w:tc>
        <w:tc>
          <w:tcPr>
            <w:tcW w:w="7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shd w:val="clear" w:color="auto" w:fill="CFF0FC"/>
          </w:tcPr>
          <w:p>
            <w:pPr>
              <w:spacing w:after="0"/>
              <w:rPr>
                <w:sz w:val="18"/>
                <w:szCs w:val="18"/>
                <w:color w:val="auto"/>
              </w:rPr>
            </w:pPr>
          </w:p>
        </w:tc>
        <w:tc>
          <w:tcPr>
            <w:tcW w:w="1760" w:type="dxa"/>
            <w:vAlign w:val="bottom"/>
            <w:gridSpan w:val="2"/>
            <w:shd w:val="clear" w:color="auto" w:fill="CFF0FC"/>
          </w:tcPr>
          <w:p>
            <w:pPr>
              <w:jc w:val="right"/>
              <w:ind w:right="8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6,816</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(38,516)</w:t>
            </w: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0" w:name="page51"/>
    <w:bookmarkEnd w:id="50"/>
    <w:p>
      <w:pPr>
        <w:ind w:left="760"/>
        <w:spacing w:after="0"/>
        <w:rPr>
          <w:sz w:val="20"/>
          <w:szCs w:val="20"/>
          <w:color w:val="auto"/>
        </w:rPr>
      </w:pPr>
      <w:r>
        <w:rPr>
          <w:rFonts w:ascii="Arial" w:cs="Arial" w:eastAsia="Arial" w:hAnsi="Arial"/>
          <w:sz w:val="22"/>
          <w:szCs w:val="22"/>
          <w:b w:val="1"/>
          <w:bCs w:val="1"/>
          <w:color w:val="auto"/>
        </w:rPr>
        <w:t>Operating Activities</w:t>
      </w:r>
    </w:p>
    <w:p>
      <w:pPr>
        <w:spacing w:after="0" w:line="17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Cash flows provided by continuing operating activities increased by $32.3 million in the Current Nine Months compared with the Prior Nine Months. The biggest driver of the increase in cash flows provided by operations was the receipt of tax refunds under the CARES Act as described under “—Recent Developments—Tax Refund Agreement.” The components of cash flows used in continuing operating activities during the Current Nine Months and Prior Nine Months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5"/>
          </w:tcPr>
          <w:p>
            <w:pPr>
              <w:jc w:val="right"/>
              <w:ind w:right="620"/>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772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DVP:</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United States, primarily Gulf of Mexico</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885</w:t>
            </w:r>
          </w:p>
        </w:tc>
        <w:tc>
          <w:tcPr>
            <w:tcW w:w="28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(1,290)</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Africa and Europe, Continuing Operations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16,861</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Middle East and Asia</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7,762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15,794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Latin America</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8,868</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Operating, leased-in equipment</w:t>
            </w: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(6,365)</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(11,111)</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Administrative and general (excluding provisions for bad debts and amortization of share awards)</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(22,860)</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(27,933)</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SEACOR Holdings management and guarantee fees</w:t>
            </w: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net (excluding non-cash losses)</w:t>
            </w: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Dividends received from 50% or less owned companies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4,515</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3,270</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Changes in operating assets and liabilities before interest and income taxes</w:t>
            </w: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(18,636)</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(17,371)</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vested</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(272)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(178)</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Director share awards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Cash settlements on derivative transactions, net</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(1,747)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(890)</w:t>
            </w:r>
          </w:p>
        </w:tc>
      </w:tr>
      <w:tr>
        <w:trPr>
          <w:trHeight w:val="216"/>
        </w:trPr>
        <w:tc>
          <w:tcPr>
            <w:tcW w:w="7720" w:type="dxa"/>
            <w:vAlign w:val="bottom"/>
          </w:tcPr>
          <w:p>
            <w:pPr>
              <w:spacing w:after="0" w:line="216" w:lineRule="exact"/>
              <w:rPr>
                <w:sz w:val="20"/>
                <w:szCs w:val="20"/>
                <w:color w:val="auto"/>
              </w:rPr>
            </w:pPr>
            <w:r>
              <w:rPr>
                <w:rFonts w:ascii="Arial" w:cs="Arial" w:eastAsia="Arial" w:hAnsi="Arial"/>
                <w:sz w:val="15"/>
                <w:szCs w:val="15"/>
                <w:color w:val="auto"/>
              </w:rPr>
              <w:t xml:space="preserve">Interest paid, excluding capitalized interest </w:t>
            </w:r>
            <w:r>
              <w:rPr>
                <w:rFonts w:ascii="Arial" w:cs="Arial" w:eastAsia="Arial" w:hAnsi="Arial"/>
                <w:sz w:val="25"/>
                <w:szCs w:val="25"/>
                <w:color w:val="auto"/>
                <w:vertAlign w:val="superscript"/>
              </w:rPr>
              <w:t>(1)</w:t>
            </w:r>
          </w:p>
        </w:tc>
        <w:tc>
          <w:tcPr>
            <w:tcW w:w="30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(14,895)</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(14,651)</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Interest received</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1,212</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taxes refunded, net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32,759</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cash flows provided by (used in) operating activities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4,944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(27,397)</w:t>
            </w:r>
          </w:p>
        </w:tc>
      </w:tr>
      <w:tr>
        <w:trPr>
          <w:trHeight w:val="20"/>
        </w:trPr>
        <w:tc>
          <w:tcPr>
            <w:tcW w:w="77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8890</wp:posOffset>
            </wp:positionV>
            <wp:extent cx="21513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ind w:left="380" w:hanging="372"/>
        <w:spacing w:after="0" w:line="293" w:lineRule="auto"/>
        <w:tabs>
          <w:tab w:leader="none" w:pos="380" w:val="left"/>
        </w:tabs>
        <w:numPr>
          <w:ilvl w:val="0"/>
          <w:numId w:val="31"/>
        </w:numPr>
        <w:rPr>
          <w:rFonts w:ascii="Arial" w:cs="Arial" w:eastAsia="Arial" w:hAnsi="Arial"/>
          <w:sz w:val="15"/>
          <w:szCs w:val="15"/>
          <w:color w:val="auto"/>
        </w:rPr>
      </w:pPr>
      <w:r>
        <w:rPr>
          <w:rFonts w:ascii="Arial" w:cs="Arial" w:eastAsia="Arial" w:hAnsi="Arial"/>
          <w:sz w:val="16"/>
          <w:szCs w:val="16"/>
          <w:color w:val="auto"/>
        </w:rPr>
        <w:t>During the Current Nine Months and the Prior Nine Months, capitalized interest paid and included in purchases of property and equipment for continuing operations was $0.3 million and $0.7 million, respectively.</w:t>
      </w:r>
    </w:p>
    <w:p>
      <w:pPr>
        <w:spacing w:after="0" w:line="13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above. Changes in operating assets and liabilities before interest and income taxes are the result of the Company’s working capital requirements.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Investing Activities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During the Current Nine Months, net cash provided by investing activities was $75.0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capital expenditures were $6.6 million;</w:t>
      </w:r>
    </w:p>
    <w:p>
      <w:pPr>
        <w:spacing w:after="0" w:line="98"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sold three FSVs, one PSV and set off debt payments with hull and machinery insurance proceeds from the SEACOR Power of $25.0 million, for a total of $30.1 million;</w:t>
      </w:r>
    </w:p>
    <w:p>
      <w:pPr>
        <w:spacing w:after="0" w:line="66" w:lineRule="exact"/>
        <w:rPr>
          <w:rFonts w:ascii="Arial" w:cs="Arial" w:eastAsia="Arial" w:hAnsi="Arial"/>
          <w:sz w:val="22"/>
          <w:szCs w:val="22"/>
          <w:color w:val="auto"/>
        </w:rPr>
      </w:pPr>
    </w:p>
    <w:p>
      <w:pPr>
        <w:ind w:left="1260" w:right="20" w:hanging="510"/>
        <w:spacing w:after="0" w:line="326" w:lineRule="auto"/>
        <w:tabs>
          <w:tab w:leader="none" w:pos="12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completed the sale of Windcat Workboats for net proceeds of $38.7 million ($42.2 million cash, less $3.5 million cash held at Windcat Workboats that was included in the assets purchased by the Windcat Buyer);</w:t>
      </w:r>
    </w:p>
    <w:p>
      <w:pPr>
        <w:ind w:left="1260" w:hanging="510"/>
        <w:spacing w:after="0"/>
        <w:tabs>
          <w:tab w:leader="none" w:pos="126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$0.7 million;</w:t>
      </w:r>
    </w:p>
    <w:p>
      <w:pPr>
        <w:spacing w:after="0" w:line="109" w:lineRule="exact"/>
        <w:rPr>
          <w:rFonts w:ascii="Arial" w:cs="Arial" w:eastAsia="Arial" w:hAnsi="Arial"/>
          <w:sz w:val="21"/>
          <w:szCs w:val="21"/>
          <w:color w:val="auto"/>
        </w:rPr>
      </w:pPr>
    </w:p>
    <w:p>
      <w:pPr>
        <w:ind w:left="1260" w:hanging="510"/>
        <w:spacing w:after="0" w:line="250" w:lineRule="auto"/>
        <w:tabs>
          <w:tab w:leader="none" w:pos="1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received a distribution from its MEXMAR Offshore joint venture in the amount of $12.0 million of which $9.4 million was in excess of the Company’s investment balance of $2.6 million; and</w:t>
      </w:r>
    </w:p>
    <w:p>
      <w:pPr>
        <w:spacing w:after="0" w:line="66"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received $4.0 million from investments in, and advances to, its 50% or less owned companies for principal payments on notes.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1" w:name="page52"/>
    <w:bookmarkEnd w:id="51"/>
    <w:p>
      <w:pPr>
        <w:ind w:right="20" w:firstLine="749"/>
        <w:spacing w:after="0" w:line="250" w:lineRule="auto"/>
        <w:rPr>
          <w:sz w:val="20"/>
          <w:szCs w:val="20"/>
          <w:color w:val="auto"/>
        </w:rPr>
      </w:pPr>
      <w:r>
        <w:rPr>
          <w:rFonts w:ascii="Arial" w:cs="Arial" w:eastAsia="Arial" w:hAnsi="Arial"/>
          <w:sz w:val="22"/>
          <w:szCs w:val="22"/>
          <w:color w:val="auto"/>
        </w:rPr>
        <w:t>During the Prior Nine Months, net cash provided by investing activities was $6.3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capital expenditures were $18.3 million;</w:t>
      </w:r>
    </w:p>
    <w:p>
      <w:pPr>
        <w:spacing w:after="0" w:line="98" w:lineRule="exact"/>
        <w:rPr>
          <w:rFonts w:ascii="Arial" w:cs="Arial" w:eastAsia="Arial" w:hAnsi="Arial"/>
          <w:sz w:val="22"/>
          <w:szCs w:val="22"/>
          <w:color w:val="auto"/>
        </w:rPr>
      </w:pPr>
    </w:p>
    <w:p>
      <w:pPr>
        <w:jc w:val="both"/>
        <w:ind w:left="1260" w:hanging="510"/>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sold two AHTS vessels and one specialty vessel previously retired and removed from service, four FSVs, one vessel under construction and other equipment for net proceeds of $21.6 million ($20.7 million cash and $0.9 million in previously received deposits);</w:t>
      </w:r>
    </w:p>
    <w:p>
      <w:pPr>
        <w:spacing w:after="0" w:line="78" w:lineRule="exact"/>
        <w:rPr>
          <w:rFonts w:ascii="Arial" w:cs="Arial" w:eastAsia="Arial" w:hAnsi="Arial"/>
          <w:sz w:val="22"/>
          <w:szCs w:val="22"/>
          <w:color w:val="auto"/>
        </w:rPr>
      </w:pPr>
    </w:p>
    <w:p>
      <w:pPr>
        <w:ind w:left="1260" w:hanging="510"/>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construction reserve funds account transactions included withdrawals of $12.9 million;</w:t>
      </w:r>
    </w:p>
    <w:p>
      <w:pPr>
        <w:spacing w:after="0" w:line="98" w:lineRule="exact"/>
        <w:rPr>
          <w:rFonts w:ascii="Arial" w:cs="Arial" w:eastAsia="Arial" w:hAnsi="Arial"/>
          <w:sz w:val="22"/>
          <w:szCs w:val="22"/>
          <w:color w:val="auto"/>
        </w:rPr>
      </w:pPr>
    </w:p>
    <w:p>
      <w:pPr>
        <w:jc w:val="both"/>
        <w:ind w:left="1260" w:hanging="510"/>
        <w:spacing w:after="0"/>
        <w:tabs>
          <w:tab w:leader="none" w:pos="12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completed the acquisition of SEACOR Offshore Delta LLC (formerly known as SEACOSCO Offshore LLC). The price payable for the membership interests was $28.2 million, $8.4 million of which was paid at the closing of the transaction on September 30, 2020;</w:t>
      </w:r>
    </w:p>
    <w:p>
      <w:pPr>
        <w:spacing w:after="0" w:line="78" w:lineRule="exact"/>
        <w:rPr>
          <w:rFonts w:ascii="Arial" w:cs="Arial" w:eastAsia="Arial" w:hAnsi="Arial"/>
          <w:sz w:val="22"/>
          <w:szCs w:val="22"/>
          <w:color w:val="auto"/>
        </w:rPr>
      </w:pPr>
    </w:p>
    <w:p>
      <w:pPr>
        <w:ind w:left="1260" w:hanging="510"/>
        <w:spacing w:after="0"/>
        <w:tabs>
          <w:tab w:leader="none" w:pos="126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$1.0 million; and</w:t>
      </w:r>
    </w:p>
    <w:p>
      <w:pPr>
        <w:spacing w:after="0" w:line="109" w:lineRule="exact"/>
        <w:rPr>
          <w:rFonts w:ascii="Arial" w:cs="Arial" w:eastAsia="Arial" w:hAnsi="Arial"/>
          <w:sz w:val="21"/>
          <w:szCs w:val="21"/>
          <w:color w:val="auto"/>
        </w:rPr>
      </w:pPr>
    </w:p>
    <w:p>
      <w:pPr>
        <w:ind w:left="1260" w:hanging="510"/>
        <w:spacing w:after="0" w:line="250" w:lineRule="auto"/>
        <w:tabs>
          <w:tab w:leader="none" w:pos="12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Company received $0.5 million in, and advances to, its 50% or less owned companies for principal payments on notes.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Financing Activities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Current Nine Months, net cash used in financing activities was $72.9 million.</w:t>
      </w:r>
    </w:p>
    <w:p>
      <w:pPr>
        <w:spacing w:after="0" w:line="98" w:lineRule="exact"/>
        <w:rPr>
          <w:sz w:val="20"/>
          <w:szCs w:val="20"/>
          <w:color w:val="auto"/>
        </w:rPr>
      </w:pPr>
    </w:p>
    <w:p>
      <w:pPr>
        <w:ind w:left="1260" w:hanging="510"/>
        <w:spacing w:after="0"/>
        <w:tabs>
          <w:tab w:leader="none" w:pos="126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Company made scheduled payments on long-term debt and other obligations of $72.1 million; and</w:t>
      </w:r>
    </w:p>
    <w:p>
      <w:pPr>
        <w:spacing w:after="0" w:line="109" w:lineRule="exact"/>
        <w:rPr>
          <w:rFonts w:ascii="Arial" w:cs="Arial" w:eastAsia="Arial" w:hAnsi="Arial"/>
          <w:sz w:val="21"/>
          <w:szCs w:val="21"/>
          <w:color w:val="auto"/>
        </w:rPr>
      </w:pPr>
    </w:p>
    <w:p>
      <w:pPr>
        <w:ind w:left="1260" w:hanging="510"/>
        <w:spacing w:after="0"/>
        <w:tabs>
          <w:tab w:leader="none" w:pos="12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Company made payments on debt extinguishment costs of $0.8 million.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Prior Nine Months, net cash used in financing activities was $16.8 million.</w:t>
      </w:r>
    </w:p>
    <w:p>
      <w:pPr>
        <w:spacing w:after="0" w:line="98" w:lineRule="exact"/>
        <w:rPr>
          <w:sz w:val="20"/>
          <w:szCs w:val="20"/>
          <w:color w:val="auto"/>
        </w:rPr>
      </w:pPr>
    </w:p>
    <w:p>
      <w:pPr>
        <w:ind w:left="1260" w:hanging="510"/>
        <w:spacing w:after="0"/>
        <w:tabs>
          <w:tab w:leader="none" w:pos="12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Company made scheduled payments on long-term debt and obligations of $16.8 million.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18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and debt service requirements.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will continue to closely monitor the Company’s liquidity and compliance with covenants in its credit facilities specifically as it relates to the COVID-19 pandemic.</w:t>
      </w:r>
    </w:p>
    <w:p>
      <w:pPr>
        <w:spacing w:after="0" w:line="139"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While the COVID-19 pandemic has reduced the demand for the Company’s products and services, the COVID-19 pandemic has not had a material impact on the Company’s liquidity or on the Company’s ability to meet its financial maintenance covenants in its various credit facilities. The Company's primary credit facility requires the Company to maintain a minimum of $35.0 million of cash on hand (including restricted cash) at all times. As of September 30, 2021, the Company's cash balances used to test compliance with this covenant was $46.4 million, which the Company believes is sufficient to maintain compliance with this covenant for the foreseeable future. However, if the effect of the COVID-19 pandemic on the Company's business becomes more severe, for example by further reducing demand for the Company’s products and services or causing customers not to make their payments on time, the Company may be required to seek amendments to the covenant to avoid a default under the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2" w:name="page53"/>
    <w:bookmarkEnd w:id="52"/>
    <w:p>
      <w:pPr>
        <w:ind w:left="760"/>
        <w:spacing w:after="0"/>
        <w:rPr>
          <w:sz w:val="20"/>
          <w:szCs w:val="20"/>
          <w:color w:val="auto"/>
        </w:rPr>
      </w:pPr>
      <w:r>
        <w:rPr>
          <w:rFonts w:ascii="Arial" w:cs="Arial" w:eastAsia="Arial" w:hAnsi="Arial"/>
          <w:sz w:val="22"/>
          <w:szCs w:val="22"/>
          <w:b w:val="1"/>
          <w:bCs w:val="1"/>
          <w:color w:val="auto"/>
        </w:rPr>
        <w:t>Off-Balance Sheet Arrangements</w:t>
      </w:r>
    </w:p>
    <w:p>
      <w:pPr>
        <w:spacing w:after="0" w:line="18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a discussion of the Company’s off-balance sheet arrangements, refer to “Management’s Discussion and Analysis of Financial Condition and Results of Operations - Liquidity and Capital Resources” in the Company’s 2020 Annual Report. There has been no material change in the Company’s off-balance sheet arrangements during the nine months ended September 30, 2021.</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a discussion of the Company’s debt securities and credit agreements, see “Note 4. Long-Term Debt” in the unaudited consolidated financial statements included in Part I. Item 1. “Financial Statements” elsewhere in this Quarterly Report on Form 10-Q and in “Note 8. Long-Term Debt” in the Company’s audited consolidated financial statements included in its 2020 Annual Report.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Contractual Obligations and Commercial Commitments</w:t>
      </w:r>
    </w:p>
    <w:p>
      <w:pPr>
        <w:spacing w:after="0" w:line="172"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For a discussion of the Company’s contractual obligations and commercial commitments, refer to “Management’s Discussion and Analysis of Financial Condition and Results of Operations - Liquidity and Capital Resources” in the Company’s 2020 Annual Report. There has been no material change in the Company’s contractual obligations and commercial commitments.</w:t>
      </w:r>
    </w:p>
    <w:p>
      <w:pPr>
        <w:spacing w:after="0" w:line="8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Contingencies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contingencies, see “Note 9. Commitments and Contingencies” in the unaudited consolidated financial statements included in Part I. Item 1. “Financial Statements”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53" w:name="page54"/>
    <w:bookmarkEnd w:id="53"/>
    <w:p>
      <w:pPr>
        <w:spacing w:after="0"/>
        <w:rPr>
          <w:sz w:val="20"/>
          <w:szCs w:val="20"/>
          <w:color w:val="auto"/>
        </w:rPr>
      </w:pPr>
      <w:r>
        <w:rPr>
          <w:rFonts w:ascii="Arial" w:cs="Arial" w:eastAsia="Arial" w:hAnsi="Arial"/>
          <w:sz w:val="22"/>
          <w:szCs w:val="22"/>
          <w:b w:val="1"/>
          <w:bCs w:val="1"/>
          <w:color w:val="auto"/>
        </w:rPr>
        <w:t>ITEM 3.QUANTITATIVE AND QUALITATIVE DISCLOSURES ABOUT MARKET RISK</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2020 Annual Report. There has been no material change in the Company’s exposure to market risk during the nine months ended September 30, 2021.</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7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With the participation of the Company’s principal executive officer and principal financial officer, management evaluated the effectiveness of the Company’s disclosure controls and procedures (as defined in Rules 13a-15(e) and 15d-15(e) under the Securities Exchange Act of 1934, as amended (the “Exchange Act”)), as of September 30, 2021. Based on their evaluation, the Company’s principal executive officer and principal financial officer concluded that the Company’s disclosure controls and procedures were effective as of September 30, 2021 to provide reasonable assurance that information required to be disclosed by the Company in reports filed or submitted under the Exchange Act is (i) recorded, processed, summarized and reported within the time periods specified in the Securities and Exchange Commission's rules and forms and (ii) accumulated and communicated to the Company's management, including its Chief Executive Officer and Chief Financial Officer, as appropriate to allow timely decisions regarding required disclosure.</w:t>
      </w:r>
    </w:p>
    <w:p>
      <w:pPr>
        <w:spacing w:after="0" w:line="118"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There have been no changes in the Company’s internal control over financial reporting (as defined in Rules 13a-15(f) and 15d-15(f) under the Exchange Act) that occurred during the Current Year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4" w:name="page55"/>
    <w:bookmarkEnd w:id="54"/>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1.LEGAL PROCEEDINGS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2020 Annual Report, see “Note 9. Commitments and Contingencies” included in Part I. Item 1. “Financial Statements”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1A.RISK FACTORS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risk factors, refer to “Risk Factors” included in the Company’s 2020 Annual Report. Other than as set forth below, there have been no material changes in the Company’s risk factors during the Current Three Months.</w:t>
      </w:r>
    </w:p>
    <w:p>
      <w:pPr>
        <w:spacing w:after="0" w:line="146"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b w:val="1"/>
          <w:bCs w:val="1"/>
          <w:i w:val="1"/>
          <w:iCs w:val="1"/>
          <w:color w:val="auto"/>
        </w:rPr>
        <w:t>The Company is subject to hazards inherent in the operation of offshore support and related vessels and has experienced accidents that have resulted in the loss of life, disrupted operations and caused reputational harm.</w:t>
      </w:r>
    </w:p>
    <w:p>
      <w:pPr>
        <w:spacing w:after="0" w:line="6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operation of offshore support and related vessels is highly dangerous and is inherently subject to various risks including, but not limited to, adverse sea conditions, capsizing, navigation errors, each of which could result in the loss of life, injury to personnel, damage to equipment and the environment. Our vessels have been involved in accidents in the past, some of which included loss of life, personal injury and property damage, and we, or third parties operating our vessels, may experience accidents in the future.</w:t>
      </w:r>
    </w:p>
    <w:p>
      <w:pPr>
        <w:spacing w:after="0" w:line="160"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The incident also resulted in the constructive total loss of the SEACOR Power. The Company is responsible for the salvage operations related to the vessel and is coordinating these efforts with the U.S. Coast Guard. The Company expects salvage costs to be covered by insurance proceeds. Although the Company does not expect the incident to result in a significant impact on the environment, if there is environmental damage the Company may be responsible for any required clean-up activities and could be subject to related fines and other penalties.</w:t>
      </w:r>
    </w:p>
    <w:p>
      <w:pPr>
        <w:spacing w:after="0" w:line="11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capsizing of the SEACOR Power has garnered significant attention from the media as well as local, state and federal stakeholders. The National Transportation Safety Board (“NTSB”) and the U.S. Coast Guard are currently investigating the incident to determine the cause of the incident and the Company is fully cooperating with the investigation in all respects and continues to gather information about the incident. It is expected that the joint NTSB and U.S. Coast Guard investigation will take a significant period of time to complete, possibly as long as two years or longer. It is also possible that other state and federal legislatures and/or agencies or other regulators will initiate investigations of the incident. Depending on the outcome of these investigations, the Company may be subject to fines and other penalties including being restricted or prohibited from operating vessels in the Gulf of Mexico for a period of time. In addition, adverse findings in any investigation could harm the Company’s reputation and, in turn, the Company’s competitiveness, or impact the Company’s ability to market and operate liftboats.</w:t>
      </w:r>
    </w:p>
    <w:p>
      <w:pPr>
        <w:spacing w:after="0" w:line="118"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Numerous civil lawsuits have been filed against the Company and other third parties by the family members of deceased crew members and the surviving crew members employed by the Company or by the third parties. On June 2, 2021, the Company filed a Limitation Action, which has the effect of enjoining all existing civil lawsuits and requiring the plaintiffs to file their claims relating to the capsizing of the SEACOR Power in the Limitation Action. The claimants have asserted, among other things, that the Company and/or the third parties failed to properly to assess weather conditions, failed to provide adequate equipment for the job, failed to maintain the vessel or perform adequate safety meetings, among other claims and allegations. Potential claimants had until September 1, 2021 to file an additional claim in the Limitation Action. The Company cannot predict the outcome of any such legal proceedings but if it is found liable, any related losses could be significant. Furthermore, the costs incurred in litigation can be substantial, regardless of the outcome.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5" w:name="page56"/>
    <w:bookmarkEnd w:id="55"/>
    <w:p>
      <w:pPr>
        <w:jc w:val="both"/>
        <w:ind w:firstLine="749"/>
        <w:spacing w:after="0" w:line="238" w:lineRule="auto"/>
        <w:rPr>
          <w:sz w:val="20"/>
          <w:szCs w:val="20"/>
          <w:color w:val="auto"/>
        </w:rPr>
      </w:pPr>
      <w:r>
        <w:rPr>
          <w:rFonts w:ascii="Arial" w:cs="Arial" w:eastAsia="Arial" w:hAnsi="Arial"/>
          <w:sz w:val="22"/>
          <w:szCs w:val="22"/>
          <w:color w:val="auto"/>
        </w:rPr>
        <w:t>Management has been devoting a significant amount of time and resources to the accident response, including providing assistance to the affected crewmen and their families. We expect that, at least for the near-term, management will continue to devote significant time and attention to matters related to the incident while also attending to other business concerns, which could have adverse effects on the Company and its operations.</w:t>
      </w:r>
    </w:p>
    <w:p>
      <w:pPr>
        <w:spacing w:after="0" w:line="15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There is significant uncertainty in the amount and timing of costs and potential liabilities relating to the incident involving the SEACOR Power, the impact the incident will have on the Company’s reputation and the resulting possible impact on the Company’s business. These uncertainties are likely to continue for a significant period. In addition, while the Company believes its existing insurance policies will adequately cover certain losses, the ultimate amount of losses, potential fines and penalties, and insurance proceeds cannot be determined at this time and may depend on the outcome of any investigation. See “</w:t>
      </w:r>
      <w:r>
        <w:rPr>
          <w:rFonts w:ascii="Arial" w:cs="Arial" w:eastAsia="Arial" w:hAnsi="Arial"/>
          <w:sz w:val="19"/>
          <w:szCs w:val="19"/>
          <w:i w:val="1"/>
          <w:iCs w:val="1"/>
          <w:color w:val="auto"/>
        </w:rPr>
        <w:t>Risk Factors –The Company’s insurance coverage may be inadequate to protect it from the liabilities that could arise in its</w:t>
      </w:r>
      <w:r>
        <w:rPr>
          <w:rFonts w:ascii="Arial" w:cs="Arial" w:eastAsia="Arial" w:hAnsi="Arial"/>
          <w:sz w:val="19"/>
          <w:szCs w:val="19"/>
          <w:color w:val="auto"/>
        </w:rPr>
        <w:t xml:space="preserve"> </w:t>
      </w:r>
      <w:r>
        <w:rPr>
          <w:rFonts w:ascii="Arial" w:cs="Arial" w:eastAsia="Arial" w:hAnsi="Arial"/>
          <w:sz w:val="19"/>
          <w:szCs w:val="19"/>
          <w:i w:val="1"/>
          <w:iCs w:val="1"/>
          <w:color w:val="auto"/>
        </w:rPr>
        <w:t>business</w:t>
      </w:r>
      <w:r>
        <w:rPr>
          <w:rFonts w:ascii="Arial" w:cs="Arial" w:eastAsia="Arial" w:hAnsi="Arial"/>
          <w:sz w:val="19"/>
          <w:szCs w:val="19"/>
          <w:color w:val="auto"/>
        </w:rPr>
        <w:t>” in the Company’s Annual Report on Form 10-K for the year ended December 31, 2020.</w:t>
      </w:r>
    </w:p>
    <w:p>
      <w:pPr>
        <w:spacing w:after="0" w:line="11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As a result of the foregoing factors, the SEACOR Power incident has had, and could continue to have, a material adverse impact on the Company’s business, competitive position, financial performance, cash flows, prospects and liquidity. The risks associated with the incident could also heighten the impact of the other risks to which the group is exposed as further described in the Company’s Annual Report on Form 10-K for the year ended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2.UNREGISTERED SALES OF EQUITY SECURITIES AND USE OF PROCEEDS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(b) None.</w:t>
      </w:r>
    </w:p>
    <w:p>
      <w:pPr>
        <w:spacing w:after="0" w:line="112" w:lineRule="exact"/>
        <w:rPr>
          <w:sz w:val="20"/>
          <w:szCs w:val="20"/>
          <w:color w:val="auto"/>
        </w:rPr>
      </w:pPr>
    </w:p>
    <w:p>
      <w:pPr>
        <w:ind w:left="1260" w:hanging="510"/>
        <w:spacing w:after="0" w:line="250" w:lineRule="auto"/>
        <w:tabs>
          <w:tab w:leader="none" w:pos="12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This table provides information with respect to purchases by the Company of shares of its Common Stock during the Current Quarter: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Total Number of</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36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Shares Purchased</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of Shares that may</w:t>
            </w:r>
          </w:p>
        </w:tc>
      </w:tr>
      <w:tr>
        <w:trPr>
          <w:trHeight w:val="203"/>
        </w:trPr>
        <w:tc>
          <w:tcPr>
            <w:tcW w:w="3660" w:type="dxa"/>
            <w:vAlign w:val="bottom"/>
          </w:tcPr>
          <w:p>
            <w:pPr>
              <w:spacing w:after="0"/>
              <w:rPr>
                <w:sz w:val="17"/>
                <w:szCs w:val="17"/>
                <w:color w:val="auto"/>
              </w:rPr>
            </w:pPr>
          </w:p>
        </w:tc>
        <w:tc>
          <w:tcPr>
            <w:tcW w:w="1420" w:type="dxa"/>
            <w:vAlign w:val="bottom"/>
          </w:tcPr>
          <w:p>
            <w:pPr>
              <w:ind w:left="240"/>
              <w:spacing w:after="0"/>
              <w:rPr>
                <w:sz w:val="20"/>
                <w:szCs w:val="20"/>
                <w:color w:val="auto"/>
              </w:rPr>
            </w:pPr>
            <w:r>
              <w:rPr>
                <w:rFonts w:ascii="Arial" w:cs="Arial" w:eastAsia="Arial" w:hAnsi="Arial"/>
                <w:sz w:val="16"/>
                <w:szCs w:val="16"/>
                <w:b w:val="1"/>
                <w:bCs w:val="1"/>
                <w:color w:val="auto"/>
                <w:w w:val="94"/>
              </w:rPr>
              <w:t>Total Number of</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Average Price per</w:t>
            </w: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 Part of a Publicly</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be Purchased Under</w:t>
            </w:r>
          </w:p>
        </w:tc>
      </w:tr>
      <w:tr>
        <w:trPr>
          <w:trHeight w:val="213"/>
        </w:trPr>
        <w:tc>
          <w:tcPr>
            <w:tcW w:w="366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w w:val="92"/>
              </w:rPr>
              <w:t>Shares Withheld</w:t>
            </w: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Share</w:t>
            </w:r>
          </w:p>
        </w:tc>
        <w:tc>
          <w:tcPr>
            <w:tcW w:w="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3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Plan</w:t>
            </w:r>
          </w:p>
        </w:tc>
        <w:tc>
          <w:tcPr>
            <w:tcW w:w="120" w:type="dxa"/>
            <w:vAlign w:val="bottom"/>
            <w:tcBorders>
              <w:bottom w:val="single" w:sz="8" w:color="CFF0FC"/>
            </w:tcBorders>
          </w:tcPr>
          <w:p>
            <w:pPr>
              <w:spacing w:after="0"/>
              <w:rPr>
                <w:sz w:val="18"/>
                <w:szCs w:val="18"/>
                <w:color w:val="auto"/>
              </w:rPr>
            </w:pPr>
          </w:p>
        </w:tc>
      </w:tr>
      <w:tr>
        <w:trPr>
          <w:trHeight w:val="21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July 1, 2021 to July 31, 2021</w:t>
            </w:r>
          </w:p>
        </w:tc>
        <w:tc>
          <w:tcPr>
            <w:tcW w:w="14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r>
      <w:tr>
        <w:trPr>
          <w:trHeight w:val="236"/>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August 1, 2021 to August 31, 2021</w:t>
            </w:r>
          </w:p>
        </w:tc>
        <w:tc>
          <w:tcPr>
            <w:tcW w:w="1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CFF0FC"/>
            </w:tcBorders>
          </w:tcPr>
          <w:p>
            <w:pPr>
              <w:spacing w:after="0"/>
              <w:rPr>
                <w:sz w:val="20"/>
                <w:szCs w:val="20"/>
                <w:color w:val="auto"/>
              </w:rPr>
            </w:pPr>
          </w:p>
        </w:tc>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FF0FC"/>
            </w:tcBorders>
          </w:tcPr>
          <w:p>
            <w:pPr>
              <w:spacing w:after="0"/>
              <w:rPr>
                <w:sz w:val="20"/>
                <w:szCs w:val="20"/>
                <w:color w:val="auto"/>
              </w:rPr>
            </w:pPr>
          </w:p>
        </w:tc>
      </w:tr>
      <w:tr>
        <w:trPr>
          <w:trHeight w:val="240"/>
        </w:trPr>
        <w:tc>
          <w:tcPr>
            <w:tcW w:w="50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September 1, 2021 to September 30, 2021</w:t>
            </w:r>
          </w:p>
        </w:tc>
        <w:tc>
          <w:tcPr>
            <w:tcW w:w="52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920" w:type="dxa"/>
            <w:vAlign w:val="bottom"/>
            <w:gridSpan w:val="2"/>
            <w:shd w:val="clear" w:color="auto" w:fill="CFF0FC"/>
          </w:tcPr>
          <w:p>
            <w:pPr>
              <w:ind w:left="1460"/>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FF0FC"/>
          </w:tcPr>
          <w:p>
            <w:pPr>
              <w:ind w:left="14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1460"/>
              <w:spacing w:after="0"/>
              <w:rPr>
                <w:sz w:val="20"/>
                <w:szCs w:val="20"/>
                <w:color w:val="auto"/>
              </w:rPr>
            </w:pPr>
            <w:r>
              <w:rPr>
                <w:rFonts w:ascii="Arial" w:cs="Arial" w:eastAsia="Arial" w:hAnsi="Arial"/>
                <w:sz w:val="16"/>
                <w:szCs w:val="16"/>
                <w:color w:val="auto"/>
              </w:rPr>
              <w:t>—</w:t>
            </w:r>
          </w:p>
        </w:tc>
      </w:tr>
    </w:tbl>
    <w:p>
      <w:pPr>
        <w:spacing w:after="0" w:line="189"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 UPON SENIOR SECURITIES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4.MINE SAFETY DISCLOSURES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5.OTHER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ITEM 6.EXHIBITS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31.1</w:t>
            </w:r>
          </w:p>
        </w:tc>
        <w:tc>
          <w:tcPr>
            <w:tcW w:w="93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Certification by the Principal Executive Officer pursuant to Rule 13a-14(a) and Rule 15d-14(a) of the Securities Exchange Act, as</w:t>
              </w:r>
            </w:hyperlink>
          </w:p>
        </w:tc>
        <w:tc>
          <w:tcPr>
            <w:tcW w:w="6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59">
              <w:r>
                <w:rPr>
                  <w:rFonts w:ascii="Arial" w:cs="Arial" w:eastAsia="Arial" w:hAnsi="Arial"/>
                  <w:sz w:val="18"/>
                  <w:szCs w:val="18"/>
                  <w:color w:val="0000EE"/>
                  <w:w w:val="84"/>
                </w:rPr>
                <w:t>amended.</w:t>
              </w:r>
            </w:hyperlink>
          </w:p>
        </w:tc>
        <w:tc>
          <w:tcPr>
            <w:tcW w:w="9340" w:type="dxa"/>
            <w:vAlign w:val="bottom"/>
            <w:gridSpan w:val="2"/>
          </w:tcPr>
          <w:p>
            <w:pPr>
              <w:spacing w:after="0"/>
              <w:rPr>
                <w:sz w:val="17"/>
                <w:szCs w:val="17"/>
                <w:color w:val="auto"/>
              </w:rPr>
            </w:pPr>
          </w:p>
        </w:tc>
      </w:tr>
      <w:tr>
        <w:trPr>
          <w:trHeight w:val="344"/>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31.2</w:t>
            </w:r>
          </w:p>
        </w:tc>
        <w:tc>
          <w:tcPr>
            <w:tcW w:w="100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60">
              <w:r>
                <w:rPr>
                  <w:rFonts w:ascii="Arial" w:cs="Arial" w:eastAsia="Arial" w:hAnsi="Arial"/>
                  <w:sz w:val="18"/>
                  <w:szCs w:val="18"/>
                  <w:color w:val="0000EE"/>
                  <w:w w:val="90"/>
                </w:rPr>
                <w:t>Certification by the Principal Financial Officer pursuant to Rule 13a-14(a) and Rule 15d-14(a) of the Securities Exchange Act, as amended.</w:t>
              </w:r>
            </w:hyperlink>
          </w:p>
        </w:tc>
      </w:tr>
    </w:tbl>
    <w:p>
      <w:pPr>
        <w:spacing w:after="0" w:line="161" w:lineRule="exact"/>
        <w:rPr>
          <w:sz w:val="20"/>
          <w:szCs w:val="20"/>
          <w:color w:val="auto"/>
        </w:rPr>
      </w:pPr>
    </w:p>
    <w:p>
      <w:pPr>
        <w:ind w:left="1160" w:right="340" w:hanging="1152"/>
        <w:spacing w:after="0" w:line="277" w:lineRule="auto"/>
        <w:tabs>
          <w:tab w:leader="none" w:pos="1160" w:val="left"/>
        </w:tabs>
        <w:numPr>
          <w:ilvl w:val="0"/>
          <w:numId w:val="37"/>
        </w:numPr>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Certification by the Principal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61">
        <w:r>
          <w:rPr>
            <w:rFonts w:ascii="Arial" w:cs="Arial" w:eastAsia="Arial" w:hAnsi="Arial"/>
            <w:sz w:val="18"/>
            <w:szCs w:val="18"/>
            <w:u w:val="single" w:color="auto"/>
            <w:color w:val="0000EE"/>
          </w:rPr>
          <w:t>Section 906 of the Sarbanes-Oxley Act of 2002.</w:t>
        </w:r>
      </w:hyperlink>
    </w:p>
    <w:p>
      <w:pPr>
        <w:sectPr>
          <w:pgSz w:w="11900" w:h="16838" w:orient="portrait"/>
          <w:cols w:equalWidth="0" w:num="1">
            <w:col w:w="11240"/>
          </w:cols>
          <w:pgMar w:left="320" w:top="342" w:right="339" w:bottom="1440" w:gutter="0" w:footer="0" w:header="0"/>
        </w:sectPr>
      </w:pPr>
    </w:p>
    <w:p>
      <w:pPr>
        <w:spacing w:after="0" w:line="1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83" w:lineRule="exact"/>
        <w:rPr>
          <w:rFonts w:ascii="Arial" w:cs="Arial" w:eastAsia="Arial" w:hAnsi="Arial"/>
          <w:sz w:val="18"/>
          <w:szCs w:val="18"/>
          <w:color w:val="auto"/>
        </w:rPr>
      </w:pPr>
    </w:p>
    <w:p>
      <w:pPr>
        <w:ind w:right="20"/>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03" w:lineRule="exact"/>
        <w:rPr>
          <w:rFonts w:ascii="Arial" w:cs="Arial" w:eastAsia="Arial" w:hAnsi="Arial"/>
          <w:sz w:val="18"/>
          <w:szCs w:val="18"/>
          <w:color w:val="auto"/>
        </w:rPr>
      </w:pPr>
    </w:p>
    <w:p>
      <w:pPr>
        <w:sectPr>
          <w:pgSz w:w="11900" w:h="16838" w:orient="portrait"/>
          <w:cols w:equalWidth="0" w:num="2">
            <w:col w:w="800" w:space="36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Schema</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342"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342" w:right="339" w:bottom="1440" w:gutter="0" w:footer="0" w:header="0"/>
          <w:type w:val="continuous"/>
        </w:sectPr>
      </w:pPr>
    </w:p>
    <w:p>
      <w:pPr>
        <w:ind w:left="1160" w:right="100" w:hanging="115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Form 10-Q for the quarter ended September 30, 2021, has been formatted in Inline XBRL.</w:t>
      </w:r>
    </w:p>
    <w:p>
      <w:pPr>
        <w:spacing w:after="0" w:line="373"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13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SEACOR Marine Holdings Inc.</w:t>
            </w:r>
          </w:p>
        </w:tc>
      </w:tr>
      <w:tr>
        <w:trPr>
          <w:trHeight w:val="274"/>
        </w:trPr>
        <w:tc>
          <w:tcPr>
            <w:tcW w:w="47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(Registrant)</w:t>
            </w:r>
          </w:p>
        </w:tc>
      </w:tr>
      <w:tr>
        <w:trPr>
          <w:trHeight w:val="476"/>
        </w:trPr>
        <w:tc>
          <w:tcPr>
            <w:tcW w:w="4700" w:type="dxa"/>
            <w:vAlign w:val="bottom"/>
          </w:tcPr>
          <w:p>
            <w:pPr>
              <w:spacing w:after="0"/>
              <w:rPr>
                <w:sz w:val="20"/>
                <w:szCs w:val="20"/>
                <w:color w:val="auto"/>
              </w:rPr>
            </w:pPr>
            <w:r>
              <w:rPr>
                <w:rFonts w:ascii="Arial" w:cs="Arial" w:eastAsia="Arial" w:hAnsi="Arial"/>
                <w:sz w:val="22"/>
                <w:szCs w:val="22"/>
                <w:color w:val="auto"/>
              </w:rPr>
              <w:t>DATE: November 4, 2021</w:t>
            </w:r>
          </w:p>
        </w:tc>
        <w:tc>
          <w:tcPr>
            <w:tcW w:w="3060" w:type="dxa"/>
            <w:vAlign w:val="bottom"/>
          </w:tcPr>
          <w:p>
            <w:pPr>
              <w:ind w:left="236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15"/>
        </w:trPr>
        <w:tc>
          <w:tcPr>
            <w:tcW w:w="4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 xml:space="preserve">John Gellert, </w:t>
            </w:r>
            <w:r>
              <w:rPr>
                <w:rFonts w:ascii="Arial" w:cs="Arial" w:eastAsia="Arial" w:hAnsi="Arial"/>
                <w:sz w:val="22"/>
                <w:szCs w:val="22"/>
                <w:i w:val="1"/>
                <w:iCs w:val="1"/>
                <w:color w:val="auto"/>
              </w:rPr>
              <w:t>President,</w:t>
            </w:r>
          </w:p>
        </w:tc>
      </w:tr>
      <w:tr>
        <w:trPr>
          <w:trHeight w:val="243"/>
        </w:trPr>
        <w:tc>
          <w:tcPr>
            <w:tcW w:w="47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Chief Executive Officer</w:t>
            </w:r>
          </w:p>
        </w:tc>
      </w:tr>
      <w:tr>
        <w:trPr>
          <w:trHeight w:val="274"/>
        </w:trPr>
        <w:tc>
          <w:tcPr>
            <w:tcW w:w="47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Executive Officer)</w:t>
            </w:r>
          </w:p>
        </w:tc>
      </w:tr>
      <w:tr>
        <w:trPr>
          <w:trHeight w:val="476"/>
        </w:trPr>
        <w:tc>
          <w:tcPr>
            <w:tcW w:w="4700" w:type="dxa"/>
            <w:vAlign w:val="bottom"/>
          </w:tcPr>
          <w:p>
            <w:pPr>
              <w:spacing w:after="0"/>
              <w:rPr>
                <w:sz w:val="20"/>
                <w:szCs w:val="20"/>
                <w:color w:val="auto"/>
              </w:rPr>
            </w:pPr>
            <w:r>
              <w:rPr>
                <w:rFonts w:ascii="Arial" w:cs="Arial" w:eastAsia="Arial" w:hAnsi="Arial"/>
                <w:sz w:val="22"/>
                <w:szCs w:val="22"/>
                <w:color w:val="auto"/>
              </w:rPr>
              <w:t>DATE: November 4, 2021</w:t>
            </w:r>
          </w:p>
        </w:tc>
        <w:tc>
          <w:tcPr>
            <w:tcW w:w="3060" w:type="dxa"/>
            <w:vAlign w:val="bottom"/>
          </w:tcPr>
          <w:p>
            <w:pPr>
              <w:ind w:left="236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Jesús Llorca</w:t>
            </w:r>
          </w:p>
        </w:tc>
      </w:tr>
      <w:tr>
        <w:trPr>
          <w:trHeight w:val="215"/>
        </w:trPr>
        <w:tc>
          <w:tcPr>
            <w:tcW w:w="4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w w:val="89"/>
              </w:rPr>
              <w:t xml:space="preserve">Jesús Llorca, </w:t>
            </w:r>
            <w:r>
              <w:rPr>
                <w:rFonts w:ascii="Arial" w:cs="Arial" w:eastAsia="Arial" w:hAnsi="Arial"/>
                <w:sz w:val="22"/>
                <w:szCs w:val="22"/>
                <w:i w:val="1"/>
                <w:iCs w:val="1"/>
                <w:color w:val="auto"/>
                <w:w w:val="89"/>
              </w:rPr>
              <w:t>Executive Vice President</w:t>
            </w:r>
          </w:p>
        </w:tc>
      </w:tr>
      <w:tr>
        <w:trPr>
          <w:trHeight w:val="243"/>
        </w:trPr>
        <w:tc>
          <w:tcPr>
            <w:tcW w:w="47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Financial Officer</w:t>
            </w:r>
          </w:p>
        </w:tc>
      </w:tr>
      <w:tr>
        <w:trPr>
          <w:trHeight w:val="274"/>
        </w:trPr>
        <w:tc>
          <w:tcPr>
            <w:tcW w:w="47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Financial Officer)</w:t>
            </w:r>
          </w:p>
        </w:tc>
      </w:tr>
      <w:tr>
        <w:trPr>
          <w:trHeight w:val="476"/>
        </w:trPr>
        <w:tc>
          <w:tcPr>
            <w:tcW w:w="4700" w:type="dxa"/>
            <w:vAlign w:val="bottom"/>
          </w:tcPr>
          <w:p>
            <w:pPr>
              <w:spacing w:after="0"/>
              <w:rPr>
                <w:sz w:val="20"/>
                <w:szCs w:val="20"/>
                <w:color w:val="auto"/>
              </w:rPr>
            </w:pPr>
            <w:r>
              <w:rPr>
                <w:rFonts w:ascii="Arial" w:cs="Arial" w:eastAsia="Arial" w:hAnsi="Arial"/>
                <w:sz w:val="22"/>
                <w:szCs w:val="22"/>
                <w:color w:val="auto"/>
              </w:rPr>
              <w:t>DATE: November 4, 2021</w:t>
            </w:r>
          </w:p>
        </w:tc>
        <w:tc>
          <w:tcPr>
            <w:tcW w:w="3060" w:type="dxa"/>
            <w:vAlign w:val="bottom"/>
          </w:tcPr>
          <w:p>
            <w:pPr>
              <w:ind w:left="236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S. Rossmiller</w:t>
            </w:r>
          </w:p>
        </w:tc>
      </w:tr>
      <w:tr>
        <w:trPr>
          <w:trHeight w:val="215"/>
        </w:trPr>
        <w:tc>
          <w:tcPr>
            <w:tcW w:w="47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Gregory S. Rossmiller,</w:t>
            </w:r>
          </w:p>
        </w:tc>
      </w:tr>
      <w:tr>
        <w:trPr>
          <w:trHeight w:val="243"/>
        </w:trPr>
        <w:tc>
          <w:tcPr>
            <w:tcW w:w="47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Senior Vice President</w:t>
            </w:r>
          </w:p>
        </w:tc>
      </w:tr>
      <w:tr>
        <w:trPr>
          <w:trHeight w:val="243"/>
        </w:trPr>
        <w:tc>
          <w:tcPr>
            <w:tcW w:w="47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Accounting Officer</w:t>
            </w:r>
          </w:p>
        </w:tc>
      </w:tr>
      <w:tr>
        <w:trPr>
          <w:trHeight w:val="274"/>
        </w:trPr>
        <w:tc>
          <w:tcPr>
            <w:tcW w:w="47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240"/>
          </w:cols>
          <w:pgMar w:left="320" w:top="11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780" w:hanging="772"/>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20"/>
              <w:spacing w:after="0"/>
              <w:rPr>
                <w:sz w:val="20"/>
                <w:szCs w:val="20"/>
                <w:color w:val="auto"/>
              </w:rPr>
            </w:pPr>
            <w:r>
              <w:rPr>
                <w:rFonts w:ascii="Arial" w:cs="Arial" w:eastAsia="Arial" w:hAnsi="Arial"/>
                <w:sz w:val="18"/>
                <w:szCs w:val="18"/>
                <w:color w:val="auto"/>
              </w:rPr>
              <w:t>November 4, 2021</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780" w:hanging="772"/>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Name:</w:t>
        <w:tab/>
        <w:t>Jesús Llorca</w:t>
      </w:r>
    </w:p>
    <w:p>
      <w:pPr>
        <w:spacing w:after="0" w:line="2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September 30, 2021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November 4, 2021</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20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6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November 4, 2021</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4"/>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lowerRoman"/>
      <w:start w:val="1"/>
    </w:lvl>
  </w:abstractNum>
  <w:abstractNum w:abstractNumId="10">
    <w:nsid w:val="B03E0C6"/>
    <w:multiLevelType w:val="hybridMultilevel"/>
    <w:lvl w:ilvl="0">
      <w:lvlJc w:val="left"/>
      <w:lvlText w:val="%1."/>
      <w:numFmt w:val="decimal"/>
      <w:start w:val="5"/>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6"/>
    </w:lvl>
  </w:abstractNum>
  <w:abstractNum w:abstractNumId="13">
    <w:nsid w:val="71F32454"/>
    <w:multiLevelType w:val="hybridMultilevel"/>
    <w:lvl w:ilvl="0">
      <w:lvlJc w:val="left"/>
      <w:lvlText w:val="%1."/>
      <w:numFmt w:val="decimal"/>
      <w:start w:val="7"/>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8"/>
    </w:lvl>
  </w:abstractNum>
  <w:abstractNum w:abstractNumId="16">
    <w:nsid w:val="2901D82"/>
    <w:multiLevelType w:val="hybridMultilevel"/>
    <w:lvl w:ilvl="0">
      <w:lvlJc w:val="left"/>
      <w:lvlText w:val="%1."/>
      <w:numFmt w:val="decimal"/>
      <w:start w:val="9"/>
    </w:lvl>
  </w:abstractNum>
  <w:abstractNum w:abstractNumId="17">
    <w:nsid w:val="3A95F874"/>
    <w:multiLevelType w:val="hybridMultilevel"/>
    <w:lvl w:ilvl="0">
      <w:lvlJc w:val="left"/>
      <w:lvlText w:val="%1."/>
      <w:numFmt w:val="decimal"/>
      <w:start w:val="10"/>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2"/>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lowerLetter"/>
      <w:start w:val="3"/>
    </w:lvl>
  </w:abstractNum>
  <w:abstractNum w:abstractNumId="36">
    <w:nsid w:val="5E884ADC"/>
    <w:multiLevelType w:val="hybridMultilevel"/>
    <w:lvl w:ilvl="0">
      <w:lvlJc w:val="left"/>
      <w:lvlText w:val="%1"/>
      <w:numFmt w:val="decimal"/>
      <w:start w:val="32"/>
    </w:lvl>
  </w:abstractNum>
  <w:abstractNum w:abstractNumId="37">
    <w:nsid w:val="51EAD36B"/>
    <w:multiLevelType w:val="hybridMultilevel"/>
    <w:lvl w:ilvl="0">
      <w:lvlJc w:val="left"/>
      <w:lvlText w:val="%1"/>
      <w:numFmt w:val="decimal"/>
      <w:start w:val="104"/>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2021-11-04T16:35:07Z</dcterms:created>
  <dcterms:modified xsi:type="dcterms:W3CDTF">2021-11-04T16:35:07Z</dcterms:modified>
</cp:coreProperties>
</file>