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4040" w:right="2280" w:hanging="4028"/>
        <w:spacing w:after="0" w:line="282" w:lineRule="auto"/>
        <w:tabs>
          <w:tab w:leader="none" w:pos="36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For the fiscal year ended </w:t>
      </w:r>
      <w:r>
        <w:rPr>
          <w:rFonts w:ascii="Arial" w:cs="Arial" w:eastAsia="Arial" w:hAnsi="Arial"/>
          <w:sz w:val="18"/>
          <w:szCs w:val="18"/>
          <w:color w:val="auto"/>
        </w:rPr>
        <w:t>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360" w:hanging="348"/>
        <w:spacing w:after="0" w:line="199" w:lineRule="auto"/>
        <w:tabs>
          <w:tab w:leader="none" w:pos="3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1-37966</w:t>
      </w:r>
    </w:p>
    <w:p>
      <w:pPr>
        <w:jc w:val="center"/>
        <w:spacing w:after="0" w:line="238" w:lineRule="auto"/>
        <w:rPr>
          <w:sz w:val="20"/>
          <w:szCs w:val="20"/>
          <w:color w:val="auto"/>
        </w:rPr>
      </w:pPr>
      <w:r>
        <w:rPr>
          <w:rFonts w:ascii="Arial" w:cs="Arial" w:eastAsia="Arial" w:hAnsi="Arial"/>
          <w:sz w:val="40"/>
          <w:szCs w:val="40"/>
          <w:b w:val="1"/>
          <w:bCs w:val="1"/>
          <w:color w:val="auto"/>
        </w:rPr>
        <w:t>SEACOR Marine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Delaware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700" w:type="dxa"/>
            <w:vAlign w:val="bottom"/>
          </w:tcPr>
          <w:p>
            <w:pPr>
              <w:jc w:val="right"/>
              <w:ind w:right="1819"/>
              <w:spacing w:after="0"/>
              <w:rPr>
                <w:sz w:val="20"/>
                <w:szCs w:val="20"/>
                <w:color w:val="auto"/>
              </w:rPr>
            </w:pPr>
            <w:r>
              <w:rPr>
                <w:rFonts w:ascii="Arial" w:cs="Arial" w:eastAsia="Arial" w:hAnsi="Arial"/>
                <w:sz w:val="16"/>
                <w:szCs w:val="16"/>
                <w:b w:val="1"/>
                <w:bCs w:val="1"/>
                <w:color w:val="auto"/>
                <w:w w:val="91"/>
              </w:rPr>
              <w:t>47-2564547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(State or Other Jurisdiction of</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Incorporation or Organization)</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12121 Wickchester Lane, Suite 500, Houston, TX</w:t>
            </w: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700" w:type="dxa"/>
            <w:vAlign w:val="bottom"/>
          </w:tcPr>
          <w:p>
            <w:pPr>
              <w:jc w:val="right"/>
              <w:ind w:right="1999"/>
              <w:spacing w:after="0"/>
              <w:rPr>
                <w:sz w:val="20"/>
                <w:szCs w:val="20"/>
                <w:color w:val="auto"/>
              </w:rPr>
            </w:pPr>
            <w:r>
              <w:rPr>
                <w:rFonts w:ascii="Arial" w:cs="Arial" w:eastAsia="Arial" w:hAnsi="Arial"/>
                <w:sz w:val="16"/>
                <w:szCs w:val="16"/>
                <w:b w:val="1"/>
                <w:bCs w:val="1"/>
                <w:color w:val="auto"/>
              </w:rPr>
              <w:t>77079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(Address of Principal Executive Office)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00" w:type="dxa"/>
            <w:vAlign w:val="bottom"/>
          </w:tcPr>
          <w:p>
            <w:pPr>
              <w:jc w:val="center"/>
              <w:ind w:right="1779"/>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700" w:type="dxa"/>
            <w:vAlign w:val="bottom"/>
            <w:gridSpan w:val="5"/>
          </w:tcPr>
          <w:p>
            <w:pPr>
              <w:jc w:val="center"/>
              <w:ind w:left="2619"/>
              <w:spacing w:after="0"/>
              <w:rPr>
                <w:sz w:val="20"/>
                <w:szCs w:val="20"/>
                <w:color w:val="auto"/>
              </w:rPr>
            </w:pPr>
            <w:r>
              <w:rPr>
                <w:rFonts w:ascii="Arial" w:cs="Arial" w:eastAsia="Arial" w:hAnsi="Arial"/>
                <w:sz w:val="16"/>
                <w:szCs w:val="16"/>
                <w:b w:val="1"/>
                <w:bCs w:val="1"/>
                <w:color w:val="auto"/>
                <w:w w:val="90"/>
              </w:rPr>
              <w:t>Registrant’s telephone number, including area code (346) 980-1700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0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Trading Symbol(s)</w:t>
            </w:r>
          </w:p>
        </w:tc>
        <w:tc>
          <w:tcPr>
            <w:tcW w:w="4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1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SMHI</w:t>
            </w:r>
          </w:p>
        </w:tc>
        <w:tc>
          <w:tcPr>
            <w:tcW w:w="120" w:type="dxa"/>
            <w:vAlign w:val="bottom"/>
          </w:tcPr>
          <w:p>
            <w:pPr>
              <w:spacing w:after="0"/>
              <w:rPr>
                <w:sz w:val="18"/>
                <w:szCs w:val="18"/>
                <w:color w:val="auto"/>
              </w:rPr>
            </w:pPr>
          </w:p>
        </w:tc>
        <w:tc>
          <w:tcPr>
            <w:tcW w:w="45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270"/>
        </w:trPr>
        <w:tc>
          <w:tcPr>
            <w:tcW w:w="470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Act:</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None</w:t>
            </w:r>
          </w:p>
        </w:tc>
        <w:tc>
          <w:tcPr>
            <w:tcW w:w="18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(Title of Class)</w:t>
            </w:r>
          </w:p>
        </w:tc>
        <w:tc>
          <w:tcPr>
            <w:tcW w:w="1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700" w:type="dxa"/>
            <w:vAlign w:val="bottom"/>
            <w:gridSpan w:val="5"/>
          </w:tcPr>
          <w:p>
            <w:pPr>
              <w:ind w:left="360"/>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Yes</w:t>
            </w:r>
          </w:p>
        </w:tc>
        <w:tc>
          <w:tcPr>
            <w:tcW w:w="270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00" w:type="dxa"/>
            <w:vAlign w:val="bottom"/>
            <w:gridSpan w:val="5"/>
          </w:tcPr>
          <w:p>
            <w:pPr>
              <w:ind w:left="360"/>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700" w:type="dxa"/>
            <w:vAlign w:val="bottom"/>
          </w:tcPr>
          <w:p>
            <w:pPr>
              <w:jc w:val="center"/>
              <w:ind w:right="181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ind w:firstLine="3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6" w:lineRule="exact"/>
        <w:rPr>
          <w:sz w:val="24"/>
          <w:szCs w:val="24"/>
          <w:color w:val="auto"/>
        </w:rPr>
      </w:pPr>
    </w:p>
    <w:p>
      <w:pPr>
        <w:jc w:val="both"/>
        <w:ind w:firstLine="380"/>
        <w:spacing w:after="0" w:line="31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0"/>
        <w:spacing w:after="0" w:line="184" w:lineRule="exact"/>
        <w:tabs>
          <w:tab w:leader="none" w:pos="1980" w:val="left"/>
          <w:tab w:leader="none" w:pos="2400" w:val="left"/>
          <w:tab w:leader="none" w:pos="3700" w:val="left"/>
          <w:tab w:leader="none" w:pos="4240" w:val="left"/>
          <w:tab w:leader="none" w:pos="5920" w:val="left"/>
          <w:tab w:leader="none" w:pos="6520" w:val="left"/>
          <w:tab w:leader="none" w:pos="8660" w:val="left"/>
          <w:tab w:leader="none" w:pos="9140" w:val="left"/>
          <w:tab w:leader="none" w:pos="112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0" w:lineRule="exact"/>
        <w:rPr>
          <w:sz w:val="24"/>
          <w:szCs w:val="24"/>
          <w:color w:val="auto"/>
        </w:rPr>
      </w:pPr>
    </w:p>
    <w:p>
      <w:pPr>
        <w:jc w:val="both"/>
        <w:ind w:firstLine="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380"/>
        <w:spacing w:after="0" w:line="184" w:lineRule="exact"/>
        <w:tabs>
          <w:tab w:leader="none" w:pos="84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6" w:lineRule="exact"/>
        <w:rPr>
          <w:sz w:val="24"/>
          <w:szCs w:val="24"/>
          <w:color w:val="auto"/>
        </w:rPr>
      </w:pPr>
    </w:p>
    <w:p>
      <w:pPr>
        <w:jc w:val="both"/>
        <w:ind w:firstLine="380"/>
        <w:spacing w:after="0" w:line="329" w:lineRule="auto"/>
        <w:rPr>
          <w:sz w:val="20"/>
          <w:szCs w:val="20"/>
          <w:color w:val="auto"/>
        </w:rPr>
      </w:pPr>
      <w:r>
        <w:rPr>
          <w:rFonts w:ascii="Arial" w:cs="Arial" w:eastAsia="Arial" w:hAnsi="Arial"/>
          <w:sz w:val="15"/>
          <w:szCs w:val="15"/>
          <w:color w:val="auto"/>
        </w:rPr>
        <w:t>The aggregate market value of the voting stock of the registrant held by non-affiliates as of June 28, 2019 was approximately $325.6 million based on the closing price on the New York Stock Exchange on such date. The total number of shares of Common Stock outstanding as of February 28, 2020 was 21,881,489.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jc w:val="both"/>
        <w:ind w:firstLine="380"/>
        <w:spacing w:after="0" w:line="278" w:lineRule="auto"/>
        <w:rPr>
          <w:sz w:val="20"/>
          <w:szCs w:val="20"/>
          <w:color w:val="auto"/>
        </w:rPr>
      </w:pPr>
      <w:r>
        <w:rPr>
          <w:rFonts w:ascii="Arial" w:cs="Arial" w:eastAsia="Arial" w:hAnsi="Arial"/>
          <w:sz w:val="16"/>
          <w:szCs w:val="16"/>
          <w:color w:val="auto"/>
        </w:rPr>
        <w:t>Portions of the Registrant’s definitive proxy statement for its 2020 Annual Meeting of Stockholders to be filed with the Securities and Exchange Commission (the "SEC") pursuant to Regulation 14A within 120 days after the end of the Registrant’s last fiscal year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205105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20" w:type="dxa"/>
            <w:vAlign w:val="bottom"/>
            <w:gridSpan w:val="11"/>
          </w:tcPr>
          <w:p>
            <w:pPr>
              <w:jc w:val="center"/>
              <w:ind w:right="2700"/>
              <w:spacing w:after="0"/>
              <w:rPr>
                <w:sz w:val="20"/>
                <w:szCs w:val="20"/>
                <w:color w:val="auto"/>
              </w:rPr>
            </w:pPr>
            <w:r>
              <w:rPr>
                <w:rFonts w:ascii="Arial" w:cs="Arial" w:eastAsia="Arial" w:hAnsi="Arial"/>
                <w:sz w:val="18"/>
                <w:szCs w:val="18"/>
                <w:b w:val="1"/>
                <w:bCs w:val="1"/>
                <w:color w:val="auto"/>
              </w:rPr>
              <w:t>SEACOR MARINE HOLDINGS INC.</w:t>
            </w:r>
          </w:p>
        </w:tc>
        <w:tc>
          <w:tcPr>
            <w:tcW w:w="13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12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rPr>
              <w:t>FORM 10-K</w:t>
            </w:r>
          </w:p>
        </w:tc>
        <w:tc>
          <w:tcPr>
            <w:tcW w:w="13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8"/>
              </w:rPr>
              <w:t>PART I</w:t>
            </w:r>
          </w:p>
        </w:tc>
        <w:tc>
          <w:tcPr>
            <w:tcW w:w="1300" w:type="dxa"/>
            <w:vAlign w:val="bottom"/>
          </w:tcPr>
          <w:p>
            <w:pPr>
              <w:spacing w:after="0"/>
              <w:rPr>
                <w:sz w:val="24"/>
                <w:szCs w:val="24"/>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560" w:type="dxa"/>
            <w:vAlign w:val="bottom"/>
            <w:gridSpan w:val="32"/>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General</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560" w:type="dxa"/>
            <w:vAlign w:val="bottom"/>
            <w:gridSpan w:val="3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Government Regulation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2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Industry Hazards and Insurance</w:t>
              </w:r>
            </w:hyperlink>
          </w:p>
        </w:tc>
        <w:tc>
          <w:tcPr>
            <w:tcW w:w="6920" w:type="dxa"/>
            <w:vAlign w:val="bottom"/>
            <w:gridSpan w:val="1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92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Employees</w:t>
              </w:r>
            </w:hyperlink>
          </w:p>
        </w:tc>
        <w:tc>
          <w:tcPr>
            <w:tcW w:w="8400" w:type="dxa"/>
            <w:vAlign w:val="bottom"/>
            <w:gridSpan w:val="3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300" w:type="dxa"/>
            <w:vAlign w:val="bottom"/>
            <w:gridSpan w:val="2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Unresolved Staff Comments</w:t>
              </w:r>
            </w:hyperlink>
          </w:p>
        </w:tc>
        <w:tc>
          <w:tcPr>
            <w:tcW w:w="7160" w:type="dxa"/>
            <w:vAlign w:val="bottom"/>
            <w:gridSpan w:val="1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3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3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Disclosures</w:t>
              </w:r>
            </w:hyperlink>
          </w:p>
        </w:tc>
        <w:tc>
          <w:tcPr>
            <w:tcW w:w="7420" w:type="dxa"/>
            <w:vAlign w:val="bottom"/>
            <w:gridSpan w:val="2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Executive Officers of the Registrant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9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rPr>
              <w:t>PART II</w:t>
            </w:r>
          </w:p>
        </w:tc>
        <w:tc>
          <w:tcPr>
            <w:tcW w:w="1300" w:type="dxa"/>
            <w:vAlign w:val="bottom"/>
          </w:tcPr>
          <w:p>
            <w:pPr>
              <w:spacing w:after="0"/>
              <w:rPr>
                <w:sz w:val="24"/>
                <w:szCs w:val="24"/>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3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3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Overview</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Recent Developments</w:t>
              </w:r>
            </w:hyperlink>
          </w:p>
        </w:tc>
        <w:tc>
          <w:tcPr>
            <w:tcW w:w="7620" w:type="dxa"/>
            <w:vAlign w:val="bottom"/>
            <w:gridSpan w:val="2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920" w:type="dxa"/>
            <w:vAlign w:val="bottom"/>
          </w:tcPr>
          <w:p>
            <w:pPr>
              <w:spacing w:after="0"/>
              <w:rPr>
                <w:sz w:val="24"/>
                <w:szCs w:val="24"/>
                <w:color w:val="auto"/>
              </w:rPr>
            </w:pPr>
          </w:p>
        </w:tc>
        <w:tc>
          <w:tcPr>
            <w:tcW w:w="34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Trends Affecting the Offshore Marine Business</w:t>
              </w:r>
            </w:hyperlink>
          </w:p>
        </w:tc>
        <w:tc>
          <w:tcPr>
            <w:tcW w:w="578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Components of Revenues and Expenses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7"/>
        </w:trPr>
        <w:tc>
          <w:tcPr>
            <w:tcW w:w="920" w:type="dxa"/>
            <w:vAlign w:val="bottom"/>
          </w:tcPr>
          <w:p>
            <w:pPr>
              <w:spacing w:after="0"/>
              <w:rPr>
                <w:sz w:val="24"/>
                <w:szCs w:val="24"/>
                <w:color w:val="auto"/>
              </w:rPr>
            </w:pPr>
          </w:p>
        </w:tc>
        <w:tc>
          <w:tcPr>
            <w:tcW w:w="3440" w:type="dxa"/>
            <w:vAlign w:val="bottom"/>
            <w:tcBorders>
              <w:top w:val="single" w:sz="8" w:color="0000EE"/>
            </w:tcBorders>
            <w:gridSpan w:val="2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Results of Operations</w:t>
              </w:r>
            </w:hyperlink>
          </w:p>
        </w:tc>
        <w:tc>
          <w:tcPr>
            <w:tcW w:w="576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9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Liquidity and Capital Resources</w:t>
              </w:r>
            </w:hyperlink>
          </w:p>
        </w:tc>
        <w:tc>
          <w:tcPr>
            <w:tcW w:w="220" w:type="dxa"/>
            <w:vAlign w:val="bottom"/>
            <w:tcBorders>
              <w:top w:val="single" w:sz="8" w:color="0000EE"/>
            </w:tcBorders>
          </w:tcPr>
          <w:p>
            <w:pPr>
              <w:spacing w:after="0"/>
              <w:rPr>
                <w:sz w:val="24"/>
                <w:szCs w:val="24"/>
                <w:color w:val="auto"/>
              </w:rPr>
            </w:pPr>
          </w:p>
        </w:tc>
        <w:tc>
          <w:tcPr>
            <w:tcW w:w="6660" w:type="dxa"/>
            <w:vAlign w:val="bottom"/>
            <w:gridSpan w:val="1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920" w:type="dxa"/>
            <w:vAlign w:val="bottom"/>
          </w:tcPr>
          <w:p>
            <w:pPr>
              <w:spacing w:after="0"/>
              <w:rPr>
                <w:sz w:val="24"/>
                <w:szCs w:val="24"/>
                <w:color w:val="auto"/>
              </w:rPr>
            </w:pPr>
          </w:p>
        </w:tc>
        <w:tc>
          <w:tcPr>
            <w:tcW w:w="28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Debt Securities and Credit Agreements</w:t>
              </w:r>
            </w:hyperlink>
          </w:p>
        </w:tc>
        <w:tc>
          <w:tcPr>
            <w:tcW w:w="638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920" w:type="dxa"/>
            <w:vAlign w:val="bottom"/>
          </w:tcPr>
          <w:p>
            <w:pPr>
              <w:spacing w:after="0"/>
              <w:rPr>
                <w:sz w:val="24"/>
                <w:szCs w:val="24"/>
                <w:color w:val="auto"/>
              </w:rPr>
            </w:pPr>
          </w:p>
        </w:tc>
        <w:tc>
          <w:tcPr>
            <w:tcW w:w="136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Effects of Inflation</w:t>
              </w:r>
            </w:hyperlink>
          </w:p>
        </w:tc>
        <w:tc>
          <w:tcPr>
            <w:tcW w:w="7840" w:type="dxa"/>
            <w:vAlign w:val="bottom"/>
            <w:gridSpan w:val="2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Contingencies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920" w:type="dxa"/>
            <w:vAlign w:val="bottom"/>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Related Party Transactions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9200" w:type="dxa"/>
            <w:vAlign w:val="bottom"/>
            <w:gridSpan w:val="3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Critical Accounting Policies and Estimates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200" w:type="dxa"/>
            <w:vAlign w:val="bottom"/>
            <w:gridSpan w:val="3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Changes in and Disagreements with Accountants on Accounting and Financial Disclosure</w:t>
              </w:r>
            </w:hyperlink>
          </w:p>
        </w:tc>
        <w:tc>
          <w:tcPr>
            <w:tcW w:w="272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200" w:type="dxa"/>
            <w:vAlign w:val="bottom"/>
            <w:gridSpan w:val="3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440" w:type="dxa"/>
            <w:vAlign w:val="bottom"/>
            <w:gridSpan w:val="2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9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rPr>
              <w:t>PART III</w:t>
            </w:r>
          </w:p>
        </w:tc>
        <w:tc>
          <w:tcPr>
            <w:tcW w:w="1300" w:type="dxa"/>
            <w:vAlign w:val="bottom"/>
          </w:tcPr>
          <w:p>
            <w:pPr>
              <w:spacing w:after="0"/>
              <w:rPr>
                <w:sz w:val="24"/>
                <w:szCs w:val="24"/>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3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14"/>
          </w:tcPr>
          <w:p>
            <w:pPr>
              <w:spacing w:after="0"/>
              <w:rPr>
                <w:sz w:val="24"/>
                <w:szCs w:val="24"/>
                <w:color w:val="auto"/>
              </w:rPr>
            </w:pPr>
          </w:p>
        </w:tc>
        <w:tc>
          <w:tcPr>
            <w:tcW w:w="512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200" w:type="dxa"/>
            <w:vAlign w:val="bottom"/>
            <w:gridSpan w:val="3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3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192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376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9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6"/>
          </w:tcPr>
          <w:p>
            <w:pPr>
              <w:jc w:val="center"/>
              <w:ind w:right="4000"/>
              <w:spacing w:after="0"/>
              <w:rPr>
                <w:sz w:val="20"/>
                <w:szCs w:val="20"/>
                <w:color w:val="auto"/>
              </w:rPr>
            </w:pPr>
            <w:r>
              <w:rPr>
                <w:rFonts w:ascii="Arial" w:cs="Arial" w:eastAsia="Arial" w:hAnsi="Arial"/>
                <w:sz w:val="18"/>
                <w:szCs w:val="18"/>
                <w:b w:val="1"/>
                <w:bCs w:val="1"/>
                <w:color w:val="auto"/>
              </w:rPr>
              <w:t>PART IV</w:t>
            </w:r>
          </w:p>
        </w:tc>
        <w:tc>
          <w:tcPr>
            <w:tcW w:w="1300" w:type="dxa"/>
            <w:vAlign w:val="bottom"/>
          </w:tcPr>
          <w:p>
            <w:pPr>
              <w:spacing w:after="0"/>
              <w:rPr>
                <w:sz w:val="24"/>
                <w:szCs w:val="24"/>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Exhibits, Financial Statement Schedules</w:t>
              </w:r>
            </w:hyperlink>
          </w:p>
        </w:tc>
        <w:tc>
          <w:tcPr>
            <w:tcW w:w="6300" w:type="dxa"/>
            <w:vAlign w:val="bottom"/>
            <w:gridSpan w:val="12"/>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 xml:space="preserve">Unless the context indicates otherwise, the terms “we,” “our,” “ours,” “us,” “its” and the “Company” refer to SEACOR Marine Holdings Inc. and its consolidated subsidiaries. “SEACOR Marine” refers to SEACOR Marine Holdings Inc., incorporated in 2014 in Delaware, without its subsidiaries. “Common Stock” refers to the common stock, </w:t>
      </w:r>
      <w:r>
        <w:rPr>
          <w:rFonts w:ascii="Arial" w:cs="Arial" w:eastAsia="Arial" w:hAnsi="Arial"/>
          <w:sz w:val="16"/>
          <w:szCs w:val="16"/>
          <w:i w:val="1"/>
          <w:iCs w:val="1"/>
          <w:color w:val="auto"/>
        </w:rPr>
        <w:t>par value</w:t>
      </w:r>
      <w:r>
        <w:rPr>
          <w:rFonts w:ascii="Arial" w:cs="Arial" w:eastAsia="Arial" w:hAnsi="Arial"/>
          <w:sz w:val="16"/>
          <w:szCs w:val="16"/>
          <w:color w:val="auto"/>
        </w:rPr>
        <w:t xml:space="preserve"> $0.01 per share, of SEACOR Marine. The Company’s fiscal year ends on December 31 of each year.</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SEACOR Marine’s principal executive office is located at 12121 Wickchester Lane, Suite 500, Houston, Texas 77079, and its telephone number is</w:t>
      </w:r>
    </w:p>
    <w:p>
      <w:pPr>
        <w:spacing w:after="0" w:line="46" w:lineRule="exact"/>
        <w:rPr>
          <w:sz w:val="20"/>
          <w:szCs w:val="20"/>
          <w:color w:val="auto"/>
        </w:rPr>
      </w:pPr>
    </w:p>
    <w:p>
      <w:pPr>
        <w:ind w:right="20" w:firstLine="8"/>
        <w:spacing w:after="0" w:line="261"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980-1700. SEACOR Marine’s website address is </w:t>
      </w:r>
      <w:r>
        <w:rPr>
          <w:rFonts w:ascii="Arial" w:cs="Arial" w:eastAsia="Arial" w:hAnsi="Arial"/>
          <w:sz w:val="18"/>
          <w:szCs w:val="18"/>
          <w:i w:val="1"/>
          <w:iCs w:val="1"/>
          <w:color w:val="auto"/>
        </w:rPr>
        <w:t>www.seacormarine.com</w:t>
      </w:r>
      <w:r>
        <w:rPr>
          <w:rFonts w:ascii="Arial" w:cs="Arial" w:eastAsia="Arial" w:hAnsi="Arial"/>
          <w:sz w:val="18"/>
          <w:szCs w:val="18"/>
          <w:color w:val="auto"/>
        </w:rPr>
        <w:t>. Any reference to SEACOR Marine's website is not intended to incorporate the information on the website into this Annual Report on Form 10-K.</w:t>
      </w:r>
    </w:p>
    <w:p>
      <w:pPr>
        <w:spacing w:after="0" w:line="143"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Company’s corporate governance documents, including the Board of Directors’ Audit Committee, Compensation Committee and Nominating and Corporate Governance Committee charters as well as the Company’s Corporate Governance Guidelines and Code of Ethics are available, free of charge, on SEACOR Marine’s website or in print for stockholders.</w:t>
      </w:r>
    </w:p>
    <w:p>
      <w:pPr>
        <w:spacing w:after="0" w:line="14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 xml:space="preserve">All of the Company’s periodic reports filed with the SEC pursuant to Section 13(a), 14 or 15(d) of the Securities Exchange Act of 1934, as amended, are available, free of charge, on SEACOR Marine’s website, including its Annual Reports on Form 10-K, Quarterly Reports on Form 10-Q, Current Reports on Form 8-K, Proxy Statements and any amendments to those reports. These reports and amendments are available on SEACOR Marine’s website as soon as reasonably practicable after the Company electronically files the reports or amendments with the SEC. The SEC maintains a website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these reports, proxy and information statements and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8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Company provides global marine and support transportation services to offshore oil, natural gas and windfarm facilities worldwide. The Company and its joint ventures operate and manage a diverse fleet of offshore support vessels that (i) deliver cargo and personnel to offshore installations including wind farms, (ii) handle anchors and mooring equipment required to tether rigs to the seabed, (iii) tow rigs and assist in placing them on location and moving them between regions, (iv) provide construction, well work-over, maintenance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w:t>
      </w:r>
    </w:p>
    <w:p>
      <w:pPr>
        <w:spacing w:after="0" w:line="13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a result of the announced sale of its North Sea standby safety business on November 1, 2019, the Company classified its standby safety assets as held for sale as of the end of the third quarter 2019. Unless the context indicates otherwise, all of the results presented exclude the standby safety operations which are classified as discontinued operations.</w:t>
      </w:r>
    </w:p>
    <w:p>
      <w:pPr>
        <w:spacing w:after="0" w:line="154"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For a discussion of risk and economic factors that may impact the Company’s financial position and its results of operations, see “Item 1A. Risk Factors” and “Item 7. Management’s Discussion and Analysis of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760"/>
        <w:spacing w:after="0"/>
        <w:rPr>
          <w:sz w:val="20"/>
          <w:szCs w:val="20"/>
          <w:color w:val="auto"/>
        </w:rPr>
      </w:pPr>
      <w:r>
        <w:rPr>
          <w:rFonts w:ascii="Arial" w:cs="Arial" w:eastAsia="Arial" w:hAnsi="Arial"/>
          <w:sz w:val="18"/>
          <w:szCs w:val="18"/>
          <w:b w:val="1"/>
          <w:bCs w:val="1"/>
          <w:color w:val="auto"/>
        </w:rPr>
        <w:t>Equipment and Services</w:t>
      </w:r>
    </w:p>
    <w:p>
      <w:pPr>
        <w:spacing w:after="0" w:line="20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following tables identify the types of vessels that comprise the Company’s fleet as of December 31 for the indicated years. “Owned” are majority owned and controlled by the Company. “Joint-Ventured” are owned or operated by entities in which the Company does not have a controlling interest. “Leased-in” may either be vessels contracted from leasing companies to which the Company may have sold such vessels or vessels chartered-in from other third-party owners. “Managed” are owned by entities not affiliated with the Company but operated by the Company for a fee. A description of vessel classes follows this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Owned Fleet</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3"/>
              </w:rPr>
              <w:t>Joint-</w:t>
            </w:r>
          </w:p>
        </w:tc>
        <w:tc>
          <w:tcPr>
            <w:tcW w:w="108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7"/>
              </w:rPr>
              <w:t>Leased -</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02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2"/>
              </w:rPr>
              <w:t>U.S.-</w:t>
            </w:r>
          </w:p>
        </w:tc>
        <w:tc>
          <w:tcPr>
            <w:tcW w:w="8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Foreign-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Owned </w:t>
            </w:r>
            <w:r>
              <w:rPr>
                <w:rFonts w:ascii="Arial" w:cs="Arial" w:eastAsia="Arial" w:hAnsi="Arial"/>
                <w:sz w:val="15"/>
                <w:szCs w:val="15"/>
                <w:b w:val="1"/>
                <w:bCs w:val="1"/>
                <w:color w:val="auto"/>
              </w:rPr>
              <w:t>(1)</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Ventured</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w:t>
            </w: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Managed</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Age</w:t>
            </w:r>
          </w:p>
        </w:tc>
        <w:tc>
          <w:tcPr>
            <w:tcW w:w="2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Flag</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Flag</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2019 </w:t>
            </w:r>
            <w:r>
              <w:rPr>
                <w:rFonts w:ascii="Arial" w:cs="Arial" w:eastAsia="Arial" w:hAnsi="Arial"/>
                <w:sz w:val="15"/>
                <w:szCs w:val="15"/>
                <w:b w:val="1"/>
                <w:bCs w:val="1"/>
                <w:color w:val="auto"/>
                <w:w w:val="91"/>
              </w:rPr>
              <w:t>(2)</w:t>
            </w:r>
          </w:p>
        </w:tc>
        <w:tc>
          <w:tcPr>
            <w:tcW w:w="1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FSV</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Crew transfer</w:t>
            </w: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FSV</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Crew transfer</w:t>
            </w: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Standby safety Discontinued</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FSV</w:t>
            </w: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Crew transfer</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Specialty</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Standby safety Discontinued</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969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79"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four owned offshore support vessels retired and removed from service as of December 31, 2019.</w:t>
      </w:r>
    </w:p>
    <w:p>
      <w:pPr>
        <w:jc w:val="both"/>
        <w:ind w:left="760" w:hanging="752"/>
        <w:spacing w:after="0" w:line="255" w:lineRule="auto"/>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of December 31, 2019, 47 of the Company’s owned and leased-in vessels were outfitted with dynamic positioning (“DP”) systems. DP systems enable vessels to maintain a fixed position in close proximity to a rig or platform. The most technologically advanced DP systems have enhanced redundancy in the vessel’s power, electrical, computer and reference systems enabling vessels to maintain accurate position-keeping even in the event of failure of one of those systems (“DP-2”) and, in some cases, in the event of fire and flood (“DP-3”).</w:t>
      </w:r>
    </w:p>
    <w:p>
      <w:pPr>
        <w:spacing w:after="0" w:line="13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i w:val="1"/>
          <w:iCs w:val="1"/>
          <w:color w:val="auto"/>
        </w:rPr>
        <w:t xml:space="preserve">Supply </w:t>
      </w:r>
      <w:r>
        <w:rPr>
          <w:rFonts w:ascii="Arial" w:cs="Arial" w:eastAsia="Arial" w:hAnsi="Arial"/>
          <w:sz w:val="17"/>
          <w:szCs w:val="17"/>
          <w:color w:val="auto"/>
        </w:rPr>
        <w:t>vessels (also known as platform supply vessels (“PSVs”)) generally range from 190 to more than 300 feet in length and are primarily used</w:t>
      </w:r>
      <w:r>
        <w:rPr>
          <w:rFonts w:ascii="Arial" w:cs="Arial" w:eastAsia="Arial" w:hAnsi="Arial"/>
          <w:sz w:val="17"/>
          <w:szCs w:val="17"/>
          <w:i w:val="1"/>
          <w:iCs w:val="1"/>
          <w:color w:val="auto"/>
        </w:rPr>
        <w:t xml:space="preserve"> </w:t>
      </w:r>
      <w:r>
        <w:rPr>
          <w:rFonts w:ascii="Arial" w:cs="Arial" w:eastAsia="Arial" w:hAnsi="Arial"/>
          <w:sz w:val="17"/>
          <w:szCs w:val="17"/>
          <w:color w:val="auto"/>
        </w:rPr>
        <w:t>to deliver general cargo, drilling fluids, bulk products, methanol, diesel fuel and water to rigs and platforms where drilling and work-over activity is underway. These vessels are capable of being modified for a wide variety of other uses and missions, including, but not limited to, construction support typically when fitted with a crane, standby, security, firefighting, and accommodation. Relevant differentiating features of supply vessels are total carrying capacity (expressed as deadweight: “dwt”), available area of clear deck space, below-deck capacity for storage of mud and bulk products used in the drilling process, tank storage for water and fuel oil, fuel efficiency and accommodation capacity. Additional factors in the commercial marketability of supply vessels are operating draft because certain markets are limited in the size of vessel that can work safely, local flag preference, cabotage requirements and regulations. To improve station keeping ability, many modern supply vessels have DP systems capabilities. As of December 31, 2019, three of the four owned supply vessels, and 24 of the 34 joint-ventured supply vessels, were equipped with DP-2. To improve fuel efficiency, reduce carbon and other emissions, and provide greater redundancy, supply vessels are sometimes equipped with hybrid power systems. As of December 31, 2019, seven of the joint-ventured supply vessels were equipped with hybrid power systems</w:t>
      </w:r>
      <w:r>
        <w:rPr>
          <w:rFonts w:ascii="Arial" w:cs="Arial" w:eastAsia="Arial" w:hAnsi="Arial"/>
          <w:sz w:val="17"/>
          <w:szCs w:val="17"/>
          <w:color w:val="FF0000"/>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 w:name="page5"/>
    <w:bookmarkEnd w:id="4"/>
    <w:p>
      <w:pPr>
        <w:jc w:val="both"/>
        <w:ind w:firstLine="761"/>
        <w:spacing w:after="0" w:line="253" w:lineRule="auto"/>
        <w:rPr>
          <w:sz w:val="20"/>
          <w:szCs w:val="20"/>
          <w:color w:val="auto"/>
        </w:rPr>
      </w:pPr>
      <w:r>
        <w:rPr>
          <w:rFonts w:ascii="Arial" w:cs="Arial" w:eastAsia="Arial" w:hAnsi="Arial"/>
          <w:sz w:val="18"/>
          <w:szCs w:val="18"/>
          <w:i w:val="1"/>
          <w:iCs w:val="1"/>
          <w:color w:val="auto"/>
        </w:rPr>
        <w:t xml:space="preserve">Fast support </w:t>
      </w:r>
      <w:r>
        <w:rPr>
          <w:rFonts w:ascii="Arial" w:cs="Arial" w:eastAsia="Arial" w:hAnsi="Arial"/>
          <w:sz w:val="18"/>
          <w:szCs w:val="18"/>
          <w:color w:val="auto"/>
        </w:rPr>
        <w:t>vessels (“FSVs”) are aluminum hull vessels used primarily to move cargo and personnel to and from offshore drilling rigs,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installations at greater speeds than traditional steel hull support vessels. FSVs can be catamaran or mono-hull vessels ranging from 145 to 205 feet in length and capable of speeds between 20 to 45 knots with capacities to carry special cargo, support both drilling operations and production services and transport passengers. FSVs built within the last ten years are sometimes equipped with DP-2 systems, firefighting equipment, hospitals, walk to work and ride control systems for greater comfort and performance. As of December 31, 2019, 24 of the 31 owned and leased-in FSVs were equipped with DP-2, four were equipped with DP-1, and two were equipped with DP-3 and one was non-DP. As of December 31, 2019, four of the five joint-ventured FSVs were not equipped with DP and the remaining vessel was equipped with a DP-2 system. The Company’s FSV fleet includes vessels that have a passenger capacity of 36 to 150 and, on certain newer FSVs, include reclining seating, ambient lighting and other features to enhance comfort and marketability for passenger transport.</w:t>
      </w:r>
    </w:p>
    <w:p>
      <w:pPr>
        <w:spacing w:after="0" w:line="170"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i w:val="1"/>
          <w:iCs w:val="1"/>
          <w:color w:val="auto"/>
        </w:rPr>
        <w:t xml:space="preserve">Liftboats </w:t>
      </w:r>
      <w:r>
        <w:rPr>
          <w:rFonts w:ascii="Arial" w:cs="Arial" w:eastAsia="Arial" w:hAnsi="Arial"/>
          <w:sz w:val="16"/>
          <w:szCs w:val="16"/>
          <w:color w:val="auto"/>
        </w:rPr>
        <w:t>provide a self-propelled, stable platform to perform wind farm installation and maintenance, production platform construction, inspection,</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and removal, well intervention and work-over, well production enhancement, well plug and abandonment, pipeline installation and maintenance and diving operations. The length of jacking legs (235 feet to 335 feet for the Company’s liftboats) determines the water depth in which these vessels can work. Other differentiating features are crane lifting capacity and reach, clear deck area, helipad and electrical generating power and accommodation capacity. Liftboats are used primarily in domestic and international markets including the U.S. Gulf of Mexico, Europe, West Africa, Mexico and the Middle East. As of December 31, 2019, three of the 19 owned and leased-in liftboats were equipped with DP-2 and one with DP-1.</w:t>
      </w:r>
    </w:p>
    <w:p>
      <w:pPr>
        <w:spacing w:after="0" w:line="124"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i w:val="1"/>
          <w:iCs w:val="1"/>
          <w:color w:val="auto"/>
        </w:rPr>
        <w:t xml:space="preserve">Crew transfer </w:t>
      </w:r>
      <w:r>
        <w:rPr>
          <w:rFonts w:ascii="Arial" w:cs="Arial" w:eastAsia="Arial" w:hAnsi="Arial"/>
          <w:sz w:val="18"/>
          <w:szCs w:val="18"/>
          <w:color w:val="auto"/>
        </w:rPr>
        <w:t>vessels are used primarily to move personnel and supplies to offshore wind farms. These are Windcat series vessels that feature a</w:t>
      </w:r>
      <w:r>
        <w:rPr>
          <w:rFonts w:ascii="Arial" w:cs="Arial" w:eastAsia="Arial" w:hAnsi="Arial"/>
          <w:sz w:val="18"/>
          <w:szCs w:val="18"/>
          <w:i w:val="1"/>
          <w:iCs w:val="1"/>
          <w:color w:val="auto"/>
        </w:rPr>
        <w:t xml:space="preserve"> </w:t>
      </w:r>
      <w:r>
        <w:rPr>
          <w:rFonts w:ascii="Arial" w:cs="Arial" w:eastAsia="Arial" w:hAnsi="Arial"/>
          <w:sz w:val="18"/>
          <w:szCs w:val="18"/>
          <w:color w:val="auto"/>
        </w:rPr>
        <w:t>catamaran hull with flush foredeck, providing a stable platform from which personnel can safely transfer to wind turbines, and are capable of speeds between 25 and 31 knots.</w:t>
      </w:r>
    </w:p>
    <w:p>
      <w:pPr>
        <w:spacing w:after="0" w:line="141"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i w:val="1"/>
          <w:iCs w:val="1"/>
          <w:color w:val="auto"/>
        </w:rPr>
        <w:t xml:space="preserve">Anchor handling towing supply </w:t>
      </w:r>
      <w:r>
        <w:rPr>
          <w:rFonts w:ascii="Arial" w:cs="Arial" w:eastAsia="Arial" w:hAnsi="Arial"/>
          <w:sz w:val="17"/>
          <w:szCs w:val="17"/>
          <w:color w:val="auto"/>
        </w:rPr>
        <w:t>(“AHTS”) vessels are used primarily to support offshore drilling activities by towing, positioning and mooring</w:t>
      </w:r>
      <w:r>
        <w:rPr>
          <w:rFonts w:ascii="Arial" w:cs="Arial" w:eastAsia="Arial" w:hAnsi="Arial"/>
          <w:sz w:val="17"/>
          <w:szCs w:val="17"/>
          <w:i w:val="1"/>
          <w:iCs w:val="1"/>
          <w:color w:val="auto"/>
        </w:rPr>
        <w:t xml:space="preserve"> </w:t>
      </w:r>
      <w:r>
        <w:rPr>
          <w:rFonts w:ascii="Arial" w:cs="Arial" w:eastAsia="Arial" w:hAnsi="Arial"/>
          <w:sz w:val="17"/>
          <w:szCs w:val="17"/>
          <w:color w:val="auto"/>
        </w:rPr>
        <w:t>drilling rigs and other marine equipment. AHTS vessels are also used to carry and launch equipment such as remote operated vehicles (“ROVs”) used underwater in drilling and well installation, maintenance, and repair and transport supplies and equipment from shore bases to offshore drilling rigs, platforms and other installations, including floating wind farm installations. The defining characteristics of AHTS vessels are: (i) horsepower (“bhp”); (ii) bollard pull, which is the pulling capacity of the AHTS vessel and is important for towing and positioning rigs; (iii) winch size in terms of “line pull” and brake holding capacity; and (iv) wire storage capacity. The Company’s fleet of AHTS vessels has varying capabilities and supports offshore mooring activities in water depths ranging from 300 to 8,000 feet. Most modern AHTS vessels are equipped with DP systems and can also carry drilling fluids and bulk products below-deck. As of December 31, 2019, all eight of the Company’s owned and leased-in AHTS vessels were equipped with DP-2.</w:t>
      </w:r>
    </w:p>
    <w:p>
      <w:pPr>
        <w:spacing w:after="0" w:line="152"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i w:val="1"/>
          <w:iCs w:val="1"/>
          <w:color w:val="auto"/>
        </w:rPr>
        <w:t xml:space="preserve">Specialty </w:t>
      </w:r>
      <w:r>
        <w:rPr>
          <w:rFonts w:ascii="Arial" w:cs="Arial" w:eastAsia="Arial" w:hAnsi="Arial"/>
          <w:sz w:val="16"/>
          <w:szCs w:val="16"/>
          <w:color w:val="auto"/>
        </w:rPr>
        <w:t>vessels include anchor handling tugs, accommodation, line handling and other vessels. These vessels generally have specialized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adapting them to specific applications including offshore maintenance and construction services, freight hauling services and accommodation services.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to its existing fleet, the Company has new construction projects in progress, as of December 31, 2019, for five offshore support vessels,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70" w:lineRule="exact"/>
        <w:rPr>
          <w:sz w:val="20"/>
          <w:szCs w:val="20"/>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U.S.-flag, DP-2 supply vessels scheduled for delivery in the first quarter and fourth quarter of 2020;</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foreign-flag, DP-2 supply vessels scheduled for delivery in the second quarter of 2020;</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foreign-flag, crew transfer vessel scheduled for delivery in the second quarter of 2020;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U.S.-flag, DP-2 FSVs with uncertain delivery dates as the Company, at its option, may defer their construction for an indefinite period of time.</w:t>
      </w:r>
    </w:p>
    <w:p>
      <w:pPr>
        <w:spacing w:after="0" w:line="130"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Company’s new U.S.-built equipment will meet the U.S. Environmental Protection Agency (“EPA”) Tier III environmental regulations with respect to nitrous oxide (“NOx”) emissions from marine diesel engines. Vessels whose keel was laid after January 1, 2016 will have to meet EPA Tier IV environmental regulations, which the Company believes will add significant expense to the new construction of offshore support vessels.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Markets</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 operates its fleet in five principal geographic regions: the United States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 w:name="page6"/>
    <w:bookmarkEnd w:id="5"/>
    <w:p>
      <w:pPr>
        <w:jc w:val="both"/>
        <w:ind w:firstLine="761"/>
        <w:spacing w:after="0" w:line="312" w:lineRule="auto"/>
        <w:rPr>
          <w:sz w:val="20"/>
          <w:szCs w:val="20"/>
          <w:color w:val="auto"/>
        </w:rPr>
      </w:pPr>
      <w:r>
        <w:rPr>
          <w:rFonts w:ascii="Arial" w:cs="Arial" w:eastAsia="Arial" w:hAnsi="Arial"/>
          <w:sz w:val="16"/>
          <w:szCs w:val="16"/>
          <w:color w:val="auto"/>
        </w:rPr>
        <w:t>The table below sets forth vessel types by geographic market as of December 31 for the indicated years. The Company sometimes participates in joint venture arrangements in certain geographical locations in order to enhance marketing capabilities and facilitate operations in certain foreign markets allowing for the expansion of its fleet and operations while diversifying risks and reducing capital outlays associated with such expansion.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United States, primarily U.S. Gulf of Mexico:</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Supply</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FSV</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Liftboats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Specialty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Africa, primarily West Africa:</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FSV</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Specialty</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Middle East and Asia:</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FSV</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Crew transfer</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Specialty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Latin America:</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FSV</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Liftboats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Specialty</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Europe, primarily North Sea:</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Supply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Liftboat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Crew transfer</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Standby safety Discontinued Operations</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Foreign Fleet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Fleet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b w:val="1"/>
          <w:bCs w:val="1"/>
          <w:i w:val="1"/>
          <w:iCs w:val="1"/>
          <w:color w:val="auto"/>
        </w:rPr>
        <w:t xml:space="preserve">United States, primarily U.S. Gulf of Mexico. </w:t>
      </w:r>
      <w:r>
        <w:rPr>
          <w:rFonts w:ascii="Arial" w:cs="Arial" w:eastAsia="Arial" w:hAnsi="Arial"/>
          <w:sz w:val="18"/>
          <w:szCs w:val="18"/>
          <w:color w:val="auto"/>
        </w:rPr>
        <w:t>As of December 31, 2019, 25 vessels were located in the U.S. Gulf of Mexico, including 17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leased-in, two joint-ventured and one managed-in. The Company’s vessels in this market support deepwater anchor handling, fast cargo transport, general cargo transport, well intervention, work-over, decommissioning and diving support operations.</w:t>
      </w:r>
    </w:p>
    <w:p>
      <w:pPr>
        <w:spacing w:after="0" w:line="141"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b w:val="1"/>
          <w:bCs w:val="1"/>
          <w:i w:val="1"/>
          <w:iCs w:val="1"/>
          <w:color w:val="auto"/>
        </w:rPr>
        <w:t xml:space="preserve">Africa, primarily West Africa. </w:t>
      </w:r>
      <w:r>
        <w:rPr>
          <w:rFonts w:ascii="Arial" w:cs="Arial" w:eastAsia="Arial" w:hAnsi="Arial"/>
          <w:sz w:val="16"/>
          <w:szCs w:val="16"/>
          <w:color w:val="auto"/>
        </w:rPr>
        <w:t>As of December 31, 2019, 20 vessels were located in West Africa, including 13 owned, two leased-in, four joint-ventured and one managed. The Company’s vessels in this area generally support projects for major oil companies, primarily in Angola and Nigeria.</w:t>
      </w:r>
    </w:p>
    <w:p>
      <w:pPr>
        <w:spacing w:after="0" w:line="97"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b w:val="1"/>
          <w:bCs w:val="1"/>
          <w:i w:val="1"/>
          <w:iCs w:val="1"/>
          <w:color w:val="auto"/>
        </w:rPr>
        <w:t xml:space="preserve">Middle East and Asia. </w:t>
      </w:r>
      <w:r>
        <w:rPr>
          <w:rFonts w:ascii="Arial" w:cs="Arial" w:eastAsia="Arial" w:hAnsi="Arial"/>
          <w:sz w:val="17"/>
          <w:szCs w:val="17"/>
          <w:color w:val="auto"/>
        </w:rPr>
        <w:t>As of December 31, 2019, 27 vessels were located in the Middle East and Asia, including 20 owned, five joint-ventured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two managed. The Company’s vessels in this area generally support exploration, personnel transport and seasonal construction activities in Egypt, Israel and Malaysia and countries along the Arabian Gulf and Arabian Sea, such as Saudi Arabia, the United Arab Emirates and Qatar.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 w:name="page7"/>
    <w:bookmarkEnd w:id="6"/>
    <w:p>
      <w:pPr>
        <w:jc w:val="both"/>
        <w:ind w:firstLine="761"/>
        <w:spacing w:after="0" w:line="272" w:lineRule="auto"/>
        <w:rPr>
          <w:sz w:val="20"/>
          <w:szCs w:val="20"/>
          <w:color w:val="auto"/>
        </w:rPr>
      </w:pPr>
      <w:r>
        <w:rPr>
          <w:rFonts w:ascii="Arial" w:cs="Arial" w:eastAsia="Arial" w:hAnsi="Arial"/>
          <w:sz w:val="17"/>
          <w:szCs w:val="17"/>
          <w:b w:val="1"/>
          <w:bCs w:val="1"/>
          <w:i w:val="1"/>
          <w:iCs w:val="1"/>
          <w:color w:val="auto"/>
        </w:rPr>
        <w:t xml:space="preserve">Latin America. </w:t>
      </w:r>
      <w:r>
        <w:rPr>
          <w:rFonts w:ascii="Arial" w:cs="Arial" w:eastAsia="Arial" w:hAnsi="Arial"/>
          <w:sz w:val="17"/>
          <w:szCs w:val="17"/>
          <w:color w:val="auto"/>
        </w:rPr>
        <w:t>As of December 31, 2019, 34 vessels were located in this region, including four owned and 30 joint-ventured. Of these joint-ventured vessels, (i) 16 are owned by Mantenimiento Express Maritimo, S.A.P.I. de C.V. (“MexMar”), a joint venture company that is 49% owned by SEACOR Marine International LLC (“SMI”), a wholly owned subsidiary of SEACOR Marine, and 51% owned by subsidiaries of Proyectos Globales de Energía y Servicios CME, S.A. de C.V. (“CME”), (ii) 13 are owned by MEXMAR Offshore International LLC (“MEXMAR Offshore”), a joint venture company that is 49% owned by SMI and 51% owned by a subsidiary of CME, and (iii) one is owned by the SEACOSCO joint venture. These vessels, consisting of a fleet of FSVs, supply, specialty and liftboat vessels, provide support for exploration and production activities in Mexico, Brazil and Guyana. From time to time, the Company’s vessels also work in Trinidad and Tobago, and Colombia.</w:t>
      </w:r>
    </w:p>
    <w:p>
      <w:pPr>
        <w:spacing w:after="0" w:line="15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As of December 31, 2019, 43 vessels were located in this region primarily supporting the construction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of offshore wind turbines, including 37 owned and six joint ventured. On December 2, 2019, the Company completed the sale of its North Sea standby safety business, comprised of 18 emergency response and rescue vessels (“ERRVs”) located in the North Sea providing standby safety and supply services.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demand for the Company’s fleet can fluctuate with weather conditions because maintenance, construction and decommissioning activities are planned during times of the year with more favorable weather conditions. Seasonality is most pronounced for the liftboat fleet in the U.S. Gulf of Mexico, and Europe, offshore support vessels in the Middle East and West Africa, and crew transfer vessels in the North Sea, with peak demand normally occurring during the summer months. As a consequence of this seasonality, the Company typically schedules drydockings or other repair and maintenance activity during the winter months.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Customers and Contractual Arrangements</w:t>
      </w:r>
    </w:p>
    <w:p>
      <w:pPr>
        <w:spacing w:after="0" w:line="189"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Company’s principal customers are major integrated national and international oil companies, independent oil and natural gas exploration and production companies, as well as wind farm operators, and wind farm installation and maintenance companies. Consolidation of oil and natural gas companies through mergers and acquisitions over the past several years has reduced the Company’s customer base. This, together with the depressed oil and gas price environment that began in 2014 has negatively affected exploration, field development and production activity as consolidated companies continue to focus on increasing efficiency and reducing costs and delay or abandon exploration activity and facilities with less promise.</w:t>
      </w:r>
    </w:p>
    <w:p>
      <w:pPr>
        <w:spacing w:after="0" w:line="13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During the year ended December 31, 2019, one customer, Seacor Marine Arabia LLC, a joint venture through which vessels are chartered to Zamil Offshore and Saudi Aramco, was responsible for 10% or more of the Company’s consolidated operating revenues. The Company’s ten largest customers accounted for approximately 52% of its operating revenues in 2019. The loss of one or more of these customers could have a material adverse effect on the Company’s business, financial position, results of operations and cash flows.</w:t>
      </w:r>
    </w:p>
    <w:p>
      <w:pPr>
        <w:spacing w:after="0" w:line="16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Company earns revenues primarily from the time charter and bareboat charter of vessels to customers based upon daily rates of hire. Therefore,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 of operation. In the U.S. Gulf of Mexico, time charter durations and rates are typically established in the context of master service agreements that govern the terms and conditions of the charter.</w:t>
      </w:r>
    </w:p>
    <w:p>
      <w:pPr>
        <w:spacing w:after="0" w:line="132"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Contract or charter durations may range from several days to several years. Longer duration charters are more common where equipment is not as readily available or specific equipment is required. In the Company’s operating areas, charters vary in length from short-term to multi-year periods, many with cancellation clauses and no early termination penalty. As a result of options and frequent renewals, the stated duration of charters may have little correlation with the length of time the vessel is actually contracted to provide services to a particular customer.</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Competitive Conditions</w:t>
      </w:r>
    </w:p>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market for offshore marine services is highly fragmented and competitive depending upon the region of operation. The most important competitive factors are pricing, availability and specifications of equipment to fit customer requirements. Other important factors include service, reputation, flag preference, local marine operating and regulatory conditions, the ability to provide and maintain logistical support given the complexity of a project and the cost of moving equipment from one geographic region to another.</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has numerous competitors in each of the geographic regions in which it operates, ranging from international companies that operate in many regions to smaller local companies that typically concentrate their activities in one specific country or region.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b w:val="1"/>
          <w:bCs w:val="1"/>
          <w:color w:val="auto"/>
        </w:rPr>
        <w:t>Risks of Foreign Operations</w:t>
      </w:r>
    </w:p>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For the years ended December 31, 2019, 2018, and 2017, 78%, 36% and 82%, respectively, of the Company’s operating revenues and $(12.8) million, $(3.0) million, and $2.0 million, respectively, of the Company’s equity in earnings (losses) from 50% or less owned companies, net of tax, were derived from its foreign operations.</w:t>
      </w:r>
    </w:p>
    <w:p>
      <w:pPr>
        <w:spacing w:after="0" w:line="141" w:lineRule="exact"/>
        <w:rPr>
          <w:sz w:val="20"/>
          <w:szCs w:val="20"/>
          <w:color w:val="auto"/>
        </w:rPr>
      </w:pPr>
    </w:p>
    <w:p>
      <w:pPr>
        <w:jc w:val="both"/>
        <w:ind w:right="20" w:firstLine="761"/>
        <w:spacing w:after="0" w:line="342" w:lineRule="auto"/>
        <w:rPr>
          <w:sz w:val="20"/>
          <w:szCs w:val="20"/>
          <w:color w:val="auto"/>
        </w:rPr>
      </w:pPr>
      <w:r>
        <w:rPr>
          <w:rFonts w:ascii="Arial" w:cs="Arial" w:eastAsia="Arial" w:hAnsi="Arial"/>
          <w:sz w:val="16"/>
          <w:szCs w:val="16"/>
          <w:color w:val="auto"/>
        </w:rPr>
        <w:t>Foreign operations are subject to inherent risks, which, if they materialize, could have a material adverse effect on the Company’s business, financial position, results of operations, cash flows or growth prospects. See the risk factors regarding international operations in “Item 1A. Risk Factors.”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Company’s ownership, operation, construction and staffing of vessels is subject to significant regulation under various international, federal, state and local laws and regulations and pursuant to international conventions, including international conventions and ship registry laws of the nations under which the Company’s vessels are flagged, especially with respect to foreign ownership, health, safety and environmental protection and vessel and port security.</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Domestically registered vessels are subject to the jurisdiction of the U.S. Coast Guard (“USCG”), the National Transportation Safety Board (“NTSB”), the U.S. Customs and Border Protection (“UCBP”), EPA and the U.S. Maritime Administration (“MARAD”), as well as in certain instances applicable state and local laws. The Company’s operations may, from time to time, also fall under the jurisdiction of the U.S. Bureau of Safety and Environmental Enforcement (“BSEE”) and its Safety and Environmental Management System regulations, and the Company must also periodically certify that its maritime operations adhere to those regulations. These agencies and organizations establish safety requirements and standards and are authorized to investigate vessels and accidents and to recommend improved maritime safety standards.</w:t>
      </w:r>
    </w:p>
    <w:p>
      <w:pPr>
        <w:spacing w:after="0" w:line="166"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Company is subject to regulation under the Jones Act and related U.S. cabotage laws, which restrict ownership and operation of vessels in the U.S. coastwise trade (i.e., trade between points in the U.S.), including the transportation of cargo. Subject to limited exceptions, the Jones Act requires that vessels engaged in U.S. coastwise trade be built in the U.S., registered under the U.S.-flag, manned by predominantly U.S. crews, and be owned and operated by U.S. citizens within the meaning of the Jones Act. Violation of the Jones Act could prohibit operation of vessels in the U.S. coastwise trade during the period of such non-compliance, result in material fines and subject Company vessels to seizure and forfeiture.</w:t>
      </w:r>
    </w:p>
    <w:p>
      <w:pPr>
        <w:spacing w:after="0" w:line="132"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To facilitate compliance with the Jones Act, the Company’s Third Amended and Restated Certificate of Incorporation and Third Amended and Restated By-Laws: (i) limit the aggregate percentage ownership by non-U.S. citizens of any class of the Company’s capital stock (including Common Stock) to 22.5% of the outstanding shares of each such class to ensure that ownership by non-U.S. citizens will not exceed the maximum percentage permitted by applicable maritime law (presently 25%) but authorize the Company’s Board of Directors, under certain circumstances, to increase the foregoing percentage to 24%; (ii) permit the institution of a dual stock certification system to help determine such ownership; (iii) provide that any issuance or transfer of shares in excess of such permitted percentage shall be ineffective as against the Company and that neither the Company nor its transfer agent shall register such purported issuance or transfer of shares or be required to recognize the purported transferee or owner as a stockholder of the Company for any purpose whatsoever except to exercise its remedies; (iv) provide that any such excess shares shall not have any voting or dividend rights; (v) permit the Company to redeem any such excess shares; and (vi) permit the Board of Directors to make such reasonable determinations as may be necessary to ascertain such ownership and implement such limitations. In addition, the Company’s Third Amended and Restated By-Laws limit the number of non-U.S. citizens that may serve as directors and restrict any non-U.S. citizen officer from acting in the absence or disability of the Chairman of the Board of Directors, the Chief Executive Officer or the President. For more information, see the Company’s Third Amended and Restated Certificate of Incorporation and Third Amended and Restated By-Laws.</w:t>
      </w:r>
    </w:p>
    <w:p>
      <w:pPr>
        <w:spacing w:after="0" w:line="147"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Company operates vessels that are registered in the U.S. as well as in a number of foreign jurisdictions. Vessels are subject to the laws of the applicable jurisdiction as to ownership, registration, manning, environmental protection and safety. In addition, the Company’s vessels are subject to the requirements of a number of international conventions, as amended, that are applicable to vessels depending on their jurisdiction of registration. Among the more significant of these conventions are: (i) the International Convention for the Prevention of Pollution from Ships, 1973, as modified by the Protocol of 1978 relating thereto (“MARPOL”); (ii) the International Convention for the Safety of Life at Sea, 1974 and 1978 Protocols (“SOLAS”); and (iii) the International Convention on Standards of Training, Certification and Watchkeeping for Seafarers (“STCW”).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8" w:name="page9"/>
    <w:bookmarkEnd w:id="8"/>
    <w:p>
      <w:pPr>
        <w:jc w:val="both"/>
        <w:ind w:firstLine="761"/>
        <w:spacing w:after="0" w:line="270" w:lineRule="auto"/>
        <w:rPr>
          <w:sz w:val="20"/>
          <w:szCs w:val="20"/>
          <w:color w:val="auto"/>
        </w:rPr>
      </w:pPr>
      <w:r>
        <w:rPr>
          <w:rFonts w:ascii="Arial" w:cs="Arial" w:eastAsia="Arial" w:hAnsi="Arial"/>
          <w:sz w:val="17"/>
          <w:szCs w:val="17"/>
          <w:color w:val="auto"/>
        </w:rPr>
        <w:t>The Maritime Labour Convention, 2006 (the “MLC”) establishes comprehensive minimum requirements for working conditions of seafarers including, among other things, conditions of employment, hours of work and rest, grievance and complaints procedures, accommodations, recreational facilities, food and catering, health protection, medical care, welfare, and social security protection. The MLC defines seafarer to include all persons engaged in work on a vessel in addition to the vessel's crew. Under this MLC definition, the Company may be responsible for proving that customer and contractor personnel aboard its vessels have contracts of employment that comply with the MLC requirements. The Company could also be responsible for salaries and/or benefits of third-parties that may board one of its vessels. The MLC requires certain vessels that engage in international trade to maintain a valid Maritime Labour Certificate issued by their flag administration. Although the U.S. is not a party to the MLC, U.S.-flag vessels operating internationally must comply with the MLC when visiting a port in a country that is a party to the MLC. The Company has developed and implemented a fleetwide plan designed to comply with the MLC to the extent applicable to its vessels.</w:t>
      </w:r>
    </w:p>
    <w:p>
      <w:pPr>
        <w:spacing w:after="0" w:line="155"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The hull and machinery of most commercial vessels are classed by an international classification society authorized by its country of registry and subject to survey and inspection by shipping regulatory bodies. The international classification society certifies that a vessel is maintained in accordance with the applicable rules and regulations of the country of registry of the vessel and the SOLAS. Certain of the Company's vessels are subject to the periodic inspection, survey, drydocking and maintenance requirements of the USCG, the American Bureau of Shipping and other marine classification societies.</w:t>
      </w:r>
    </w:p>
    <w:p>
      <w:pPr>
        <w:spacing w:after="0" w:line="114"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Under the Merchant Marine Act of 1936, the Company’s U.S.-flagged vessels will be subject to requisition by the U.S. Government under certain terms and conditions during a national emergency as described further in the risk factor under the heading “The Company’s U.S.-flag vessels are subject to requisition for ownership or use by the U.S. in case of national emergency or national defense need” under Item 1A of this Annual Report on Form 10-K. Vessels flagged under other flag states may also be subject to requisition in accordance with local law.</w:t>
      </w:r>
    </w:p>
    <w:p>
      <w:pPr>
        <w:spacing w:after="0" w:line="146"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 wide range of domestic governmental agencies, including the USCG, the EPA, the U.S. Department of Transportation’s Office of Pipeline Safety, the BSEE and certain individual states, regulate vessels and other structures in accordance with the requirements of the Oil Pollution Act of 1990 (“OPA 90’) or analogous state law. There is currently little uniformity among the regulations issued by these agencies, which increases the Company’s compliance costs and risk of non-compliance.</w:t>
      </w:r>
    </w:p>
    <w:p>
      <w:pPr>
        <w:spacing w:after="0" w:line="16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Although the Company faces some risk when responding to third-party oil spills, a responder engaged in emergency and crisis activities has immunity from liability under U.S. federal law and all U.S. coastal state laws for any spills arising from its response efforts, except in the event of death or personal injury or as a result of its gross negligence or willful misconduct. The Company may also have derivative immunity when working under the orders of a Federal On Scene Coordinator.</w:t>
      </w:r>
    </w:p>
    <w:p>
      <w:pPr>
        <w:spacing w:after="0" w:line="146"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International Safety Management Code (“ISM Code”), adopted by the IMO as an amendment to SOLAS, provides international standards for the safe management and operation of ships and for the prevention of marine pollution from ships. The U.S. enforces the ISM Code for all U.S.-flag vessels and those foreign-flag vessels that call at U.S. ports. All of the Company’s vessels that are 500 or more gross tons are required to be certified under the standards set forth in the ISM Code’s safety and pollution protocols. The Company also voluntarily complies with these protocols for some vessels that are under the mandatory 500-gross ton threshold and many of the Company’s customers contractually require compliance with these protocols regardless of the gross tonnage of the vessel. Under the ISM Code, vessel operators are required to develop an extensive safety management system (“SMS”) that includes, among other things, the adoption of a written system of safety and environmental protection policies setting forth instructions and procedures for operating their vessels subject to the ISM Code and describing procedures for responding to emergencies. The Company has developed such a safety management system. These SMS policies apply to both the vessel and shore-side personnel and are vessel specific. The ISM Code also requires a Document of Compliance (“DOC”) to be obtained for the vessel manager and a Safety Management Certificate (“SMC”) to be obtained for each vessel subject to the ISM Code that it operates or manages. The Company has obtained DOCs for its shore side offices that have responsibility for vessel management and SMCs for each of the vessels that such offices operate or manage.</w:t>
      </w:r>
    </w:p>
    <w:p>
      <w:pPr>
        <w:spacing w:after="0" w:line="139"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Noncompliance with the ISM Code and other IMO regulations may subject the shipowner or charterer to increased liability, may lead to decreases in available insurance coverage for affected vessels, may cause the loss of customers, and may result in the denial of access to, or detention in, some ports. For example, the USCG authorities have indicated that vessels not in compliance with the ISM Code will be prohibited from utilizing U.S. ports.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Environmental Compliance</w:t>
      </w:r>
    </w:p>
    <w:p>
      <w:pPr>
        <w:spacing w:after="0" w:line="189"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Company is subject to extensive federal, state, local and international environmental and safety laws and regulations and to comprehensive international conventions, including laws and regulations related to the discharge of oil and pollutants into waters regulated thereunder. Violations of these laws may result in civil and criminal penalties, fines, injunctions, or other sanctions, any of which could be material.</w:t>
      </w:r>
    </w:p>
    <w:p>
      <w:pPr>
        <w:spacing w:after="0" w:line="1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 does not expect that it will be required to make capital expenditures in the near future to comply with environmental laws and regulations that would have a material adverse effect on its financial position, results of operations, cash flows or growth prospects. However, because such laws and regulations frequently change and may impose increasingly strict requirements, the Company cannot predict the ultimate cost of complying with these laws and regulations.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 w:name="page10"/>
    <w:bookmarkEnd w:id="9"/>
    <w:p>
      <w:pPr>
        <w:jc w:val="both"/>
        <w:ind w:firstLine="761"/>
        <w:spacing w:after="0" w:line="257" w:lineRule="auto"/>
        <w:rPr>
          <w:sz w:val="20"/>
          <w:szCs w:val="20"/>
          <w:color w:val="auto"/>
        </w:rPr>
      </w:pPr>
      <w:r>
        <w:rPr>
          <w:rFonts w:ascii="Arial" w:cs="Arial" w:eastAsia="Arial" w:hAnsi="Arial"/>
          <w:sz w:val="18"/>
          <w:szCs w:val="18"/>
          <w:color w:val="auto"/>
        </w:rPr>
        <w:t>OPA 90 establishes a regulatory and liability regime for the protection of the environment from oil spills. OPA 90 applies to owners and operators of facilities operating near navigable waters of the U.S. and owners, operators and bareboat charterers of vessels operating in U.S. waters, which include the navigable waters of the U.S. and the 200-mile exclusive economic zone around the U. S. (the "EEZ"). For purposes of its liability limits and financial responsibility and response planning requirements, OPA 90 differentiates between tank vessels (such as chemical and petroleum product vessels and liquid tank barges) and "other vessels" (such as the Company’s offshore support vessels).</w:t>
      </w:r>
    </w:p>
    <w:p>
      <w:pPr>
        <w:spacing w:after="0" w:line="16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Under OPA 90, owners and operators of regulated facilities and owners and operators or bareboat charterers of vessels are "responsible parties" and may be jointly, severally and strictly liable for removal costs and damages arising from facility and vessel oil spills or threatened spills up to certain limits of liability as discussed below. Damages are defined broadly to include: (i) injury to natural resources and the costs of remediation thereof; (ii) injury to, or economic losses resulting from, the destruction of real and personal property; (iii) net loss by various governmental bodies, of taxes, royalties, rents, fees and profits; (iv) lost profits or impairment of earning capacity due to property or natural resources damage; (v) net costs of providing increased or additional public services necessitated by a spill response, such as protection from fire or other hazards or taking additional safety precautions; and (vi) loss of subsistence use of available natural resources.</w:t>
      </w:r>
    </w:p>
    <w:p>
      <w:pPr>
        <w:spacing w:after="0" w:line="14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OPA 90 limits liability for responsible parties for non-tank vessels, such as the Company’s, to the greater of $1,100 per gross ton or $939,800. These liability limits do not apply (a) if an incident is caused by the responsible party's violation of federal safety, construction or operating regulations or by the responsible party’s gross negligence or willful misconduct, (b) if the responsible party fails to report the incident or to provide reasonable cooperation and assistance in connection with oil removal activities as required by a responsible official or (c) if the responsible party fails to comply with an order issued under OPA 90.</w:t>
      </w:r>
    </w:p>
    <w:p>
      <w:pPr>
        <w:spacing w:after="0" w:line="148"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OPA 90 requires vessel owners and operators to establish and maintain with the USCG evidence of insurance or qualification as a self-insurer or other evidence of financial responsibility sufficient to meet their potential liabilities under OPA 90. In recent years, the Company has satisfied USCG regulations by providing evidence of financial responsibility demonstrated by commercial insurance and self-insurance. OPA 90 regulations also implement the financial responsibility requirements of the Comprehensive Environmental Response, Compensation and Liability Act (“CERCLA”), which imposes liability for any discharge of hazardous substances, similar to OPA 90, and provides compensation for cleanup, removal and natural resource damages. Liability per vessel under CERCLA is limited to the greater of $300 per gross ton or $5 million, unless the incident is caused by gross negligence, willful misconduct, or a violation of certain regulations, in which case liability is unlimited.</w:t>
      </w:r>
    </w:p>
    <w:p>
      <w:pPr>
        <w:spacing w:after="0" w:line="15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Under the Nontank Vessel Response Plan Final Rule issued by the USCG in 2013, owners and operators of nontank vessels are required to prepare Nontank Vessel Response Plans. The Company expects its current pollution liability insurance to cover spill removal costs, subject to coverage deductibles and limitations, including a cap of $1.0 billion. There could be a material adverse effect on the Company’s business, financial position, results of operations, cash flows or growth prospects if the Company incurs spill liability under circumstances in which the insurance carrier fails or refuses to provide coverage or the loss exceeds the Company’s coverage limitations.</w:t>
      </w:r>
    </w:p>
    <w:p>
      <w:pPr>
        <w:spacing w:after="0" w:line="14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MARPOL is the main international convention covering prevention of pollution of the marine environment by vessels from operational or accidental discharges. It is implemented in the U.S. pursuant to the Act to Prevent Pollution from Ships. Since the 1990s, the Department of Justice (“DOJ”) has been aggressively enforcing U.S. criminal laws against vessel owners, operators, managers, crew members, shore side personnel, and corporate officers related to violations of MARPOL. Violations have related to pollution prevention devices, such as the oily-water separator, and include falsifying records, obstructing justice, and making false statements. In certain cases, responsible shipboard officers and shoreside officials have been sentenced to prison. In addition, the DOJ has required most defendants to implement a comprehensive environmental compliance plan (“ECP”) or risk losing the ability to trade in U.S. waters. If the Company is subjected to a DOJ prosecution, it could suffer significant adverse effects, including substantial criminal penalties and defense costs, reputational damages and costs associated with the implementation of an ECP.</w:t>
      </w:r>
    </w:p>
    <w:p>
      <w:pPr>
        <w:spacing w:after="0" w:line="13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Clean Water Act (“CWA”) prohibits the discharge of “pollutants” into the navigable waters of the U. S. The CWA also prohibits the discharge of oil or hazardous substances, into navigable waters of the U. S. and the EEZ around the U. S. and imposes civil and criminal penalties for unauthorized discharges, thereby exposing the Company to potential liability that is in addition to its exposure arising under OPA 90 and CERCLA.</w:t>
      </w:r>
    </w:p>
    <w:p>
      <w:pPr>
        <w:spacing w:after="0" w:line="13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CWA also established the National Pollutant Discharge Elimination System (“NPDES”) permitting program, which governs discharges of pollutants into navigable waters of the U. S. Pursuant to the NPDES permitting program, the EPA has issued Vessel General Permits covering discharges incidental to normal vessel operations. The EPA issued the 2013 Vessel General Permit (“2013 VGP”) in 2013 with an initial five-year term. In light of the legislation described below, the 2013 VGP continues to apply to the Company’s U.S.-flag and foreign-flag commercial vessels that are at least 79 feet in length and operate within the three-mile territorial sea of the U. S. The 2013 VGP requires vessel owners and operators to adhere to “best management practices” to manage the covered discharges that occur normally in the operation of a vessel, including ballast water, and implements various training, inspection, monitoring, record keeping, and reporting requirements, as well as corrective actions upon identification of deficiencies. The Company has filed a Notice of Intent to be covered by the 2013 VGP for each of its ships that operate in U.S. waters.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 w:name="page11"/>
    <w:bookmarkEnd w:id="10"/>
    <w:p>
      <w:pPr>
        <w:jc w:val="both"/>
        <w:ind w:firstLine="761"/>
        <w:spacing w:after="0" w:line="255" w:lineRule="auto"/>
        <w:rPr>
          <w:sz w:val="20"/>
          <w:szCs w:val="20"/>
          <w:color w:val="auto"/>
        </w:rPr>
      </w:pPr>
      <w:r>
        <w:rPr>
          <w:rFonts w:ascii="Arial" w:cs="Arial" w:eastAsia="Arial" w:hAnsi="Arial"/>
          <w:sz w:val="18"/>
          <w:szCs w:val="18"/>
          <w:color w:val="auto"/>
        </w:rPr>
        <w:t>On December 4, 2018, the Vessel Incidental Discharge Act (“VIDA”) was enacted, establishing a new framework for the regulation of discharges incidental to the normal operations of vessels. VIDA requires the EPA to develop performance standards for such discharges by December 4, 2020 and requires the USCG to develop implementation, compliance, and enforcement regulations within two years of EPA’s promulgation of standards. VIDA extends the 2013 VGP’s provisions, leaving them in effect until new regulations are final and enforceable. Non-military, non-recreational vessels greater than 79 feet in length must continue to comply with the requirements of the 2013 VGP, including submission of annual reports. The Company can provide no assurance as to when the new regulations and performance standards will be issued, nor can it predict what additional costs it may incur to comply with any such new regulations and performance standards.</w:t>
      </w:r>
    </w:p>
    <w:p>
      <w:pPr>
        <w:spacing w:after="0" w:line="162"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Many countries have ratified and are thus subject to the liability scheme adopted by the International Maritime Organization (the “IMO”) and set out in the International Convention on Civil Liability for Oil Pollution Damage of 1969 (the “1969 Convention”). Some of these countries have also adopted the 1992 Protocol to the 1969 Convention (the “1992 Protocol”). Under both the 1969 Convention and the 1992 Protocol, a vessel's registered owner is strictly liable for pollution damage caused in the territorial waters of a contracting state by discharge of persistent oil from ships carrying oil in bulk as cargo, subject to certain complete defenses. These conventions also limit the liability of the shipowner under certain circumstances, provided the discharge was not caused by the shipowner’s actual fault or intentional or reckless misconduct.</w:t>
      </w:r>
    </w:p>
    <w:p>
      <w:pPr>
        <w:spacing w:after="0" w:line="13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Vessels trading to countries that are parties to these conventions must provide evidence of insurance covering the liability of the owner. The Company believes that its Protection and Indemnity (“P&amp;I”) insurance will cover any liability under these conventions, subject to applicable policy deductibles, exclusions and limitations.</w:t>
      </w:r>
    </w:p>
    <w:p>
      <w:pPr>
        <w:spacing w:after="0" w:line="14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U.S. is not a party to the 1969 Convention or the 1992 Protocol, and thus OPA 90, CERCLA, CWA and other federal and state laws apply in the U.S. as discussed above. In other jurisdictions where the 1969 Convention has not been adopted, various legislative and regulatory schemes or common law govern, and liability is imposed either on the basis of fault or in a manner similar to that convention.</w:t>
      </w:r>
    </w:p>
    <w:p>
      <w:pPr>
        <w:spacing w:after="0" w:line="154"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International Convention on Civil Liability for Bunker Oil Pollution Damage, 2001, was adopted to ensure that adequate, prompt and effective compensation is available to persons who suffer damage caused by spills of oil when used as fuel by vessels. The convention applies to damage caused to the territory, including the territorial sea, and in the EEZs, of the countries that are party to it. Although the U.S. has not ratified this convention, U.S.-flag vessels operating internationally would be subject to it if they sail within the territories of those countries that have implemented its provisions. The Company believes that its vessels comply with these requirements.</w:t>
      </w:r>
    </w:p>
    <w:p>
      <w:pPr>
        <w:spacing w:after="0" w:line="148"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National Invasive Species Act (“NISA”) was enacted in the U.S. in 1996 in response to growing reports of harmful organisms being released into U.S. waters through ballast water taken on by vessels in foreign ports. The USCG adopted regulations under NISA that impose mandatory ballast water management practices for all vessels equipped with ballast water tanks entering U.S. waters. All new vessels constructed on or after December 1, 2013, regardless of ballast water capacity, must comply with these requirements on delivery from the shipyard absent an extension from the USCG. For non-exempt vessels, ballast water treatment equipment may be required to be used on the vessel. In response to these requirements, the Company’s ships operating in the U.S. waters currently use water from U.S. public systems. Some U.S. states have enacted legislation or regulations to address the introduction of invasive species through ballast water and hull cleaning management, and permitting requirements, which in many cases have also become part of the state’s 2013 VGP certification. Other states may proceed with the enactment of similar requirements that could increase the Company’s costs of operating in state waters.</w:t>
      </w:r>
    </w:p>
    <w:p>
      <w:pPr>
        <w:spacing w:after="0" w:line="12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IMO ratified the International Convention for the Control and Management of Ships’ Ballast Water and Sediments, otherwise known as the Ballast Water Management Convention (the “BWM Convention”), effective September 8, 2017. Under the BWM Convention, all ships in international traffic are required to manage their ballast water and sediments under a ship-specific ballast water management plan. The U.S. is not a party to the BWM Convention, but vessels that undertake international voyages may have to install an IMO approved ballast water treatment system or use one of the other management options under the BWM Convention to achieve compliance. The Company installs ballast water systems on its vessels as required by the BWM Convention.</w:t>
      </w:r>
    </w:p>
    <w:p>
      <w:pPr>
        <w:spacing w:after="0" w:line="166" w:lineRule="exact"/>
        <w:rPr>
          <w:sz w:val="20"/>
          <w:szCs w:val="20"/>
          <w:color w:val="auto"/>
        </w:rPr>
      </w:pPr>
    </w:p>
    <w:p>
      <w:pPr>
        <w:jc w:val="both"/>
        <w:ind w:right="20" w:firstLine="761"/>
        <w:spacing w:after="0" w:line="342" w:lineRule="auto"/>
        <w:rPr>
          <w:sz w:val="20"/>
          <w:szCs w:val="20"/>
          <w:color w:val="auto"/>
        </w:rPr>
      </w:pPr>
      <w:r>
        <w:rPr>
          <w:rFonts w:ascii="Arial" w:cs="Arial" w:eastAsia="Arial" w:hAnsi="Arial"/>
          <w:sz w:val="16"/>
          <w:szCs w:val="16"/>
          <w:color w:val="auto"/>
        </w:rPr>
        <w:t>The Endangered Species Act, related regulations and comparable state laws protect species threatened with possible extinction. Protection may include restrictions on the speed of vessels in certain ocean waters and may require the Company to change the routes of vessels during particular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 w:name="page12"/>
    <w:bookmarkEnd w:id="11"/>
    <w:p>
      <w:pPr>
        <w:jc w:val="both"/>
        <w:ind w:firstLine="761"/>
        <w:spacing w:after="0" w:line="257" w:lineRule="auto"/>
        <w:rPr>
          <w:sz w:val="20"/>
          <w:szCs w:val="20"/>
          <w:color w:val="auto"/>
        </w:rPr>
      </w:pPr>
      <w:r>
        <w:rPr>
          <w:rFonts w:ascii="Arial" w:cs="Arial" w:eastAsia="Arial" w:hAnsi="Arial"/>
          <w:sz w:val="18"/>
          <w:szCs w:val="18"/>
          <w:color w:val="auto"/>
        </w:rPr>
        <w:t>The Clean Air Act (as amended, the “CAA”) requires the EPA to promulgate standards applicable to emissions of various air contaminants. The CAA also requires states to submit State Implementation Plans (“SIPs”), which are designed to attain national health-based air quality standards throughout the U.S., including major metropolitan and/or industrial areas. Several SIPs regulate emissions resulting from vessel loading and unloading operations by requiring the installation of vapor control equipment. The EPA and some U.S. states have each proposed more stringent regulations of air emissions from propulsion and auxiliary engines on oceangoing vessels.</w:t>
      </w:r>
    </w:p>
    <w:p>
      <w:pPr>
        <w:spacing w:after="0" w:line="161"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MARPOL also addresses air emissions, including emissions of sulfur and NOx, from vessels, including a requirement to use low sulfur fuels worldwide in both auxiliary and main propulsion diesel engines on vessels. As of January 1, 2020, vessels worldwide are required to use fuel with a sulfur content no greater than 0.5%, which is a reduction from the prior limit of 3.5%. As a result of this reduction, fuel costs for vessel operations could rise dramatically beginning in 2020, which could have a material adverse effect on the Company’s business, financial position, results of operations, cash flows and growth prospects. MARPOL also imposes NOx emissions standards on installed marine diesel engines of over 130 kW output power other than those used solely for emergency purposes irrespective of the tonnage of the vessel into which such an engine is installed. The actual NOx limit is determined by a variety of factors, including the vessel’s construction date, the rated speed of the vessel’s engine, and the area in which the vessel is operating.</w:t>
      </w:r>
    </w:p>
    <w:p>
      <w:pPr>
        <w:spacing w:after="0" w:line="12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More stringent sulfur and NOx requirements apply in certain designated Emission Control Areas (“ECAs”). There are currently four ECAs worldwide: the Baltic Sea ECA, North Sea ECA, North American ECA, and U.S. Caribbean ECA. As of January 1, 2015, vessels operating in an ECA must burn fuel with a sulfur content no greater than 0.1%. Further, marine diesel engines on vessels constructed on or after January 1, 2016 that are operated in an ECA must meet the stringent NOx standards described above.</w:t>
      </w:r>
    </w:p>
    <w:p>
      <w:pPr>
        <w:spacing w:after="0" w:line="146"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The Company’s operations occasionally generate and require the transportation, treatment and disposal of both hazardous and non-hazardous solid wastes that are subject in the U.S. to the requirements of the Resource Conservation and Recovery Act (“RCRA”) or comparable state, local or foreign requirements. From time to time the Company arranges for the disposal of hazardous waste or hazardous substances at offsite disposal facilities. As a general matter, with certain exceptions, vessel owners and operators are required to determine if their wastes are hazardous, obtain a generator identification number, comply with certain standards for the proper management of hazardous wastes, and use hazardous waste manifests for shipments to disposal facilities. Moreover, vessel owners and operators may be subject to more stringent state hazardous waste requirements. If such materials are improperly disposed of by third-parties with which the Company contracts, the Company may still be held liable for cleanup costs under applicable laws.</w:t>
      </w:r>
    </w:p>
    <w:p>
      <w:pPr>
        <w:spacing w:after="0" w:line="14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MARPOL also governs the discharge of garbage from ships. MARPOL defines certain sea areas, such as the “wider Caribbean region” as “special areas” requiring a higher level of protection than other areas of the sea.</w:t>
      </w:r>
    </w:p>
    <w:p>
      <w:pPr>
        <w:spacing w:after="0" w:line="13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Applicable MARPOL regulations provide for strict garbage management procedures and documentation requirements for all vessels and fixed and floating platforms. These regulations impose a general prohibition on the discharge of all garbage unless the discharge is expressly provided for under the regulations. The regulations have greatly reduced the amount of garbage that vessels are allowed to dispose of at sea and have increased the Company’s costs of disposing garbage remaining on board vessels at their port calls.</w:t>
      </w:r>
    </w:p>
    <w:p>
      <w:pPr>
        <w:spacing w:after="0" w:line="146"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Various international conventions and federal, state and local laws and regulations have been considered or implemented to address the environmental effects of emissions of greenhouse gases, such as carbon dioxide and methane. The U.S. Congress has considered, but not adopted, legislation designed to reduce emission of greenhouse gases. At United Nations climate change conferences over the past few decades, various countries have agreed to specific international accords or protocols to establish limitations on greenhouse gas emissions. In December 1997, the Kyoto Protocol was adopted pursuant to which member parties agreed to implement national programs to reduce emissions of greenhouse gases. At the 2015 United Nations climate change conference in Paris, various countries adopted the Paris Agreement, which seeks to reduce emissions in an effort to slow global warming. While the U.S. signed the Paris Agreement in 2016, it is expected to formally withdraw from the agreement in 2020. The Paris Agreement does not specifically mention shipping.</w:t>
      </w:r>
    </w:p>
    <w:p>
      <w:pPr>
        <w:spacing w:after="0" w:line="16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IMO has announced its intention to develop limits on greenhouse gases from international shipping and is working on proposed mandatory technical and operational measures to achieve these limits. The first step toward this goal occurred in October 2016, when the IMO adopted a system for collecting data on ships’ fuel-oil consumption, which will be mandatory and apply globally.</w:t>
      </w:r>
    </w:p>
    <w:p>
      <w:pPr>
        <w:spacing w:after="0" w:line="14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Any future adoption of climate control treaties, legislation or other regulatory measures by the United Nations, IMO, the European Union (the “E.U.”), U.S. or other countries where the Company operates that restrict emissions of greenhouse gases could result in financial and operational impacts on the Company’s business (including potential capital expenditures to reduce such emissions) that the Company cannot predict with certainty at this time. In addition, there may be significant physical effects of climate change from such emissions that have the potential to negatively impact the Company’s customers, personnel, and physical assets, any of which could adversely impact cargo levels, the demand for the Company’s services, or the Company’s ability to recruit personnel.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2" w:name="page13"/>
    <w:bookmarkEnd w:id="12"/>
    <w:p>
      <w:pPr>
        <w:jc w:val="both"/>
        <w:ind w:firstLine="761"/>
        <w:spacing w:after="0" w:line="257" w:lineRule="auto"/>
        <w:rPr>
          <w:sz w:val="20"/>
          <w:szCs w:val="20"/>
          <w:color w:val="auto"/>
        </w:rPr>
      </w:pPr>
      <w:r>
        <w:rPr>
          <w:rFonts w:ascii="Arial" w:cs="Arial" w:eastAsia="Arial" w:hAnsi="Arial"/>
          <w:sz w:val="18"/>
          <w:szCs w:val="18"/>
          <w:color w:val="auto"/>
        </w:rPr>
        <w:t>The Company manages exposure to losses from the above-described laws through its development of appropriate risk management programs, including compliance programs, safety management systems and insurance programs. Although the Company believes these programs mitigate its legal risk, there can be no assurance that these programs will be able to prevent all infractions, nor can the Company provide assurances that future regulations or requirements or any discharge or emission of pollutants by the Company will not have a material adverse effect on its business, financial position, results of operations, cash flows or growth prospects.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Security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USCG, the IMO, states and local ports continue to adopt heightened security procedures related to ports and vessels.</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Specifically, on November 25, 2002, the U.S. Maritime Transportation Security Act of 2002 (“MTSA”) was signed into law. To implement certain portions of MTSA, in July 2003, the USCG issued regulations requiring the implementation of certain security requirements aboard vessels operating in waters subject to the jurisdiction of the U.S. Similarly, in December 2002, the IMO adopted amendments to SOLAS, known as the International Ship and Port Facility Security Code (the “ISPS Code”), creating a new chapter dealing specifically with maritime security. The chapter imposes various detailed security obligations on vessels and port authorities. Included in the various requirements under MTSA and/or the ISPS Code are the following:</w:t>
      </w:r>
    </w:p>
    <w:p>
      <w:pPr>
        <w:spacing w:after="0" w:line="131" w:lineRule="exact"/>
        <w:rPr>
          <w:sz w:val="20"/>
          <w:szCs w:val="20"/>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of vessel and facility security plans;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a Transportation Worker Identification Credential program;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USCG regulations, which are intended to align with international maritime security standards, generally deem foreign-flag vessels to be in compliance with MTSA vessel security measures provided such vessels have onboard a valid International Ship Security Certificate that attests to the vessel’s compliance with SOLAS security requirements and the ISPS Code. However, U.S.-flag vessels that are engaged in international trade must comply with all of the security measures required by MTSA, as well as SOLAS and the ISPS Code.</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response to these new security programs, the Company has implemented security plans and procedures for each of its U.S.-flag vessels pursuant to rules implementing MTSA that have been issued by the USCG.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Hazards and Insurance</w:t>
      </w:r>
    </w:p>
    <w:p>
      <w:pPr>
        <w:spacing w:after="0" w:line="202"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Vessel operations involve inherent risks associated with carrying large volumes of cargo and rendering services in a marine environment. Hazards include adverse weather conditions, collisions, fire and mechanical failures, which may result in death or injury to personnel, damage to equipment, loss of operating revenues, contamination of cargo, pollution and other environmental damages and increased costs. The Company maintains hull, liability and war risk, general liability, workers compensation and other customary insurance subject to various deductions, exclusions and coverage caps. The Company also conducts training and safety programs to promote a safe working environment and minimize hazards.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As of December 31, 2019, the Company employed 1,615 individuals directly and indirectly (through crewing or manning agreements), none of whom are members of a union under the terms of an ongoing agreement.</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Management considers relations with its employees to be satisfactory.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Other Factors That May Affect Future Results</w:t>
      </w:r>
    </w:p>
    <w:p>
      <w:pPr>
        <w:spacing w:after="0" w:line="20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Company’s business, financial position, results of operations, cash flows and growth prospects may be materially adversely affected by numerous risks. Carefully consider the risks described below, which represent some of the most significant risk factors that affect the Company and are known to the Company at this time, as well as the other information that has been provided in this Annual Report on Form 10-K. Additional risks, not presently known to the Company or not perceived as significant, may also materially and adversely affect the Company’s business, financial position, results of operations, cash flows and growth prospects.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Business and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fluctuating prices of oil and decreased demand for oil.</w:t>
      </w:r>
    </w:p>
    <w:p>
      <w:pPr>
        <w:spacing w:after="0" w:line="19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The market for the Company’s offshore support services is impacted by the comparative price for exploring, developing, and producing oil and natural gas and by the corresponding supply and demand for oil and natural gas, both globally and regionally. Among other factors, the increased supply of oil and natural gas from the development of unconventional oil and natural gas supply sources, particularly shale, and technologies to improve recovery from current sources have caused a reduction in the price of oil and natural gas as well as demand and prices charged for offshore support services globally. The advent of electric cars, development of alternative sources of energy to hydrocarbons, such as solar and wind power and other potentially disruptive technology, could also diminish the demand for oil and natural gas. Such diminution of demand could place continued or additional pressure on the price of oil and therefore demand for the Company’s services, as developing offshore oil fields, particularly in deep waters, is one of the most expensive sources of hydrocarbons. Other factors that influence the supply and demand and the relative price of oil include operational issues, natural disasters, weather, political instability, conflicts, civil unrest, the worldwide economic, political and military environment, acts of terrorism, foreign exchange rates, economic conditions and actions by major oil-producing countries. The price of oil and the relative cost to extract, proximity to market and political imperatives of countries with offshore deposits affect the willingness to commit investment for contract drilling rigs and offshore support vessels used for offshore exploration, field development and production activities, which in turn affects the Company’s results of operations. Prolonged periods of low oil and natural gas prices or rising costs result in lower demand for the Company’s services and can give rise to impairments of the Company’s assets.</w:t>
      </w:r>
    </w:p>
    <w:p>
      <w:pPr>
        <w:spacing w:after="0" w:line="134"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The Company’s operations depend on the level of spending by oil and gas companies for exploration, development and production, maintenance and decommissioning activities. Both short-term and long-term trends in oil and natural gas prices affect these activity levels. Oil and natural gas prices, as well as the level of drilling, exploration and production activity, have been highly volatile over the past few years and are expected to continue to be volatile for the foreseeable future. For example, oil prices were as high as $107 per barrel during 2014 and reached a near ten-year low of $26 per barrel in February 2016. In 2019 oil did not exceed a high of $66 per barrel. Declines in oil prices are primarily caused by, among other things, an excess of supply of crude oil in relation to demand.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As such, the Company’s overall fleet utilization for the years ended December 31, 2019, 2018 and 2017, was 67%, 59% and 50%, respectively. The prolonged reduction in the overall level of exploration and development activities, whether resulting from changes in oil and natural gas prices or otherwise, has materially and adversely affected the Company by negatively impacting its fleet utilization, which in turn has negatively affected its revenues, cash flows, profitability and the fair market value of the Company’s vessels. It could also affect the collectability of the Company’s receivables and its ability to retain skilled personnel. Periods of low activity intensify price competition in the industry, which erodes operating margin, and can lead to the Company’s vessels being idle for long periods of time.</w:t>
      </w:r>
    </w:p>
    <w:p>
      <w:pPr>
        <w:spacing w:after="0" w:line="13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If difficult market conditions persist and an anticipated recovery is delayed beyond the Company’s expectation, further deterioration in the fair value of vessels already impaired or revisions to its forecasts may result in the Company recording additional impairment charges related to its fleet in future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Demand for many of the Company’s services is impacted by the level of activity in the offshore oil and natural gas exploration, development and production industry.</w:t>
      </w:r>
    </w:p>
    <w:p>
      <w:pPr>
        <w:spacing w:after="0" w:line="143"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level of offshore oil and natural gas exploration, development and production activity has historically been volatile. This volatility is likely to continue. The level of activity is subject to large fluctuations in response to relatively minor changes in a variety of factors that are beyond the Company’s control, including:</w:t>
      </w:r>
    </w:p>
    <w:p>
      <w:pPr>
        <w:spacing w:after="0" w:line="141" w:lineRule="exact"/>
        <w:rPr>
          <w:sz w:val="20"/>
          <w:szCs w:val="20"/>
          <w:color w:val="auto"/>
        </w:rPr>
      </w:pPr>
    </w:p>
    <w:p>
      <w:pPr>
        <w:ind w:left="1140" w:right="2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worldwide economic environment, trends in international trade or other economic trends, including recessions and the level of activity in energy-consuming markets;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oil and natural gas prices and expectations about future prices and price volatility;</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assessments of offshore drilling prospects compared with land-based opportunities;</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natural gas offshore and the relative cost of, and success in, doing so on land, including fracking and other technologies that make it more economical to produce oil from non-traditional sources;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oil and natural gas and oil service companies operating offshore;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supply and demand for energy, petroleum products and chemical products;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rate of discovery of new oil and natural gas reserves in offshore areas;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state, local and international political and economic conditions, and policies including cabotage and local content laws;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advancements affecting exploration, development, energy production and consumption;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or willingness of the Organization of Petroleum Exporting Countries ("OPEC") to set and maintain production levels and pricing;</w:t>
      </w:r>
    </w:p>
    <w:p>
      <w:pPr>
        <w:spacing w:after="0" w:line="207" w:lineRule="exact"/>
        <w:rPr>
          <w:rFonts w:ascii="Arial" w:cs="Arial" w:eastAsia="Arial" w:hAnsi="Arial"/>
          <w:sz w:val="16"/>
          <w:szCs w:val="16"/>
          <w:color w:val="auto"/>
        </w:rPr>
      </w:pPr>
    </w:p>
    <w:p>
      <w:pPr>
        <w:ind w:left="114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 and the acceptance of oil produced by Iran by other countries throughout the world;</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sanctions on oil producing countries including certain sanctions against Iran;</w:t>
      </w:r>
    </w:p>
    <w:p>
      <w:pPr>
        <w:spacing w:after="0" w:line="184"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civil unrest and the worldwide political and military environment, including uncertainty or instability resulting from an escalation or additional outbreak of armed hostilities involving the Middle East, Russia, Venezuela, other oil-producing regions or other geographic areas or acts of terrorism in the U.S. or elsewhere;</w:t>
      </w:r>
    </w:p>
    <w:p>
      <w:pPr>
        <w:spacing w:after="0" w:line="140"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and catastrophic events;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regulation;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 of drilling activities and the availability of drilling permits and concessions;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oil and natural gas companies to generate or otherwise obtain funds for capital projects;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the use and exploitation of renewable energy and the development of alternative fuel or energy sources.</w:t>
      </w:r>
    </w:p>
    <w:p>
      <w:pPr>
        <w:spacing w:after="0" w:line="18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The prolonged material downturn in oil and natural gas prices has caused a substantial decline in expenditures for exploration, development and production activity, which has resulted in a decline in demand and lower rates for the Company’s offshore energy support services and, in turn, lower utilization levels over the last four years. The continuation or worsening of such decrease in activity is likely to further reduce the Company’s day rates and its utilization, which may in turn have a material adverse effect on the Company’s business, financial position, results of operations, cash flows and growth prospects. In addition, an increase in commodity demand and prices will not necessarily result in an immediate increase in offshore drilling activity since project development lead and planning times, reserve replacement needs, expectations of future commodity demand, prices and supply of available competing vessels all combine to affect demand for the Company’s vessels.</w:t>
      </w:r>
    </w:p>
    <w:p>
      <w:pPr>
        <w:spacing w:after="0" w:line="13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Moreover, for the years ended December 31, 2019, 2018, and 2017, approximately 22%, 64%, and 18%, respectively, of the Company’s operating revenues were earned in the U.S. Gulf of Mexico. Historically, the Company has been and continues to be dependent on levels of activity in that region, which may differ from levels of activity in other regions of the world due to more localized factors. The Company has some ability to shift the location of its assets between regions depending upon local regulation and cost of doing business, among many other factors, and, while it has repositioned some assets from the U.S. Gulf of Mexico to other regions and may continue to do so in the future, such efforts may not be sufficient to counter the localized downturn in the region.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Unconventional crude oil and natural gas sources and improved economics of producing natural gas and oil from such sources has and will likely continue to exert downward pricing pressures on the price of crude oil and natural gas.</w:t>
      </w:r>
    </w:p>
    <w:p>
      <w:pPr>
        <w:spacing w:after="0" w:line="14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The rise in production of crude oil and natural gas from shale in North America and the increased use of large Liquefied Natural Gas export facilities around the world are, at least to date, significant contributors to an over-supplied natural gas market and a similar environment for the crude oil market. Production of crude oil and natural gas from unconventional sources has also benefited from improved drilling efficiencies that have lowered the costs of extraction from these sources. The rise in production of natural gas and oil from these sources not only affects the price of oil but can also result in a reduction of capital invested in offshore oil and natural gas exploration. Because the Company provides vessels servicing offshore oil and natural gas exploration, a significant reduction in investments in offshore exploration and development in favor of investments in these unconventional resources could have a material adverse effect on the Company’s business, financial position, results of operations, cash flows and growth prospects.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economic conditions and volatility in the capital markets could materially adversely affect the Company.</w:t>
      </w:r>
    </w:p>
    <w:p>
      <w:pPr>
        <w:spacing w:after="0" w:line="185"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The success of the Company’s business is both directly and indirectly dependent upon conditions in the global financial markets and economic conditions throughout the world that are outside the Company’s control and difficult to predict. Factors such as commodity prices and demand for commodities, interest rates, availability of credit, inflation rates, changes in laws (including laws relating to taxation), trade barriers, currency exchange rates and controls, and national and international political circumstances (including wars, terrorist acts, security operations or pandemics) can have a material negative impact on the Company’s business and investments, which could reduce its revenues and profitability. Uncertainty about global economic conditions may lead or require businesses to postpone capital spending in response to tighter credit and reductions in income or asset values and to cancel or renegotiate existing contracts because their access to capital is impeded. This would in turn affect the Company’s profitability or results of operations. These factors may also adversely affect the Company’s liquidity and financial condition and the liquidity and financial conditions of its customers. Volatility in the conditions of the global economic markets can also affect the Company’s ability to raise capital at attractive prices. The Company’s ongoing exposure to credit risks on its accounts receivable balances are heightened during periods when economic conditions worsen. The Company has procedures that are designed to monitor and limit exposure to credit risk on its receivables; however, there can be no assurance that such procedures will effectively limit the Company’s credit risk and avoid losses that could have a material adverse effect on the Company’s business, financial position, results of operations, cash flows and growth prospects. Unstable economic conditions may also increase the volatility of the Company’s stock price.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record additional losses or impairment charges related to sold or idle vessels</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During 2019, 2018, and 2017, the Company recognized impairment charges of $12.0 million, $14.6 million, and $27.5 million, respectively, related to tangible assets. Prolonged periods of low utilization or low day or charter rates, the sale of assets below their then carrying value or the decline in market value of the Company’s assets may cause the Company to experience further losses. If there are indications that the carrying value of any of the Company’s vessels may not be recoverable or if the Company sells assets for less than their then carrying value, the Company may recognize additional impairment charges on its fleet.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 acceptable safety record may have an adverse impact on the Company’s ability to retain customers.</w:t>
      </w:r>
    </w:p>
    <w:p>
      <w:pPr>
        <w:spacing w:after="0" w:line="19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Company’s customers consider safety and reliability a primary concern in selecting a service provider. The Company must maintain a record of safety and reliability that is acceptable to its customers. Should this not be achieved, the ability to retain current customers and attract new customers may be adversely affected, which in turn could have a material adverse effect on the Company’s business, financial position, results of operations, cash flows and growth prospects.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high level of competition in the offshore marine service industry.</w:t>
      </w:r>
    </w:p>
    <w:p>
      <w:pPr>
        <w:spacing w:after="0" w:line="185"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The Company operates in a highly fragmented and competitive industry, and the competitive nature of its industry and excess supply of equipment is currently depressing charter and utilization rates. If the period of depressed rates experienced over the last few years continues, it could adversely affect the Company’s financial performance. The Company competes for business on the basis of price, reputation for excellent service, quality, suitability and technical capabilities of its vessels, availability of vessels, safety and efficiency, cost of mobilizing vessels from one market to a different market, and national flag preference. Further, competition has intensified as lower activity in the offshore oil and natural gas market has led to lower utilization and additional capacity. In addition, the Company’s ability to compete in international markets may be adversely affected by regulations requiring, among other things, local construction, flagging, ownership or control of vessels, the awarding of contracts to local contractors, the employment of local citizens and/or the purchase of supplies from local vendors. Furthermore, the Company competes with companies that have undergone significant restructuring which has substantially reduced their debt levels thereby vastly improving their balance sheets.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6" w:name="page17"/>
    <w:bookmarkEnd w:id="16"/>
    <w:p>
      <w:pPr>
        <w:jc w:val="both"/>
        <w:ind w:firstLine="761"/>
        <w:spacing w:after="0" w:line="253" w:lineRule="auto"/>
        <w:rPr>
          <w:sz w:val="20"/>
          <w:szCs w:val="20"/>
          <w:color w:val="auto"/>
        </w:rPr>
      </w:pPr>
      <w:r>
        <w:rPr>
          <w:rFonts w:ascii="Arial" w:cs="Arial" w:eastAsia="Arial" w:hAnsi="Arial"/>
          <w:sz w:val="18"/>
          <w:szCs w:val="18"/>
          <w:color w:val="auto"/>
        </w:rPr>
        <w:t>The process of obtaining new charter agreements is highly competitive and generally involves an intensive screening and a competitive bidding process, which, in certain cases, may extend for several months. The Company’s existing and potential competitors may have significantly greater financial resources than the Company. In addition, competitors with greater resources may have larger fleets, or could operate larger fleets through consolidations, acquisitions, new buildings or pooling of their vessels with other companies, and, therefore, may be able to offer a more competitive service than the Company, including better charter rates. The Company expects competition from a number of experienced companies providing contracts to potential customers, including state-sponsored entities and major energy companies affiliated with the projects requiring offshore vessel services. As a result, the Company may be unable to expand its relationships with existing customers or to obtain new customers on a profitable basis, if at all. If the Company is unable to successfully compete, it could have a materially adverse effect on the Company’s business, financial position, results of operations, cash flows and growth prospects.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oversupply of vessels or equipment that serve offshore oil and natural gas operations could have an adverse impact on the charter rates earned by the Company’s vessels and equipment.</w:t>
      </w:r>
    </w:p>
    <w:p>
      <w:pPr>
        <w:spacing w:after="0" w:line="13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Company’s industry is highly competitive, with oversupply of vessel capacity and intense price competition. Expansion of the supply of vessels and equipment that serve offshore oil and natural gas operations has increased competition in the markets in which the Company operates and affected prices charged by operators. Further, the refurbishment of disused or "mothballed" vessels, conversion of vessels from uses other than oil and natural gas exploration and production support and related activities or construction of new vessels and equipment could add vessel and equipment capacity to current worldwide levels. The current oversupply of vessels and equipment capacity in the offshore marine market could lower charter rates and result in lower operating revenues, which in turn could have a material adverse effect on the Company’s business, financial position, results of operations, cash flows and growth prospects.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part of the Company’s ongoing management of its fleet and personnel, the Company may need to improve its operations and financial systems and recruit additional staff and crew; if the Company cannot improve these systems or recruit suitable employees, the Company’s business and results of operations may be adversely affected.</w:t>
      </w:r>
    </w:p>
    <w:p>
      <w:pPr>
        <w:spacing w:after="0" w:line="154" w:lineRule="exact"/>
        <w:rPr>
          <w:sz w:val="20"/>
          <w:szCs w:val="20"/>
          <w:color w:val="auto"/>
        </w:rPr>
      </w:pPr>
    </w:p>
    <w:p>
      <w:pPr>
        <w:jc w:val="both"/>
        <w:ind w:firstLine="761"/>
        <w:spacing w:after="0" w:line="219" w:lineRule="exact"/>
        <w:rPr>
          <w:sz w:val="20"/>
          <w:szCs w:val="20"/>
          <w:color w:val="auto"/>
        </w:rPr>
      </w:pPr>
      <w:r>
        <w:rPr>
          <w:rFonts w:ascii="Arial" w:cs="Arial" w:eastAsia="Arial" w:hAnsi="Arial"/>
          <w:sz w:val="16"/>
          <w:szCs w:val="16"/>
          <w:color w:val="auto"/>
        </w:rPr>
        <w:t>The Company has and may continue to need to invest in upgrading its operating and financial systems. In addition, the Company may have to recruit additional well</w:t>
      </w:r>
      <w:r>
        <w:rPr>
          <w:rFonts w:ascii="MS PGothic" w:cs="MS PGothic" w:eastAsia="MS PGothic" w:hAnsi="MS PGothic"/>
          <w:sz w:val="16"/>
          <w:szCs w:val="16"/>
          <w:color w:val="auto"/>
        </w:rPr>
        <w:t>‑</w:t>
      </w:r>
      <w:r>
        <w:rPr>
          <w:rFonts w:ascii="Arial" w:cs="Arial" w:eastAsia="Arial" w:hAnsi="Arial"/>
          <w:sz w:val="16"/>
          <w:szCs w:val="16"/>
          <w:color w:val="auto"/>
        </w:rPr>
        <w:t>qualified seafarers and shoreside administrative and management personnel. The Company may not be able to hire suitable employees. For example, the Company’s vessels require technically skilled staff with specialized training. If the Company is unable to employ such technically skilled staff, they may not be able to adequately staff the Company’s vessels. If the Company is unable to operate its financial and operations systems effectively or is unable to recruit suitable employees, the Company’s results of operation and its ability to manage and expand its fleet may be adversely affected.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several customers for a significant share of its revenues, the loss of any of which could adversely affect the Company’s business and operating results.</w:t>
      </w:r>
    </w:p>
    <w:p>
      <w:pPr>
        <w:spacing w:after="0" w:line="130"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Company derives a significant portion of its revenues from a limited number of oil and natural gas exploration, development and production companies. During the years ended December 31, 2019, 2018, and 2017, the Company’s ten largest customers accounted for approximately 52%, 49%, and 58% of its operating revenues. During the year ended December 31, 2019, one customer, Seacor Marine Arabia LLC, a joint venture through which vessels are chartered to Zamil Offshore and Saudi Aramco, was responsible for 10% or more of the Company’s operating revenues. In addition, one or more of the Company’s joint ventures rely primarily on a single customer for their revenues. The portion of the Company’s revenues or any of its joint ventures’ revenues attributable to any single customer may change over time, depending on the level of activity by any such customer, the Company’s ability to meet the customer's needs and other factors, many of which are beyond the Company’s control. In addition, most of the Company’s contracts with its oil and natural gas customers can be canceled on relatively short notice and do not commit its customers to acquire specific amounts of services or require the payment of significant liquidated damages upon cancellation. The loss of business from any of the Company’s significant customers could have a material adverse effect on the Company’s business, financial condition, liquidity and results of operations. Further, to the extent any of the Company’s customers experience an extended period of operating difficulty, it may have a material adverse effect on the Company’s business, financial position, results of operation, cash flows and growth prospects.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the Company’s customer base could adversely affect demand for its services and reduce its revenues.</w:t>
      </w:r>
    </w:p>
    <w:p>
      <w:pPr>
        <w:spacing w:after="0" w:line="185"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In recent years, oil and natural gas companies, energy companies, drilling contractors and other offshore service providers have undergone substantial consolidation and additional consolidation is possible, especially as the depressed oil price environment has caused many of these companies to restructure their operations and capital structure, including substantially reducing their debt levels. Consolidation results in fewer companies to charter or contract for the Company’s services. Also, merger activity among both major and independent oil and natural gas companies affects exploration, development and production activity as the consolidated companies integrate operations to increase efficiency and reduce costs. Less promising exploration and development projects of a combined company may be dropped or delayed. Such activity may result in an exploration and development budget for a combined company that is lower than the total budget of both companies before consolidation, which could adversely affect demand for the Company’s vessels thereby reducing its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The Company may be unable to maintain or replace its offshore support vessels as they age.</w:t>
      </w:r>
    </w:p>
    <w:p>
      <w:pPr>
        <w:spacing w:after="0" w:line="198"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As of December 31, 2019, the average age of the Company’s owned vessels, excluding crew transfer vessels, was approximately 9 years. The Company believes that after a vessel has been in service for approximately 20 years, the expense (which typically increases with age) necessary to satisfy required marine certification standards may not be economically justifiable. In addition, the Company must maintain its vessels to remain attractive to its customers and comply with regulations, including updating or replacing systems and equipment, however, the Company may be unable to carry out drydockings of its vessels, may be limited by insufficient shipyard capacity or its systems and equipment may become obsolete and unsupported by the manufacturer or other service providers, which could adversely affect its ability to maintain its vessels. In addition, market conditions may not justify these expenditures or enable the Company to operate its older vessels profitably during the remainder of their economic lives. There can be no assurance that the Company will be able to maintain its fleet by extending the economic life of existing vessels, or that its financial resources will be sufficient to enable it to make expenditures necessary for these purposes or to acquire or build replacement vessels, all of which could have a material adverse effect on the Company’s business, financial position, results of operations, cash flows and growth prospects.</w:t>
      </w:r>
    </w:p>
    <w:p>
      <w:pPr>
        <w:spacing w:after="0" w:line="13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failure to successfully complete construction or conversion of the Company’s vessels, repairs, maintenance or routine drydockings on schedule and on budget could have a material adverse effect on the Company’s business, financial position, results of operations, cash flows and growth prospects.</w:t>
      </w:r>
    </w:p>
    <w:p>
      <w:pPr>
        <w:spacing w:after="0" w:line="60"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From time to time, the Company may have a number of vessels under conversion and may plan to construct or convert other vessels in response to current and future market conditions. The Company also routinely engages shipyards to drydock vessels for regulatory compliance and to provide repair and maintenance. Construction and conversion projects and drydockings are subject to risks of delay and cost overruns, resulting from shortages of equipment, lack of shipyard availability, unforeseen engineering problems, work stoppages, weather interference, unanticipated cost increases, inability to obtain necessary certifications and approvals and shortages of materials or skilled labor. A significant delay in either construction or drydockings could have a material adverse effect on contract commitments and revenues with respect to vessels under construction, conversion or undergoing drydockings. Significant cost overruns or delays for vessels under construction, conversion or retrofit could have a material adverse effect on the Company’s business, financial position, results of operations, cash flows and growth prospects.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operations of the Company’s fleet may be subject to seasonal factors.</w:t>
      </w:r>
    </w:p>
    <w:p>
      <w:pPr>
        <w:spacing w:after="0" w:line="185"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Demand for the Company’s offshore support services is directly affected by the levels of offshore drilling and production activity of its oil and gas customers, and construction and maintenance activity for its windfarm customers. Budgets of many of the Company’s customers are based upon a calendar year, and demand for the Company’s services has historically been stronger in the second and third calendar quarters when allocated budgets are expended by its customers and weather conditions are more favorable for offshore activities. In particular, the demand for the Company’s liftboat fleet in the U.S. Gulf of Mexico and Europe, offshore support vessels in the Middle East and West Africa, and crew transfer vessels in the North Sea, are seasonal with peak demand normally occurring during the summer months. Adverse events relating to the Company’s vessels or business operations during peak demand periods could have a significant adverse effect on the Company’s financial position and results of operations. In addition, the Company’s crew transfer vessels are dependent on the activity levels of wind farms which rely upon weather conditions that fluctuate over time. As a result, the demand for the Company’s crew transfer vessels may vary throughout the year. Furthermore, seasonal volatility can create unpredictability in activity and utilization rates, which could have a material adverse effect on the Company’s business, financial position, results of operations, cash flows and growth prospects.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high levels of fixed costs that will be incurred regardless of its level of business activity.</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Company’s business has high fixed costs. Maintenance downtime or low productivity due to reduced demand can have a significant negative effect on the Company’s operating results and financial condition. Some of the Company’s fixed costs will not decline during periods of reduced revenue or activity. During times of reduced utilization, the Company may not be able to reduce its costs immediately as it may incur additional costs associated with preparing vessels for cold stacking. Moreover, the Company may not be able to fully reduce the cost of its support operations in a particular geographic region due to the need to support the remaining vessels in that region. A decline in revenue due to lower day rates and/or utilization may not be offset by a corresponding decrease in the Company’s fixed costs and could have a material adverse effect on the Company’s business, financial position, results of operations, cash flows and growth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As the markets recover or the Company changes its marketing strategies or for other reasons, the Company may be required to incur higher than expected costs to return previously cold-stacked vessels to class.</w:t>
      </w:r>
    </w:p>
    <w:p>
      <w:pPr>
        <w:spacing w:after="0" w:line="143"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response to the decrease in demand stemming from lower oil and natural gas prices, the Company has cold-stacked a number of offshore support vessels. As of December 31, 2019, 14 of 98 owned and leased-in offshore support vessels were cold-stacked worldwide. No assurance can be given that the Company will be able to quickly bring these cold-stacked offshore support vessels back into service or that the cost of doing so would not be significant. Cold-stacked vessels do not receive the same level of maintenance as active vessels. As a result and depending on the length of time the vessels are cold-stacked, the Company could incur deferred drydocking costs for regulatory recertification to return these vessels to active service and may incur costs to hire and train mariners to operate such vessels. These costs are difficult to estimate and could be substantial. Delay in reactivating cold stacked offshore support vessels and the costs and other expenses related to the reactivation of cold-stacked offshore support vessels could have a material adverse effect on the Company’s business, financial position, results of operations, cash flows and growth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renew or replace expiring contracts for its vessels.</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Company’s ability to renew or replace expiring contracts or obtain new contracts, and the terms of any such contracts, will depend on various factors, including market conditions and the specific needs of its customers. Given the highly competitive and historically cyclical nature of the industry, the Company may not be able to renew or replace expiring contracts or it may be required to renew or replace expiring contracts or obtain new contracts at rates that are below, and potentially substantially below, existing day rates, or that have terms that are less favorable to the Company than its existing contracts, or it may be unable to secure contracts for these vessels. This could have a material adverse effect on the Company’s business, financial position, results of operations, cash flows and growth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early termination of contracts on the Company’s vessels could have a material adverse effect on its operations.</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Most of the long-term contracts for the Company’s vessels contain early termination options in favor of the customer. Although some of such contracts have early termination remedies or other provisions designed to discourage the customer from exercising such options, the Company cannot assure investors that its customers would not choose to exercise their termination rights in spite of such remedies or the threat of litigation with the Company. Until replacement of such business with other customers, any termination could temporarily disrupt the Company’s business or otherwise adversely affect its financial condition and results of operations. The Company might not be able to replace such business on economically equivalent terms. In addition, during the current and prior downturns, the Company has experienced customers requesting contractual concessions even though such concessions were contrary to existing contractual terms. While the Company may not be legally required to give concessions, commercial considerations may dictate that it do so. If the Company is unable to collect amounts owed to it or long-term contracts for its vessels are terminated and its vessels are not sufficiently utilized, this could have a material adverse effect on the Company’s business, financial position, results of operations, cash flows and growth prospects.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Increased domestic and international laws and regulations may materially adversely impact the Company, and the Company may become subject to additional international laws and regulations in the event of high-profile incidents, such as the Deepwater Horizon drilling rig incident and resulting oil spill.</w:t>
      </w:r>
    </w:p>
    <w:p>
      <w:pPr>
        <w:spacing w:after="0" w:line="154"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Changes in laws or regulations regarding offshore oil and natural gas exploration and development activities and technical and operational measures, whether or not in connection with specific incidents, may increase the Company’s costs and the costs of its customers’ operations. For instance, in response to fatalities and environmental damages caused by a 2010 explosion on the Deepwater Horizon, a drilling rig operating in the Gulf of Mexico, the regulatory agencies with jurisdiction over oil and natural gas exploration, including the U.S. Department of the Interior and its relevant sub-agencies, imposed temporary moratoria on drilling operations, by requiring operators to reapply for exploration plans and drilling permits that had previously been approved, and by adopting numerous new regulations and new interpretations of existing regulations regarding offshore operations that are applicable to the Company’s customers and with which their new applications for exploration plans and drilling permits must prove compliant. Compliance with these new regulations and new interpretations of existing regulations have materially increased the cost of drilling operations in the U.S. Gulf of Mexico. New or additional government regulations or laws concerning drilling operations in the U.S. Gulf of Mexico and other regions have in the past and could in the future materially increase the cost of drilling operations in the U.S. Gulf of Mexico and/or cause additional moratoria on drilling activities. These changes may influence decisions by customers or other industry participants that could reduce the demand for the Company’s services, which could have a material adverse effect on the Company’s business, financial position, results of operations, cash flows and growth prospects.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Outer Continental Shelf Lands Act, as amended, provides the federal government with broad discretion in regulating the leasing of offshore resources for the production of oil and natural gas.</w:t>
      </w:r>
    </w:p>
    <w:p>
      <w:pPr>
        <w:spacing w:after="0" w:line="143"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Outer Continental Shelf Lands Act provides the federal government with broad discretion in regulating the release or continued use of offshore resources for oil and natural gas production. The current extent of permitted offshore leasing is uncertain. While a moratorium on new offshore oil and gas drilling had been in place for a number of years, in January 2018 the department of Interior announced that it would lift the moratorium to allow new offshore oil and gas drilling in nearly all U.S. coastal waters. However, the decision to lift the moratorium is subject to pending legal challenge, the scope and timing of future offshore lease sales is unclear, several states have taken action to oppose offshore exploration and production in state waters and further legal challenge is likely. Because the Company’s operations rely on offshore oil and gas exploration and production, the government’s exercise of authority under the provisions of the Outer Continental Shelf Lands Act to restrict the availability of offshore oil and natural gas leases (for example, due to a serious incident of pollution) could have a material adverse effect on the Company’s business, financial position, results of operations, cash flows and growth prospects.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complex laws and regulations, including environmental laws and regulations that can adversely affect the cost, manner or feasibility of doing business.</w:t>
      </w:r>
    </w:p>
    <w:p>
      <w:pPr>
        <w:spacing w:after="0" w:line="130"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Increasingly stringent federal, state, local and international laws and regulations governing worker safety and health and the staffing, construction and operation of vessels significantly affect the Company’s operations. Many aspects of the marine industry are subject to extensive governmental regulation and oversight, including by the USCG, Occupational Safety and Health Administration ("OSHA"), the NTSB, the EPA, the IMO, the U.S. Department of Homeland Security, the MARAD, the UCBP, the BSEE, and state environmental protection agencies for those jurisdictions in which the Company operates, and to regulation by states and classification societies (such as the American Bureau of Shipping). The Company is also subject to regulation under international treaties, such as (i) MARPOL; (ii) SOLAS, (iii) MLC, (iv) BWM Convention, (v) STCW and (vi) other port state regulations. These agencies, organizations, regulations and treaties establish safety requirements and standards and are authorized to investigate vessels and accidents and to recommend improved safety standards. The UCBP and USCG are authorized to inspect vessels at will. The Company has and will continue to spend significant funds to comply with these regulations and treaties. Failure to comply with these regulations and treaties may cause the Company to incur significant liabilities or restrictions on its operations, any of which could have a material adverse effect on the Company’s business, financial position, results of operations, cash flows and growth prospects.</w:t>
      </w:r>
    </w:p>
    <w:p>
      <w:pPr>
        <w:spacing w:after="0" w:line="156"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6"/>
          <w:szCs w:val="16"/>
          <w:color w:val="auto"/>
        </w:rPr>
        <w:t>The Company’s business and operations are also subject to federal, state, local and international laws and regulations relating to environmental protection and occupational safety and health, including laws and regulations that govern the discharge of oil and pollutants into waters regulated thereunder. Violations of these laws may result in civil and criminal penalties, fines, injunctions, or other sanctions, or the suspension or termination of the Company’s operations. Compliance with such laws and regulations frequently require installation of costly equipment, increased staffing, increased fuel costs, specific training, or operational changes. Some environmental laws impose strict and, under certain circumstances, joint and several liability for remediation of spills and releases of oil and hazardous materials and damage to natural resources, which could subject the Company to liability without regard to whether it is negligent or at fault. Under the OPA 90, owners, operators and bareboat charterers are jointly and severally strictly liable for the removal costs and damages resulting from the discharge of oil within the navigable waters of the U.S. and the EEZ. In addition, an oil spill could result in significant liability, including fines, penalties, criminal liability and costs for natural resource and other damages under other federal and state laws and civil actions. Liability for a catastrophic spill could exceed the Company’s available insurance coverage and result in it having to liquidate assets to pay claims. These laws and regulations may expose the Company to liability for the conduct of or conditions caused by others, including charterers. Because such laws and regulations frequently change and may impose increasingly strict requirements, the Company cannot predict the ongoing cost of complying with these laws and regulations. Additionally, reduced enforcement of existing safety and other laws or regulations may result in a decline in the demand for the Company’s offshore support services that are provided in connection with compliance with such laws or regulations. The Company cannot be certain that existing laws, regulations or standards (and the enforcement thereof), as currently interpreted or reinterpreted in the future, or future laws and regulations and standards will not have a material adverse effect on the Company’s business, financial position, results of operations, cash flows and growth prospects. Regulation of the offshore marine services industry will likely continue to become more stringent and more expensive for the Company. In addition, a serious marine incident that results in significant pollution or injury could result in additional regulation and lead to strict governmental enforcement or other legal challenges. The variability and uncertainty of current and future shipping regulations could hamper the ability of the Company and its customers to plan for the future or establish long-term strategies. Additional environmental and other requirements, as well as more stringent enforcement policies, may be adopted that could limit the Company’s ability to operate, require the Company to incur substantial additional costs or otherwise have a material adverse effect on the Company’s business, financial position, results of operations, cash flows and growth prospects. For more information, see “Business-Governmental Regulations-Environmental Compliance.”</w:t>
      </w:r>
    </w:p>
    <w:p>
      <w:pPr>
        <w:spacing w:after="0" w:line="356"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The Company is required by various governmental and quasi-governmental agencies to obtain, maintain and periodically renew certain permits, licenses and certificates with respect to its operations or vessels. In certain instances, the failure to obtain, maintain or renew these authorizations could have a material adverse effect on the Company’s business, financial position, results of operations, cash flows and growth prospects.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There are risks associated with climate change and environmental regulations.</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Governments and supranational groups around the world have, in recent years, placed increasing attention on matters affecting the environment and this could lead to new laws or regulations pertaining to climate change, carbon emissions or energy use that in turn could result in a reduction in demand for hydrocarbon-based fuel. In fact, a number of countries and organizations have adopted, or are considering the adoption of, regulatory frameworks to reduce greenhouse gas emissions. These regulatory measures or international treaties may include, among others, adoption of cap and trade regimes, carbon taxes, increased efficiency standards, and incentives or mandates for renewable energy and could include specific restrictions on shipping emissions. Additionally, some institutional investors and banks have indicated a focus on matters affecting the environment, which may result in reduced investment in, or financing available to, the hydrocarbon-based industry.</w:t>
      </w:r>
    </w:p>
    <w:p>
      <w:pPr>
        <w:spacing w:after="0" w:line="14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Governments could also pass laws or regulations encouraging or mandating the use of alternative energy sources such as wind power and solar energy. These requirements could reduce demand for oil and natural gas and therefore the services provided by the Company. Alternatively, changes in U.S. law permitting additional drilling on federal lands could divert capital from offshore exploration. In addition, new environmental or emissions control laws or regulations may require an increase in the Company’s operating costs and/or in its capital spending for additional equipment or personnel to comply with such requirements and could also result in a reduction in revenues due to downtime required for the installation of such equipment. Moreover, various international conventions and federal, state or international laws have significantly increased their regulation of vessel fuel and emissions in recent years, and this trend is likely to continue. Any of these developments, requirements or initiatives could have a material adverse effect on the Company’s business, financial position, results of operations, cash flows and growth prospects.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violation of the Foreign Corrupt Practices Act of 1977 ("FCPA") or similar worldwide anti-bribery laws may adversely affect the Company’s business and operations.</w:t>
      </w:r>
    </w:p>
    <w:p>
      <w:pPr>
        <w:spacing w:after="0" w:line="143"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In order to effectively compete in certain foreign jurisdictions, the Company seeks to establish joint ventures with local operators or strategic partners. As a U.S. corporation, the Company is subject to the regulations imposed by the FCPA, which generally prohibits U.S. companies and their intermediaries from making improper payments to foreign officials for the purpose of obtaining or maintaining business. The Company has stringent policies and procedures in place to enforce compliance with the FCPA. Nevertheless, the Company does business and may do additional business in the future in countries and regions where strict compliance with anti-bribery laws may not be customary and the Company may be held liable for actions taken by its strategic or local partners even though these partners may not be subject to the FCPA. The Company’s personnel and intermediaries, including its local operators and strategic partners, may face, directly or indirectly, corrupt demands by government officials, political parties and officials, tribal or insurgent organizations, or private entities in the countries in which it operates or may operate in the future.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growth prospects.</w:t>
      </w:r>
    </w:p>
    <w:p>
      <w:pPr>
        <w:spacing w:after="0" w:line="12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Company has significant international operations, which subjects it to risks. Unstable political, military and economic conditions in foreign countries where a significant proportion of the Company’s operations is conducted could materially adversely impact its business.</w:t>
      </w:r>
    </w:p>
    <w:p>
      <w:pPr>
        <w:spacing w:after="0" w:line="106"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The Company operates vessels and transacts other business worldwide. For the years ended December 31, 2019, 2018 and 2017, 78%, 36% and 82%, respectively, of the Company’s operating revenues and $(12.8) million, $(3.0) million and $2.0 million respectively, of its equity in earnings (losses) from 50% or less owned companies, net of tax, were derived from its foreign operations. These operations are subject to risks, including potential vessel seizure, terrorist acts, piracy, kidnapping, nationalization of assets, currency restrictions, import or export quotas, tariffs and other forms of public and government regulation, all of which are beyond the Company’s control. Economic sanctions or an oil embargo, for example, could have significant impact on activity in the oil and natural gas industry and, correspondingly, on the Company should it operate vessels in a country subject to any sanctions or embargo, or in the surrounding region to the extent any sanctions or embargo disrupts its operations.</w:t>
      </w:r>
    </w:p>
    <w:p>
      <w:pPr>
        <w:spacing w:after="0" w:line="15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addition, the Company’s ability to compete in international markets may be adversely affected by foreign government regulations that favor or require the awarding of contracts to local competitors, or that require foreign persons to employ citizens of, or purchase supplies from, a particular jurisdiction. Further, the Company’s foreign subsidiaries may face governmentally imposed restrictions on their ability to transfer funds to their parent company.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Activity outside the U.S. involves additional risks, including the possibility of:</w:t>
      </w:r>
    </w:p>
    <w:p>
      <w:pPr>
        <w:spacing w:after="0" w:line="185" w:lineRule="exact"/>
        <w:rPr>
          <w:sz w:val="20"/>
          <w:szCs w:val="20"/>
          <w:color w:val="auto"/>
        </w:rPr>
      </w:pPr>
    </w:p>
    <w:p>
      <w:pPr>
        <w:ind w:left="1140" w:hanging="376"/>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embargoes or restrictive actions and regulations by U.S. and foreign governments that could limit the Company’s ability to provide services in foreign countries or cause retaliatory actions by such governments;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change in, or the imposition of, withholding or other taxes on foreign income, tariffs or restrictions on foreign trade and investment;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1" w:name="page22"/>
    <w:bookmarkEnd w:id="21"/>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repatriation of earnings or currency exchange controls and import/export quotas;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unwaivable, burdensome local cabotage and local ownership laws and requirements;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nationalization, expropriation, asset seizure, blockades and blacklisting;</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in the availability, amount or terms of insurance coverage;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contract rights and inability to enforce contracts;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instability, war and civil disturbances or other risks that may limit or disrupt markets, such as terrorist acts, piracy and kidnapping;</w:t>
      </w:r>
    </w:p>
    <w:p>
      <w:pPr>
        <w:spacing w:after="0" w:line="207" w:lineRule="exact"/>
        <w:rPr>
          <w:rFonts w:ascii="Arial" w:cs="Arial" w:eastAsia="Arial" w:hAnsi="Arial"/>
          <w:sz w:val="16"/>
          <w:szCs w:val="16"/>
          <w:color w:val="auto"/>
        </w:rPr>
      </w:pPr>
    </w:p>
    <w:p>
      <w:pPr>
        <w:ind w:left="1140" w:hanging="376"/>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hard currency shortages and controls on currency exchange that affect demand for the Company’s services and its profitability;</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noncompliance with a wide variety of laws and regulations, such as the FCPA, and similar non-U.S. laws and regulations, including the U.K. Bribery Act 2010;</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strikes;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or export quotas and other forms of public and government regulation;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including the ability to transfer qualified labor to local operations;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 or delayed response to natural disasters on other major incidents or events in less developed countries.</w:t>
      </w:r>
    </w:p>
    <w:p>
      <w:pPr>
        <w:spacing w:after="0" w:line="198"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On January 31, 2020, the United Kingdom, or U.K., government commenced the legal process of leaving the European Union, typically referred to as “Brexit.” There remains significant uncertainty about when and how the U.K. will officially exit the European Union, if at all, and the possible effects of Brexit including but not limited to, the imposition of trade barriers and increased costs throughout Europe, changes in European manufacturing and employment markets, and currency fluctuations. In addition, Brexit may lead to legal and regulatory uncertainty and potentially divergent treaties, laws and regulations as the U.K. determines which E.U. treaties, laws and regulations to replace or replicate, including those governing maritime, labor, environmental, competition and other matters applicable to the provision of support vessel services. While the full effects of Brexit will not be known for some time, Brexit could cause disruptions to, and create uncertainty surrounding, our business including affecting the Company’s relationships with its existing and future customers, suppliers and employees in its North Sea fleet and crew transfer operations. The most immediate effect of the expected Brexit has been significant volatility in global equity and debt markets and currency exchange rate fluctuations. These uncertainties could increase volatility in the market and could have a material adverse effect on the Company’s business, financial condition, results of operations and cash flows.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results could be impacted by U.S. social, political, regulatory and economic conditions as well as by changes in tariffs, trade agreements or other trade restrictions imposed by the U.S. government.</w:t>
      </w:r>
    </w:p>
    <w:p>
      <w:pPr>
        <w:spacing w:after="0" w:line="14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Changes in U.S. political, regulatory and economic conditions or in laws and policies governing foreign trade (including the U.S. trade agreements and U.S. tariff policies), travel to and from the U.S., immigration, manufacturing, development and investment in the territories and countries in which the Company operates, and any negative sentiments or retaliatory actions towards the U.S. as a result of such changes, could adversely affect the global marine and support transportation services industry. Recent changes in U.S. foreign policy have created significant uncertainty about the future relationship between the U.S. and China, as well as with other countries, including with respect to the trade policies, treaties, government regulations and tariffs that could apply to trade between the U.S. and other nations. Changes in these policies may have a material adverse effect on the Company’s business, financial position, results of operations, cash flows and growth prospects.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results of legal proceedings could materially adversely affect the Company.</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is subject to and may in the future be subject to a variety of legal proceedings and claims that arise out of the ordinary conduct of its business. Results of legal proceedings cannot be predicted with certainty. Irrespective of its merits, litigation may be both lengthy and disruptive to the Company’s operations and may cause significant expenditure and diversion of management attention. The Company may be faced with significant monetary damages or injunctive relief against it that which could have a material adverse effect on the Company’s business, financial position, results of operations, cash flows and growth prospects should it fail to prevail in certain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There are risks associated with the Company’s debt structure.</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of December 31, 2019, the Company has $398.0 million of outstanding indebtedness, including the Convertible Senior Notes and obligations under secured notes and credit facilities secured by mortgages on various vessels. This includes the $130.0 million loan facility that was entered into by SEACOR Marine Foreign Holdings Inc. (“SMFH”), a wholly owned subsidiary of SEACOR Marine, on September 26, 2018.</w:t>
      </w:r>
    </w:p>
    <w:p>
      <w:pPr>
        <w:spacing w:after="0" w:line="141"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The Company’s ability to meet its debt service obligations and refinance its current indebtedness, as well as any future debt that it may incur, will depend upon its ability to generate cash in the future from operations, financings or asset sales, which are subject to general economic conditions, the Company’s results of operations, industry cycles, seasonality and financial, business, the general state of the capital markets at the time it seeks to refinance its debt and other factors, some of which may be beyond the Company’s control. If the Company cannot repay or refinance its debt as it becomes due, the Company may be forced to sell assets or take other disadvantageous actions, including undertaking alternative financing plans, which may have onerous terms or may be unavailable, dedicating an unsustainable level of the Company’s cash flow from operations to the payment of principal and interest on its indebtedness and/or reducing the amount of liquidity available for working capital, capital expenditures and general corporate purposes. The Company’s failure to pay or refinance its current or future debt under a credit facility when it becomes due could lead to the acceleration of all amounts due under such facility and potentially trigger a default or acceleration of the Company’s other debt facilities. In addition, certain of the Company’s debt facilities contain, and its future debt facilities may contain, restrictive and/or financial maintenance covenants, including requirements to maintain a minimum level of liquidity which could also affect cash available for working capital, capital expenditures and general corporate purposes. Failure to comply with these covenants could result in the lenders accelerating all amounts due under the facility and potentially trigger a default or acceleration of the Company’s other debt facilities. The Company’s obligations to repay indebtedness and comply with restrictive and/or financial maintenance covenants could also impair its ability to rapidly respond to changes in its business or industry and withstand competitive pressures. See “Management’s Discussion and Analysis of Results of Operations and Financial Condition - Liquidity and Capital Resources” for additional information. The Company’s overall debt level and/or market conditions could limit its ability to issue additional debt in amounts and/or on terms that it considers reasonable.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hazards customary for the operation of vessels that could disrupt operations and expose it to liability.</w:t>
      </w:r>
    </w:p>
    <w:p>
      <w:pPr>
        <w:spacing w:after="0" w:line="19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The operation of offshore support and related vessels is subject to various risks, including catastrophic disaster, adverse weather, mechanical failure and collision. For instance, the Company’s operations in the U.S. Gulf of Mexico may be adversely affected by weather. The Atlantic hurricane season typically runs from June through November. Tropical storms and hurricanes may limit the Company’s ability to operate vessels in the proximity of storms, reduce oil and natural gas exploration, development and production activity, and could result in the Company incurring additional expenses to secure equipment and facilities. They may also require the Company to evacuate its vessels, personnel and equipment out of the path of a storm. Additional risks to vessels include adverse sea conditions, capsizing, grounding, oil and hazardous substance spills and navigation errors. These risks could endanger the safety of the Company’s personnel, equipment, cargo and other property, as well as the environment. If any of these events were to occur, the Company could be held liable for resulting damages, including loss of revenues from or termination of charter contracts, higher insurance rates, increased operating costs, increased governmental regulation and reporting and damage to the Company’s reputation and customer relationships. Any such events would likely result in negative publicity for the Company and adversely affect its safety record, which would affect demand for its services in a competitive industry. In addition, the affected vessels could be removed from service and would then not be available to generate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protect it from the liabilities that could arise in its business.</w:t>
      </w:r>
    </w:p>
    <w:p>
      <w:pPr>
        <w:spacing w:after="0" w:line="185"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Although the Company maintains insurance coverage against the risks related to its business, risks may arise for which it may not be insured. Claims covered by insurance are subject to deductibles, the aggregate amount of which could be material, and certain policies impose caps on coverage. Insurance policies are also subject to compliance with certain conditions, the failure of which could lead to a denial of coverage as to a particular claim or the voiding of a particular insurance policy. There also can be no assurance that existing insurance coverage can be renewed at commercially reasonable rates or that available coverage will be adequate to cover future claims. If a loss occurs that is partially or completely uninsured, or the carrier is unable or unwilling to cover the claim, the Company could be exposed to substantial liability. Further, to the extent the proceeds from insurance are not sufficient to repair or replace a damaged asset, the Company would be required to expend funds to supplement the insurance and in certain circumstances may decide that such expenditures are not justified, which, in either case, could adversely affect the Company’s liquidity and ability to grow.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undertake one or more significant corporate transactions that may not achieve their intended results, may adversely affect its financial condition and its results of operations, and may result in additional risks to its business.</w:t>
      </w:r>
    </w:p>
    <w:p>
      <w:pPr>
        <w:spacing w:after="0" w:line="143"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Company continuously evaluates the acquisition and disposition of assets relevant to participants in the offshore energy industry and may in the future undertake significant transactions. Any such transaction could be material to the Company’s business and could take any number of forms, including mergers, joint ventures, investments in new lines of business and the purchase of equity interests or assets. The form of consideration associated with such transactions may include, among other things, cash, Common Stock, securities convertible into Common Stock or other securities (privately or through a public offering), equity interests in the Company’s subsidiaries, or other assets of the Company. The Company also evaluates the disposition of its assets, in whole or in part, which could take the form of asset sales, mergers or sales of equity interests in its subsidiaries (privately or through a public offering).</w:t>
      </w:r>
    </w:p>
    <w:p>
      <w:pPr>
        <w:spacing w:after="0" w:line="149"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These types of significant transactions may present material risks and uncertainties, including distraction of management from current operations, insufficient revenue to offset liabilities assumed, potential loss of significant revenue and income streams, unexpected expenses, inadequate return of capital, potential acceleration of taxes currently deferred, regulatory or compliance issues, the triggering of certain covenants in the Company’s debt instruments (including accelerated repayment) and other unidentified issues not discovered in due diligence. If the Company was to complete such an acquisition, disposition, investment or other strategic transaction, it may require additional debt or equity financing that could result in a significant increase in the amount of debt the Company has or the number of outstanding shares of its Common Stock. As a result of the risks inherent in such transactions, the Company cannot guarantee that any such transaction will ultimately result in the realization of the anticipated benefits of the transaction or that significant transactions will not have a material adverse impact on the Company’s business, financial positions, results of operations, cash flows and growth prospects.</w:t>
      </w:r>
    </w:p>
    <w:p>
      <w:pPr>
        <w:spacing w:after="0" w:line="12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the Company does not restrict the amount of ownership of its Common Stock by non-U.S. citizens, it could be prohibited from operating offshore support vessels in the United States, which would adversely impact the Company’s business and operating results.</w:t>
      </w:r>
    </w:p>
    <w:p>
      <w:pPr>
        <w:spacing w:after="0" w:line="120"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The Company is subject to the Jones Act, which governs, among other things, the ownership and operation of vessels used to carry passengers and cargo between points in the U.S. Subject to limited exceptions, the Jones Act requires that vessels engaged in the U.S. coastwise trade be built in the U.S., registered under the U.S. flag, manned by predominantly U.S. crews and be owned and operated by "U.S. citizens" within the meaning of the Jones Act. Compliance with the Jones Act requires that non-U.S. citizens own no more than 25% in the entities that directly or indirectly own or operate the vessels that the Company operates in U.S. coastwise trade. Although the Company’s Third Amended and Restated Certificate of Incorporation and Third Amended and Restated By-Laws contain provisions intended to assure compliance with these provisions of the Jones Act, a failure to maintain compliance could have a material adverse effect on the Company’s business, financial position, results of operations, cash flows and growth prospects and could temporarily or permanently prohibit the Company from operating vessels in the U.S. coastwise trade. In addition, the Company could be subject to fines and its vessels could be subject to seizure and forfeiture for violations of the Jones Act and the related U. S. vessel documentation laws.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Repeal, amendment, suspension or non-enforcement of the Jones Act would result in additional competition for the Company and could have a material adverse effect on the Company’s business.</w:t>
      </w:r>
    </w:p>
    <w:p>
      <w:pPr>
        <w:spacing w:after="0" w:line="130"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Substantial portions of the Company’s operations are conducted in the U.S. coastwise trade and thus subject to the provisions of the Jones Act (discussed above). For years, there have been attempts to repeal or amend such provisions, and such attempts are expected to continue in the future. For example, in a 2017 congressional review of Puerto Rico's financial situation following Hurricane Maria, several proponents of repealing the Jones Act offered bills to exempt the island from the Jones Act. Although the proposals were limited in scope and failed, there is a risk that similar legislation could be reintroduced whether or not related to the occurrence of similar future events, which could lead to broader legislation affecting other aspects of the Jones Act.</w:t>
      </w:r>
    </w:p>
    <w:p>
      <w:pPr>
        <w:spacing w:after="0" w:line="131"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Repeal, substantial amendment, waiver or substantial reinterpretation of provisions of the Jones Act could significantly adversely affect the Company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or other international trade agreements, or if the restrictions contained in the Jones Act were otherwise altered, the shipping of maritime cargo between covered U.S. points could be opened to foreign-flag or foreign-built vessels. Because foreign vessels may have lower construction costs and operate at significantly lower costs than companies operating in the U.S. coastwise trade, such a change could significantly increase competition in the U.S. coastwise trade, which could have a material adverse effect on the Company’s business, financial position, results of operations, cash flows and growth prospects.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non-U.S. citizen ownership of the Company’s vessels could limit its ability to sell off any portion of its business or result in the forfeiture of its vessels.</w:t>
      </w:r>
    </w:p>
    <w:p>
      <w:pPr>
        <w:spacing w:after="0" w:line="13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As noted above, compliance with the Jones Act requires that non-U.S. citizens own no more than 25% in the entities that directly or indirectly own or operate the vessels that the Company operates in the U.S. coastwise trade. If the Company was to seek to sell any portion of its business that owns any of these vessels, it would have fewer potential purchasers, since some potential purchasers might be unable or unwilling to satisfy the U.S. citizenship restrictions described above. As a result, the sales price for that portion of the Company’s business may not attain the amount that could be obtained through unconstrained bidding. Furthermore, if at any point the Company or any of the entities that directly or indirectly own its vessels cease to satisfy the requirements to be a U.S. citizen within the meaning of the Jones Act, the Company would become ineligible to operate in the U.S. coastwise trade and may become subject to penalties and risk forfeiture of its vessels.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Company’s Third Amended and Restated Certificate of Incorporation and its Third Amended and Restated By-laws limit the ownership of Common Stock by individuals and entities that are not U.S. citizens within the meaning of the Jones Act. These restrictions may affect the liquidity of the Company’s Common Stock and may result in non-U.S. citizens being required to sell their shares at a loss or relinquish their voting, dividend and distribution rights.</w:t>
      </w:r>
    </w:p>
    <w:p>
      <w:pPr>
        <w:spacing w:after="0" w:line="146"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Under the Jones Act, at least 75% of the outstanding shares of each class or series of the Company’s capital stock must be owned and controlled by U.S. citizens within the meaning of the Jones Act. Certain provisions of the Company’s Third Amended and Restated Certificate of Incorporation and its Third Amended and Restated By-Laws are intended to facilitate compliance with this requirement and may have an adverse effect on holders of shares of the Company’s Common Stock.</w:t>
      </w:r>
    </w:p>
    <w:p>
      <w:pPr>
        <w:spacing w:after="0" w:line="146"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Under the provisions of the Company’s Third Amended and Restated Certificate of Incorporation, the aggregate percentage of ownership by non-U.S. citizens of any class or series of the Company’s capital stock is limited to 22.5% of the outstanding shares of each such class or series to ensure that such ownership by non-U.S. citizens will not exceed the maximum percentage permitted by the Jones Act, which is presently 25%. The Company’s Third Amended and Restated Certificate of Incorporation also restricts ownership of shares of any class or series of its capital stock by a single non-U.S. citizen (and any other non-U.S. citizen whose ownership position would be aggregated with such non-U.S. citizen for purposes of the Jones Act) to not more than 4.9% of the outstanding shares of each such class or series. The Company refers to such percentage limitations on ownership by persons who are not U.S. citizens within the meaning of the Jones Act as the "applicable permitted percentage."</w:t>
      </w:r>
    </w:p>
    <w:p>
      <w:pPr>
        <w:spacing w:after="0" w:line="15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Company’s Third Amended and Restated Certificate of Incorporation provides that any transfer or purported transfer of any shares of any class or series of its capital stock that would otherwise result in ownership (of record or beneficially) by non-U.S. citizens of shares of such class or series in excess of the applicable permitted percentage will be void and ineffective, and neither the Company nor its transfer agent will register any such transfer or purported transfer in the Company records or recognize any such transferee or purported transferee as a stockholder of the Company for any purpose (including for purposes of voting and dividends) except to the extent necessary to effect the remedies available to the Company under its Third Amended and Restated Certificate of Incorporation.</w:t>
      </w:r>
    </w:p>
    <w:p>
      <w:pPr>
        <w:spacing w:after="0" w:line="15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In the event such transfer restriction would be ineffective for any reason, the Company’s Third Amended and Restated Certificate of Incorporation provides that if any transfer would otherwise result in ownership (of record or beneficially) by non-U.S. citizens of shares of such class or series in excess of the applicable permitted percentage, such transfer will cause such excess shares to be automatically transferred to a trust for the exclusive benefit of one or more charitable beneficiaries that are U.S. citizens within the meaning of the Jones Act. The proposed transferee will have no rights in the shares transferred to the trust, and the trustee, who will be a U.S. citizen chosen by the Company and unaffiliated with the Company or the proposed transferee, will have all voting, dividend and distribution rights associated with the shares held in the trust. The trustee will sell such excess shares to a U.S. citizen within 20 days of receiving notice from the Company (or as soon thereafter as a sale may be effected in compliance with all applicable securities laws) and distribute to the proposed transferee the lesser of the price that the proposed transferee paid for such shares and the amount received from the sale, and any gain from the sale will be paid to the charitable beneficiary of the trust.</w:t>
      </w:r>
    </w:p>
    <w:p>
      <w:pPr>
        <w:spacing w:after="0" w:line="141"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These trust transfer provisions also apply to situations where ownership of a class or series of the Company’s capital stock by non-U.S. citizens in excess of the applicable permitted percentage would result from a change in the status of a record or beneficial owner thereof from a U.S. citizen to a non-U.S. citizen or from a repurchase or redemption by the Company of shares of its capital stock, in which case such person will receive the lesser of the market price of the shares on the date of such status change or such share repurchase or redemption and the amount received from the sale. As part of the foregoing trust transfer provisions, the trustee will be deemed to have offered the excess shares in the trust to the Company at a price per share equal to the lesser of (i) the market price on the date the Company accepts the offer and (ii) the price per share in the purported transfer or original issuance of shares, as described in the preceding paragraph, or the market price per share on the date of the status change or share repurchase or redemption, that resulted in the transfer to the trust.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firstLine="761"/>
        <w:spacing w:after="0" w:line="312" w:lineRule="auto"/>
        <w:rPr>
          <w:sz w:val="20"/>
          <w:szCs w:val="20"/>
          <w:color w:val="auto"/>
        </w:rPr>
      </w:pPr>
      <w:r>
        <w:rPr>
          <w:rFonts w:ascii="Arial" w:cs="Arial" w:eastAsia="Arial" w:hAnsi="Arial"/>
          <w:sz w:val="16"/>
          <w:szCs w:val="16"/>
          <w:color w:val="auto"/>
        </w:rPr>
        <w:t>As a result of the above trust transfer provisions, a proposed transferee that is a non-U.S. citizen, or a record or beneficial owner whose citizenship status change results in excess shares, or whose shares become excess shares as a result of a repurchase or redemption by the Company of its capital stock may not receive any return on its investment in shares it purportedly purchases or owns, as the case may be, and it may sustain a loss.</w:t>
      </w:r>
    </w:p>
    <w:p>
      <w:pPr>
        <w:spacing w:after="0" w:line="120"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To the extent that the above trust transfer provisions would be ineffective for any reason to prevent ownership (of record or beneficially) by non-U.S. citizens of the shares of any class or series of the Company’s capital stock in excess of the applicable permitted percentage, the Company’s Third Amended and Restated Certificate of Incorporation provides that the Company, in its sole discretion, shall be entitled to redeem all or any portion of such excess shares most recently acquired (as determined by the Company in accordance with guidelines that are set forth in its Third Amended and Restated Certificate of Incorporation), by non-U.S. citizens, or owned (of record or beneficially) by non-U.S. citizens as a result of a change in citizenship status or a repurchase or redemption by the Company of shares of its capital stock, at a redemption price based on a fair market value formula that is set forth in the Company’s Third Amended and Restated Certificate of Incorporation. The per share redemption price may be paid, as determined by the Company’s Board of Directors, by cash, promissory notes, warrants or a combination thereof. Such excess shares shall not be accorded any voting, dividend or distribution rights until they have ceased to be excess shares, provided that they have not been already redeemed by the Company. As a result of the above provisions, a proposed transferee or owner of the Company’s Common Stock that is a non-U.S. citizen may not receive any return on its investment in shares it purportedly purchases or owns, as the case may be, and it may sustain a loss. Further, the Company may have to incur additional indebtedness, or use available cash (if any), to fund all or a portion of such redemption, in which case its financial condition may be materially weakened.</w:t>
      </w:r>
    </w:p>
    <w:p>
      <w:pPr>
        <w:spacing w:after="0" w:line="12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So that the Company may ensure its compliance with the Jones Act, its Third Amended and Restated Certificate of Incorporation permits the Company to require that any record or beneficial owner of any shares of its capital stock provide the Company with certain documentation concerning such owner’s citizenship. These provisions include a requirement that every person acquiring, directly or indirectly, five percent (5%) or more of the shares of any class or series of the Company’s capital stock must provide the Company with specified citizenship documentation. In the event that any person does not submit such requested or required documentation to the Company, the Company’s Third Amended and Restated Certificate of Incorporation provides it with certain remedies, including the suspension of the voting rights of such person's shares of the Company’s capital stock and the payment of dividends and distributions with respect to those shares into an escrow account. As a result of non-compliance with these provisions, a record or beneficial owner of the shares of Common Stock may lose significant rights associated with those shares.</w:t>
      </w:r>
    </w:p>
    <w:p>
      <w:pPr>
        <w:spacing w:after="0" w:line="138"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In addition to the risks described above, the foregoing restrictions on ownership by non-U.S. citizens could delay, defer or prevent a transaction or change in control that might involve a premium price for the Company’s Common Stock or otherwise be in the best interest of its stockholders.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non-U.S. citizens own more than 22.5% of the Company’s Common Stock, the Company may not have the funds or the ability to redeem any excess shares and it could be forced to suspend its operations in the U.S. coastwise trade.</w:t>
      </w:r>
    </w:p>
    <w:p>
      <w:pPr>
        <w:spacing w:after="0" w:line="130"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The Company’s Third Amended and Restated Certificate of Incorporation and its Third Amended and Restated By-Laws contain provisions prohibiting ownership of its Common Stock by persons who are not U.S. citizens within the meaning of the Jones Act, in the aggregate, in excess of 22.5% of such shares, in order to ensure that such ownership by non-U.S. citizens will not exceed the maximum percentage permitted by the Jones Act, which is presently 25%. The Company’s Third Amended and Restated Certificate of Incorporation and its Third Amended and Restated By-Laws permit the Company to redeem such excess shares in the event that the transfer of such excess shares to a trust for sale would be ineffective. The per share redemption price may be paid, as determined by the Company’s board of directors, by cash, promissory notes or warrants. However, the Company may not be able to redeem such excess shares for cash because its operations may not have generated sufficient excess cash flow to fund such redemption. If, for any reason, the Company is unable to effect such a redemption when such ownership of shares by non-U.S. citizens is in excess of 25% of the Common Stock, or otherwise prevent non-U.S. citizens in the aggregate from owning shares in excess of 25% of any such class or series of its capital stock, or fail to exercise its redemption rights because it is unaware that such ownership exceeds such percentage, the Company will likely be unable to comply with the Jones Act and will likely be required by the applicable governmental authorities to suspend its operations in the U.S. coastwise trade. Any such actions by governmental authorities would likely have a material adverse effect on the Company’s business, financial position, results of operations, cash flows and growth prospects.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U.S.-flag vessels are subject to requisition for ownership or use by the United States in case of national emergency or national defense need.</w:t>
      </w:r>
    </w:p>
    <w:p>
      <w:pPr>
        <w:spacing w:after="0" w:line="143"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The Merchant Marine Act of 1936 provides that, during a national emergency declared by presidential proclamation or a period for which the U.S. President has proclaimed that the security of the national defense makes it advisable, the Secretary of Transportation may requisition the ownership or use of any vessel owned by U.S. citizens (which includes the Company) and any vessel under construction in the U.S. If any of the Company’s vessels were purchased or chartered by the federal government under this law, the Company would be entitled to just compensation, which is generally the fair market value of the vessel in the case of a purchase or, in the case of a charter, the fair market value of charter hire, but the Company would not be entitled to compensation for any consequential damages it may suffer. The purchase or charter for an extended period of time by the federal government of one or more of the Company’s vessels under this law could have a material adverse effect on the Company’s business, financial position, results of operations, cash flows and growth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Company may not be fully indemnified by its customers for damage to their property or the property of their other contractors.</w:t>
      </w:r>
    </w:p>
    <w:p>
      <w:pPr>
        <w:spacing w:after="0" w:line="19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The Company’s contracts are individually negotiated, and the levels of indemnity and allocation of liabilities in them can vary from contract to contract depending on market conditions, particular customer requirements and other factors existing at the time a contract is negotiated. Additionally, the enforceability of indemnification provisions in the Company’s contracts may be limited or prohibited by applicable law or may not be enforced by courts having jurisdiction, and the Company could be held liable for substantial losses or damages and for fines and penalties imposed by regulatory authorities. The indemnification provisions of the Company’s contracts may be subject to differing interpretations, and the laws or courts of certain jurisdictions may enforce such provisions while other laws or courts may find them to be unenforceable, void or limited by public policy considerations, including when the cause of the underlying loss or damage is the Company’s gross negligence or willful misconduct, when punitive damages are attributable to the Company or when fines or penalties are imposed directly against the Company. The law with respect to the enforceability of indemnities varies from jurisdiction to jurisdiction. Current or future litigation in particular jurisdictions, whether or not the Company is a party, may impact the interpretation and enforceability of indemnification provisions in the Company’s contracts. There can be no assurance that the Company’s contracts with its customers, suppliers and subcontractors will fully protect the Company against all hazards and risks inherent in its operations. There can also be no assurance that those parties with contractual obligations to indemnify the Company will be financially able to do so or will otherwise honor their contractual obligations.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sell vessels to improve its cash flow and liquidity because it may be unable to locate buyers with access to financing or to complete any sales on acceptable terms or within a reasonable time frame.</w:t>
      </w:r>
    </w:p>
    <w:p>
      <w:pPr>
        <w:spacing w:after="0" w:line="130"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The Company may seek to sell some of its vessels to provide liquidity and cash flow. However, given the current downturn in the oil and natural gas industry, there may not be sufficient activity in the market to sell the Company’s vessels and the Company may not be able to identify buyers with access to financing or to complete any such sales. Even if the Company is able to locate appropriate buyers for its vessels, any sales may occur on less favorable terms than the terms that might be available in a more liquid market or at other times in the business cycle. In addition, the terms of the Company’s current and future indebtedness may limit its ability to sell assets, including vessels, or require that it use the proceeds from any such sale in specified manner.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collect amounts owed to it by its customers.</w:t>
      </w:r>
    </w:p>
    <w:p>
      <w:pPr>
        <w:spacing w:after="0" w:line="18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Company typically grants its customers credit on a short-term basis. Related credit risks are inherent as the Company does not typically collateralize receivables due from customers. In addition, many of its international customers are state controlled and, as a result, the Company’s receivables may be subject to local political priorities, which are out of the Company’s control. The Company provides estimates for uncollectible accounts based primarily on its judgment using historical losses, current economic conditions and individual evaluations of each customer as evidence supporting the receivables valuations stated on the Company’s financial statements. However, the Company’s receivables valuation estimates may not be accurate and receivables due from customers reflected in its financial statements may not be collectible. The Company’s inability to perform under its contractual obligations, or its customers’ inability or unwillingness to fulfill their contractual commitments to the Company, may have a material adverse effect on the Company’s business, financial position, results of operations, cash flows and growth prospects.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participates in joint ventures, and its investments in joint ventures could be adversely affected by its lack of sole decision-making authority and disputes between its partners and itself.</w:t>
      </w:r>
    </w:p>
    <w:p>
      <w:pPr>
        <w:spacing w:after="0" w:line="143"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Company participates in domestic and international joint ventures to further expand its capabilities, share risks and gain access to local markets. Due to the nature of joint venture arrangements, the Company does not unilaterally control the operating, strategic and financial policies of these business ventures. Decisions are often made on a collective basis, including the purchase and sale of assets, charter arrangements with customers and management of cash, including cash distributions to partners. In addition, joint ventures can often require unanimous approval of the parties to the joint venture or their representatives for certain fundamental decisions, which means that each joint venture party may have a veto right with respect to such decisions, which could lead to deadlock in the operations of the joint venture or partnership. Decisions made by the managers or the boards of these entities may not always be the decision that is most beneficial to the Company as one of the equity holders of the entity and may be contrary to the Company’s objectives and may limit the Company’s ability to transfer its interests. Investments in joint ventures involve risks that would not be present were a third-party not involved, including the possibility that the Company’s co-ventures might become bankrupt or fail to fund their share of required capital contributions. Any failure of such other companies to meet their obligations to the Company or to third-parties, or any disputes with respect to the parties’ respective rights and obligations, could have a material adverse effect on the joint ventures or their properties and, in turn, could have a material adverse effect on the Company’s business, financial position, results of operations, cash flows and growth prospects.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The Company’s participation in industry-wide, multi-employer, defined benefit pension plans expose it to potential future losses.</w:t>
      </w:r>
    </w:p>
    <w:p>
      <w:pPr>
        <w:spacing w:after="0" w:line="198"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Certain of the Company’s subsidiaries are participating employers in two industry-wide, multi-employer defined benefit pension plans in the U.K., namely, the U.K. Merchant Navy Officers Pension Fund (“MNOPF”) and the U.K. Merchant Navy Ratings Pension Fund (“MNRPF”). Among other risks associated with multi-employer plans, contributions and unfunded obligations of the multi-employer plan are shared by the plan participants. As a result, the Company may inherit unfunded obligations if other plan participants withdraw from the plan or cease to participate, and in the event that the Company withdraws from participation in one or both of these plans, it may be required to pay the plan an amount based on its allocable share of the underfunded status of the plan. Depending on the results of future actuarial valuations, it is possible that the plans could experience further deficits that will require funding from the Company, which would negatively impact its financial position,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may adversely impact the Company.</w:t>
      </w:r>
    </w:p>
    <w:p>
      <w:pPr>
        <w:spacing w:after="0" w:line="185"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Media coverage and public statements that insinuate improper actions by the Company, regardless of their factual accuracy or truthfulness, may result in negative publicity, litigation or governmental investigations by regulators. Addressing negative publicity and any resulting litigation or investigations may distract management, increase costs and divert resources. Negative publicity may have an adverse impact on the Company’s reputation and the morale of its employees, which could materially adversely affect its business, financial position, results of operations, cash flows and growth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operations are subject to certain foreign currency, interest rate, fixed-income, equity and commodity price risks.</w:t>
      </w:r>
    </w:p>
    <w:p>
      <w:pPr>
        <w:spacing w:after="0" w:line="185"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The Company is exposed to certain foreign currency, interest rate, fixed-income, equity and commodity price risks and, although some of these risks may be hedged, fluctuations could impact its financial position and its results of operations. The Company has, and anticipates that it will continue to have, contracts denominated in foreign currencies. It is often not practicable for the Company to effectively hedge the entire risk of significant changes in currency rates during a contract period. The Company’s financial position, results of operations and cash flows have been negatively impacted for certain periods and positively impacted for other periods, and may continue to be affected to a material extent by the impact of foreign currency exchange rate fluctuations. For example, strengthening of the U.S. dollar could give rise to reduced prices from shipyards and incentivize additional investment in new equipment notwithstanding the current state of such market. The Company’s financial position, results of operations and cash flows may also be affected by the cost of hedging activities that it undertakes. Volatility in the financial markets and overall economic uncertainty also increase the risk that the actual amounts realized in the future on the Company’s debt and equity instruments could differ significantly from the fair values currently assigned to them. In addition, changes in interest rates may have a material adverse effect on the Company’s business, financial position, results of operations, cash flows and growth prospects. Specifically, rising interest rates, including a potential rapid rise in interest rates, could increase the Company’s cost of capital.</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customers that operate wind farms may rely on tax and other government incentives, the loss of which could adversely affect their business and liquidity, and in turn the Company’s operations that support these customers.</w:t>
      </w:r>
    </w:p>
    <w:p>
      <w:pPr>
        <w:spacing w:after="0" w:line="143"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Company’s customers in the North Sea and elsewhere that operate wind farms may rely on government policies that support renewable energy and enhance the economic feasibility of wind farms, as well as other renewable energy projects. These policies may provide tax and other incentives to owners and operators of these projects. These tax incentives may have a significant impact on various customers' revenues and budgets each year, and therefore on their ability to operate their business, expand their operations or hire offshore service providers. Should any such tax or other incentives be modified, amended or repealed to minimize or eliminate the current levels of benefits offered, it may decrease the need for offshore service providers, which could adversely affect the Company’s business, financial position, results of operations, cash flows and growth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engages in hedging activities which exposes it to risks.</w:t>
      </w:r>
    </w:p>
    <w:p>
      <w:pPr>
        <w:spacing w:after="0" w:line="18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For corporate purposes and also as part of its trading activities, the Company has in the past and may in the future use futures and swaps to hedge risks, such as escalation in fuel costs and movements in foreign exchange rates and interest rates. Such activities can themselves result in losses when a position is purchased in a declining market or a position is sold in a rising market. The Company may also purchase inventory in larger than usual levels to lock in costs when it believes there may be large increases in the price of raw materials or other material used in its business. Such purchases expose the Company to risks of meeting margin calls and drawing on its capital, counter-party risk due to failure of an exchange or institution with which it has entered into a swap, incurring higher costs than competitors or similar businesses that do not engage in such strategies, and losses on its investment portfolio. Such strategies can also cause earnings to be volatile. If the Company fails to offset such volatility, this could have a material adverse effect on the Company’s business, financial position, results of operations, cash flows and growth prospects.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final impacts of the Tax Cuts and Jobs Act could be materially different from the Company’s current estimates.</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On December 22, 2017, the Tax Cuts and Jobs Act was signed into law (the “Tax Act”). The Tax Act introduced significant changes to the Internal Revenue Code of 1986, as amended. The Company continues to examine the impact the Tax Act may have on its business. Notwithstanding the reduction in the federal corporate income tax rate from 35% to 21% as a result of Tax Act, the estimated impact of the new law is based on management’s current knowledge and assumptions and recognized impacts could be materially different from current estimates based upon the Company’s further analysis of the new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8" w:name="page29"/>
    <w:bookmarkEnd w:id="28"/>
    <w:p>
      <w:pPr>
        <w:jc w:val="both"/>
        <w:ind w:firstLine="761"/>
        <w:spacing w:after="0" w:line="264" w:lineRule="auto"/>
        <w:rPr>
          <w:sz w:val="20"/>
          <w:szCs w:val="20"/>
          <w:color w:val="auto"/>
        </w:rPr>
      </w:pPr>
      <w:r>
        <w:rPr>
          <w:rFonts w:ascii="Arial" w:cs="Arial" w:eastAsia="Arial" w:hAnsi="Arial"/>
          <w:sz w:val="18"/>
          <w:szCs w:val="18"/>
          <w:color w:val="auto"/>
        </w:rPr>
        <w:t>During the preparation of the 2017 federal income tax return, the Company’s management had overestimated the available foreign taxes that could be credited against the 2017 transition tax. This resulted in an additional tax liability of $3.4 million on its 2017 federal income tax return. This additional liability was recorded as a return-to-provision adjustment to tax expense during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inability to attract and retain qualified personnel and crew its vessels could have an adverse effect on its business.</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Attracting and retaining skilled personnel is an important factor in the Company’s future success. In addition, the success of the Company is dependent upon its ability to adequately crew its vessels. The market for qualified personnel is highly competitive and the Company cannot be certain that it will be successful in attracting and retaining qualified personnel and crewing its vessels in the future. If the Company fails to retain key personnel and hire, train and retain qualified employees, the Company may not be able to compete effectively and may have increased incident rates as well as regulatory and other compliance failures, which could have a material adverse effect on the Company’s business, financial position, results of operations, cash flows and growth prospects.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success depends on key members of its management, the loss of whom could disrupt its business operations.</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 depends to a large extent on the efforts and continued employment of its executive officers and key management personnel. It does not maintain key-man insurance. The loss of services of one or more of its executive officers or key management personnel could have a material adverse effect on the Company’s business, financial position, results of operations, cash flows and growth prospects.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employees are covered by federal laws that may subject it to job-related claims in addition to those provided by state laws.</w:t>
      </w:r>
    </w:p>
    <w:p>
      <w:pPr>
        <w:spacing w:after="0" w:line="19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Some of the Company’s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based on tort theories. Because the Company is not generally protected by the damage limits imposed by state workers’ compensation statutes for these types of claims, it may have greater exposure for any claims made by these employees.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relies on information technology, and if it is unable to protect against service interruptions, data corruption, cyber-based attacks or network security breaches, its operations could be disrupted and its business could be negatively affected.</w:t>
      </w:r>
    </w:p>
    <w:p>
      <w:pPr>
        <w:spacing w:after="0" w:line="130"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The Company relies on information technology networks and systems, including the Internet and cloud services, to process, transmit and store electronic and financial information, manage a variety of business processes and activities, and comply with regulatory, legal and tax requirements. The Company also depends on its information technology infrastructure to capture knowledge of its business including its vessel operation systems containing information about vessel positioning and scheduling; to monitor its vessel maintenance and engine systems; to coordinate its business across its bases of operation including cargo delivery and equipment tracking; and to communicate within its organization and with customers, suppliers, partners and other third-parties. The Company’s ability to service customers and operate vessels is dependent on the continued operation of these systems. While the Company takes various precautions and has enhanced controls around its systems, its technology systems are susceptible to damage, disruptions or shutdowns, hardware or software failures, power outages, computer viruses, telecommunication failures, user errors, catastrophic events, or cyber-attacks including malware, other malicious software, phishing email attacks, attempts to gain unauthorized access to its data, the unauthorized release, corruption or loss of its data, loss or damage to its data delivery systems, ransomware, and other electronic security breaches.</w:t>
      </w:r>
    </w:p>
    <w:p>
      <w:pPr>
        <w:spacing w:after="0" w:line="129"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The Company’s information technology systems are in some cases integrated, so damage, disruption or shutdown to the system could result in a more widespread impact. If the Company’s information technology systems suffer severe damage, disruption or shutdown, and its business continuity plans do not effectively resolve the issues in a timely manner, the Company’s operations could be disrupted and its business could be negatively affected. In addition, cyber-attacks could lead to potential unauthorized access and disclosure of confidential information, data loss and corruption. There is no assurance that the Company will not experience these service interruptions or cyber-attacks in the future. Recent action by the IMO’s Maritime Safety Committee and U.S. agencies indicate that cybersecurity regulations for the maritime industry are likely to be further developed in the near future in an attempt to combat cybersecurity threats. The Company is unable to predict the impact of such regulations at this time. Further, as the threat of cyber-attacks continues to grow, the Company may be required to expend additional resources to continue to modify or enhance its protective measures or to investigate and remediate any vulnerabilities to cyber-attacks. The Company has adopted flag-state vessel security plans to comply with the IMO regulations that are going into effect in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9" w:name="page30"/>
    <w:bookmarkEnd w:id="29"/>
    <w:p>
      <w:pPr>
        <w:jc w:val="both"/>
        <w:ind w:firstLine="761"/>
        <w:spacing w:after="0" w:line="254" w:lineRule="auto"/>
        <w:rPr>
          <w:sz w:val="20"/>
          <w:szCs w:val="20"/>
          <w:color w:val="auto"/>
        </w:rPr>
      </w:pPr>
      <w:r>
        <w:rPr>
          <w:rFonts w:ascii="Arial" w:cs="Arial" w:eastAsia="Arial" w:hAnsi="Arial"/>
          <w:sz w:val="18"/>
          <w:szCs w:val="18"/>
          <w:color w:val="auto"/>
        </w:rPr>
        <w:t>Further, data protection laws apply to the Company in certain countries in which the Company does business. Specifically, the E.U. General Data Protection Regulation (the “GDPR”), increased penalties up to a maximum of 4% of global annual turnover for breach of the regulation. The GDPR requires mandatory breach notification, the standard for which is also followed outside the E.U., particularly in Asia. Non-compliance with data protection laws could expose the Company to regulatory investigations, which could result in fines and penalties. In addition to imposing fines, regulators may also issue orders to stop processing personal data, which could disrupt operations. The Company could also be subject to litigation from persons or corporations allegedly affected by data protection violations. Violation of data protection laws is a criminal offence in some countries, and individuals can be imprisoned or fined. Any violation of these laws or harm to the Company’s reputation could have a material adverse effect on the Company’s business, financial condition,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faces risks related to health epidemics and other outbreaks, which could significantly disrupt the Company’s operations.</w:t>
      </w:r>
    </w:p>
    <w:p>
      <w:pPr>
        <w:spacing w:after="0" w:line="196"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Our business could be adversely affected by the effects of a widespread outbreak of contagious disease. For instance, the recent outbreak of respiratory illness caused by COVID-19, a novel coronavirus, first identified in Wuhan, Hubei Province, China, has caused delays in delivery of new build vessels and related crew preparation activities. We are currently monitoring the situation, but at this point cannot predict when the deliveries in question will be made. Historical outbreaks of Ebola in West Africa have also affected crewing and other aspects of the business, including implementation of precautions to protect the health and safety of crew and other personnel during the outbreaks. Any further outbreak of contagious diseases and other adverse public health developments, or the fear of such events, may cause similar issues or require additional restrictions and precautionary measures to be put in place. Any such restrictions or precautionary measures may curtail travel or impact the delivery of vessels to and from certain countries, or geographic regions, or the ability to crew vessels appropriately. Any prolonged disruption of our delivery schedule would likely impact our sales and operating results. We may also experience impacts to certain of our crews as a result of a health epidemic or other outbreak, which may materially and adversely affect our business, financial condition and results of operations. In addition, to the extent an outbreak of any such diseases cause a deterioration of the global economy it could impact oil and gas prices, which in turn could impact our business.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comply with new ballast water treatment requirements, the Company will have to install expensive ballast water treatment systems and modify its vessels to accommodate such systems.</w:t>
      </w:r>
    </w:p>
    <w:p>
      <w:pPr>
        <w:spacing w:after="0" w:line="14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The International Convention for the Control and Management of Ships’ Ballast Water and Sediments (the “BWM Convention”), adopted by the UN International Maritime Organization in February 2004, calls for the prevention, reduction or elimination of the transfer of harmful aquatic organisms and pathogens through the control and management of ships' ballast water and sediments. The BWM Convention entered into force on September 8, 2017, with all vessels having to comply by 2024. In order to comply with these living organism limits, vessel owners will have to install expensive ballast water treatment systems and modify existing vessels to accommodate those systems or make port facility disposal arrangements, which may have a material impact on the Company’s business, financial condition and results of operations, depending on the cost of available ballast water treatment systems and the extent to which existing vessels or vessels under construction must be modified to accommodate such systems.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Spin-off</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and SEACOR Holdings rely on each other’s performance under various agreements entered into in connection with the Spin-off and may have indemnification and other liabilities related thereto.</w:t>
      </w:r>
    </w:p>
    <w:p>
      <w:pPr>
        <w:spacing w:after="0" w:line="13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has entered into various agreements with SEACOR Holdings in connection with the Spin-off, including two Transition Services Agreements, a Distribution Agreement, a Tax Matters Agreement and an Employee Matters Agreement. These agreements govern the Company’s relationship with SEACOR Holdings subsequent to the Spin-off including administrative and similar services that each company will provide to the other under the Transition Services Agreements. It is possible that if SEACOR Holdings were to fail to fulfill its obligations under these agreements the Company could suffer operational difficulties or significant losses.</w:t>
      </w:r>
    </w:p>
    <w:p>
      <w:pPr>
        <w:spacing w:after="0" w:line="148"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If the Company is required to indemnify SEACOR Holdings for certain liabilities and related losses arising in connection with any of these agreements, the Company may be subject to substantial liabilities, which could materially adversely affect its financial position. Specifically, pursuant to the Distribution Agreement, the Company and SEACOR Holdings are required to use their commercially reasonable efforts to cause SEACOR Holdings to be released from any guarantees it has given to third-parties on the Company’s behalf or on behalf of the Company’s 50% or less owned companies. If SEACOR Holdings is not released under any of these guarantees, the Company is required to indemnify SEACOR Holdings for any liabilities incurred as a guarantor. As of December 31, 2019, the aggregate amount of obligations that SEACOR Holdings has guaranteed on the Company’s behalf was $22.8 million. Under the Distribution Agreement, the Company must pay SEACOR Holdings a fee of 0.5% per annum of the aggregate amount of guaranteed by SEACOR Holdings.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0" w:name="page31"/>
    <w:bookmarkEnd w:id="30"/>
    <w:p>
      <w:pPr>
        <w:jc w:val="both"/>
        <w:ind w:firstLine="761"/>
        <w:spacing w:after="0" w:line="264" w:lineRule="auto"/>
        <w:rPr>
          <w:sz w:val="20"/>
          <w:szCs w:val="20"/>
          <w:color w:val="auto"/>
        </w:rPr>
      </w:pPr>
      <w:r>
        <w:rPr>
          <w:rFonts w:ascii="Arial" w:cs="Arial" w:eastAsia="Arial" w:hAnsi="Arial"/>
          <w:sz w:val="18"/>
          <w:szCs w:val="18"/>
          <w:color w:val="auto"/>
        </w:rPr>
        <w:t>Under the terms of the Transition Services Agreements, the Company and SEACOR Holdings provide each other with certain support services on an interim basis following the Spin-off. Other than certain limited database access fees and administrative services between the Company and SEACOR Holdings, the interim support services terminated two years following the Spin-off.</w:t>
      </w:r>
    </w:p>
    <w:p>
      <w:pPr>
        <w:spacing w:after="0" w:line="154"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While the Company’s dependence on support services provided by SEACOR Holdings has been significantly reduced, the Company cannot assure investors that the replaced services will be performed by the Company or an appropriate third-party as efficiently or proficiently, or on comparable terms, as such services were performed by SEACOR Holdings. Further, if the Company fails to perform under the SEACOR Marine Transition Services Agreement, depending upon the circumstance surrounding the failure, it may become liable to SEACOR Holdings for damages.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there is a determination that the Spin-off was taxable for U.S. federal income tax purposes because the facts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assumptions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representations or undertakings underlying the tax opinion were incorrect or for any other reason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then SEACOR Holdings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its stockholders that are subject to U.S. federal income tax and SEACOR Marine could incur significant U.S. federal income tax liabilities.</w:t>
      </w:r>
    </w:p>
    <w:p>
      <w:pPr>
        <w:spacing w:after="0" w:line="12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In connection with the Spin-off, SEACOR Holdings received an opinion of its counsel, Milbank LLP (f/k/a Milbank, Tweed, Hadley &amp; McCloy LLP), substantially to the effect that the Spin-off qualifies as a transaction that is described in Section 355 of the Code. The opinion relied on certain facts, assumptions, representations and undertakings from SEACOR Holdings and the Company regarding the past and future conduct of the companies’ respective businesses and other matters. If any of these facts, assumptions, representations or undertakings were incorrect, SEACOR Holdings and its stockholders may not be able to rely on the opinion of counsel and could be subject to significant tax liabilities. Notwithstanding the opinion of counsel, the Internal Revenue Services ("IRS") could determine on audit that the Spin-off was taxable if it determines that any of these facts, assumptions, representations or undertakings were not correct or had been violated or if it disagrees with the conclusions in the opinion, or for other reasons, including as a result of certain significant changes in the stock ownership of SEACOR Holdings or SEACOR Marine after the Spin-off. If the Spin-off is determined to be taxable, SEACOR Holdings, its stockholders that are subject to U.S. federal income tax and the Company could incur significant U.S. federal income tax liabilities.</w:t>
      </w:r>
    </w:p>
    <w:p>
      <w:pPr>
        <w:spacing w:after="0" w:line="14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Prior to the Spin-off, the Company and SEACOR Holdings entered into the Tax Matters Agreement that governs the parties' respective rights, responsibilities and obligations with respect to taxes, tax attributes, the preparation and filing of tax returns, the control of audits and other tax proceedings and assistance and cooperation in respect of tax matters. Taxes relating to or arising out of the failure of the Spin-off to qualify as a tax-free transaction for U.S. federal income tax purposes are the responsibility of SEACOR Holdings, except, in general, if such failure is attributable to the Company’s action or inaction or SEACOR Holdings’ action or inaction.</w:t>
      </w:r>
    </w:p>
    <w:p>
      <w:pPr>
        <w:spacing w:after="0" w:line="148"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 Company’s obligations under a Tax Matters Agreement are not limited in amount or subject to any cap. Further, even if the Company is not responsible for tax liabilities of SEACOR Holdings and its subsidiaries under the Tax Matters Agreement, the Company nonetheless could be liable under applicable tax law for such liabilities if SEACOR Holdings were to fail to pay them. If the Company is required to pay any liabilities under the circumstances set forth in the Tax Matters Agreement or pursuant to applicable tax law, the amounts may be significant.</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Factors Related to the Company’s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stock price may fluctuate significantly, and investors may not be able to sell their shares at an attractive price.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trading price of the Company’s Common Stock may be volatile and subject to wide price fluctuations in response to various factors including:</w:t>
      </w:r>
    </w:p>
    <w:p>
      <w:pPr>
        <w:spacing w:after="0" w:line="208" w:lineRule="exact"/>
        <w:rPr>
          <w:sz w:val="20"/>
          <w:szCs w:val="20"/>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capital structure and liquidity;</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commodity prices and in particular prices of oil and natural gas;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the Company’s quarterly financial condition and results of operations;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of new equipment or services by the Company or its competitors;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84" w:lineRule="exact"/>
        <w:rPr>
          <w:rFonts w:ascii="Arial" w:cs="Arial" w:eastAsia="Arial" w:hAnsi="Arial"/>
          <w:sz w:val="18"/>
          <w:szCs w:val="18"/>
          <w:color w:val="auto"/>
        </w:rPr>
      </w:pPr>
    </w:p>
    <w:p>
      <w:pPr>
        <w:ind w:left="1140" w:right="20" w:hanging="376"/>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and sales of large blocks of the Company’s Common Stock and the frequency and volume with which the Common Stock trades on the New York Stock Exchange;</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1" w:name="page32"/>
    <w:bookmarkEnd w:id="31"/>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for oil;</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and natural gas production levels by non-OPEC countries;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These and other factors may cause the market price and demand for the Company’s Common Stock to fluctuate substantially, which may limit or prevent investors from readily selling their shares of the Company’s Common Stock and may otherwise negatively affect the liquidity of the Company’s Common Stock. In addition, in the past, when the market price of a stock has been volatile, holders of that stock have sometimes instituted securities class action litigation against the Company that issued the stock. If any of the Company’s stockholders were to bring a lawsuit against it, the Company could incur substantial costs defending the lawsuit. Such a lawsuit could also divert the time and attention of the Company’s management from its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investor’s percentage of ownership in the Company may be diluted in the future.</w:t>
      </w:r>
    </w:p>
    <w:p>
      <w:pPr>
        <w:spacing w:after="0" w:line="185"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As with any publicly traded company, an investor’s percentage ownership in the Company may be diluted in the future because of equity issuances for acquisitions, capital market transactions or otherwise, including equity awards that the Company has and will continue to grant to its directors, officers and employees. For instance, in April 2018, the Company issued 2,168,586 shares of Common Stock, and warrants to purchase 674,164 shares of Common Stock at a purchase price of $0.01 per share, in a private placement for cash, and in January 2019, the Company issued 603,872 shares of Common Stock in a private placement to purchase three fast support vessels. In addition, an investor’s percentage ownership in the Company will be diluted if any of the holders of the Convertible Senior Notes exercise their right to convert the principal amount of their outstanding notes, in whole or in part, into shares of the Company’s Common Stock. Holders of the Convertible Senior Notes are entitled to convert the principal amount of their outstanding notes into shares of the Company’s Common Stock at an initial conversion rate of 23.26 shares of the Company’s Common Stock per $1,000 principal amount of the Convertible Senior Notes through November 29, 2022. The Company has granted the holders of the Convertible Senior Notes certain registration rights to assist them with the sale of Common Stock issuable upon conversion of such notes. Any substantial issuance of the Company’s Common Stock, including Common Stock issuable upon the conversion of the Convertible Senior Notes, could significantly affect the trading price of the Company’s Common Stock.</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the Company’s business, if they adversely change their recommendations regarding the Company’s stock or if the Company’s results of operations do not meet their expectations, the Company’s stock price and trading volume could decline.</w:t>
      </w:r>
    </w:p>
    <w:p>
      <w:pPr>
        <w:spacing w:after="0" w:line="154"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trading market for the Company’s Common Stock is influenced by the research and reports that industry or securities analysts publish about the Company or its business. If one or more of these analysts cease coverage of the Company or fail to publish reports on the Company regularly, the Company could lose visibility in the financial markets, which in turn could cause its stock price or trading volume to decline. Moreover, if one or more of the analysts who cover the Company downgrade recommendations regarding the Company’s stock, or if the Company’s results of operations do not meet their expectations, the Company’s stock price could decline and such decline could be material.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For as long as the Company is an “Emerging Growth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it will be exempt from certain reporting requirements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those relating to accounting standards and disclosure about its executive compensation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that apply to other public companies.</w:t>
      </w:r>
    </w:p>
    <w:p>
      <w:pPr>
        <w:spacing w:after="0" w:line="143"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In April 2012, the JOBS Act was signed into law. The JOBS Act contains provisions that, among other things, relax certain reporting requirements for “Emerging Growth Companies,” including certain requirements relating to accounting standards and compensation disclosure. The Company is classified as an “Emerging Growth Company,” which is defined as a company with annual gross revenues of less than $1 billion, that has been a public reporting company for a period of less than five years, and that does not have a public float of $700 million or more in securities held by non-affiliated holders. For as long as the Company is an “Emerging Growth Company,” which may be up to five fiscal years, unlike other public companies, unless the Company elects not to take advantage of applicable JOBS Act provisions, it will not be required to (i) provide an auditor’s attestation report on management’s assessment of the effectiveness of its system of internal control over financial reporting pursuant to Section 404 of the Sarbanes-Oxley Act, (ii) comply with any new or revised financial accounting standards applicable to public companies until such standards are also applicable to private companies under Section 102(b)(1) of the JOBS Act, (iii) comply with any new requirements adopted by the Public Company Accounting Oversight Board (the “PCAOB”), such as requiring mandatory audit firm rotation or a supplement to the auditor’s report in which the auditor would be required to provide additional information about the audit and the financial statements of the issuer, (iv) comply with any new audit rules adopted by the PCAOB after April 5, 2012 unless the SEC determines otherwise, (v) provide certain disclosure regarding executive compensation required of larger public companies or (vi) hold stockholder advisory and other votes on executive compensation. The Company cannot predict if investors will find its Common Stock less attractive if it chooses to rely on these exemptions. If some investors find the Company’s Common Stock less attractive as a result of any choices to reduce future disclosure, there may be a less active trading market for the Company’s Common Stock and its stock price may be more volatile.</w:t>
      </w:r>
    </w:p>
    <w:p>
      <w:pPr>
        <w:spacing w:after="0" w:line="12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noted above, under the JOBS Act, “Emerging Growth Companies" can delay adopting new or revised accounting standards that have different effective dates for public and private companies until such time as those standards apply to private companies. The Company elected not to take advantage of such extended transition period, which election is irrevocable pursuant to Section 107 of the JOBS Act.</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is obligated to develop and maintain proper and effective internal control over financial reporting and is subject to other requirements that will be burdensome and costly.</w:t>
      </w:r>
    </w:p>
    <w:p>
      <w:pPr>
        <w:spacing w:after="0" w:line="143"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The Company has historically operated its business as a segment of a public company. As a separate company, it is required to file with the SEC annual and quarterly information and other reports that are specified in Section 13 of the Exchange Act. The Company is also required to ensure that it has the ability to prepare financial statements that are fully compliant with all SEC reporting requirements on a timely basis. In addition, the Company is subject to other reporting and corporate governance requirements, including the requirements of the NYSE, and certain provisions of the Sarbanes-Oxley Act and the regulations promulgated thereunder, which impose significant compliance obligations upon the Company. As a public company, the Company is required to:</w:t>
      </w:r>
    </w:p>
    <w:p>
      <w:pPr>
        <w:spacing w:after="0" w:line="118" w:lineRule="exact"/>
        <w:rPr>
          <w:sz w:val="20"/>
          <w:szCs w:val="20"/>
          <w:color w:val="auto"/>
        </w:rPr>
      </w:pPr>
    </w:p>
    <w:p>
      <w:pPr>
        <w:ind w:left="1140" w:right="2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its obligations under the federal securities laws and NYSE rules;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expand the roles and duties of its board of directors and committees of the board of directors;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supplement its internal accounting and auditing function, including hiring additional staff with expertise in accounting and financial reporting for a public company;</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the Company’s accounting periods;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the Company’s internal audit function;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the Company’s investor relations function;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85"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These changes require a significant commitment of additional resources, including increased auditing and legal fees and costs associated with hiring additional accounting and administrative staff. The Company may not be successful in fully and efficiently implementing these requirements and implementing them could materially adversely affect its business, financial position, results of operations, cash flows and growth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over financial reporting in accordance with Section 404 could have a material adverse effect on the Company.</w:t>
      </w:r>
    </w:p>
    <w:p>
      <w:pPr>
        <w:spacing w:after="0" w:line="143"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Company’s internal controls were initially developed when it was a subsidiary of SEACOR Holdings; however, Section 404 of the Sarbanes-Oxley Act (“Section 404”) requires the Company to establish effective internal controls over financial reporting and disclosure controls and procedures pursuant to Section 404 and to assess the effectiveness of such controls beginning with the fiscal year ended December 31, 2018.</w:t>
      </w:r>
    </w:p>
    <w:p>
      <w:pPr>
        <w:spacing w:after="0" w:line="12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48"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Provisions in the Company’s Third Amended and Restated Certificate of Incorporation and Third Amended and Restated By-Laws, and Delaware law may discourage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delay or prevent a change of control of the Company or changes in the Company’s management and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therefore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may depress the trading price of its Common Stock.</w:t>
      </w:r>
    </w:p>
    <w:p>
      <w:pPr>
        <w:spacing w:after="0" w:line="14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Company’s Third Amended and Restated Certificate of Incorporation and Third Amended and Restated By-Laws include certain provisions that could have the effect of discouraging, delaying or preventing a change of control of the Company or changes in its management, including, among other things:</w:t>
      </w:r>
    </w:p>
    <w:p>
      <w:pPr>
        <w:spacing w:after="0" w:line="141" w:lineRule="exact"/>
        <w:rPr>
          <w:sz w:val="20"/>
          <w:szCs w:val="20"/>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ability of the Company’s stockholders to fill a vacancy on the board of directors;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related to the ability of non-U.S. citizens owning the Company’s Common Stock;</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ability to issue preferred stock with terms that the board of directors may determine,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196" w:lineRule="exact"/>
        <w:rPr>
          <w:rFonts w:ascii="Arial" w:cs="Arial" w:eastAsia="Arial" w:hAnsi="Arial"/>
          <w:sz w:val="17"/>
          <w:szCs w:val="17"/>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the Company.</w:t>
      </w:r>
    </w:p>
    <w:p>
      <w:pPr>
        <w:spacing w:after="0" w:line="13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These provisions in the Company’s Third Amended and Restated Certificate of Incorporation and Third Amended and Restated By-Laws may discourage, delay or prevent a transaction involving a change in control of the Company that is in the best interest of its stockholders. Even in the absence of a takeover attempt, the existence of these provisions may adversely affect the prevailing market price of the Company’s Common Stock if they are viewed as discouraging future takeover attempts.</w:t>
      </w:r>
    </w:p>
    <w:p>
      <w:pPr>
        <w:spacing w:after="0" w:line="160"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Company’s Third Amended and Restated By-Laws provide that, unless the Company otherwise consents in writing to an alternative forum, the Court of Chancery located in the State of Delaware is the sole and exclusive forum for any derivative action or proceeding brought on behalf of the Company, any action asserting a claim of breach of a fiduciary duty owed by any director, officer or employee of the Company to itself or to its stockholders, any action asserting a claim arising pursuant to any provision of the DGCL, or any action asserting a claim governed by the internal affairs doctrine.</w:t>
      </w:r>
    </w:p>
    <w:p>
      <w:pPr>
        <w:spacing w:after="0" w:line="100"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Company’s Third Amended and Restated By-Laws provide that, unless the Company otherwise consents in writing to an alternative forum, the Court of Chancery located in the State of Delaware is the sole and exclusive forum for any derivative action or proceeding brought on behalf of the Company, any action asserting a claim of breach of a fiduciary duty owed by any director, officer or employee of the Company to itself or to its stockholders, any action asserting a claim arising pursuant to any provision of the DGCL, or any action asserting a claim governed by the internal affairs doctrine. This provision may limit a stockholder’s ability to bring a claim in a judicial forum that it finds favorable for disputes with the Company or its directors, officers, employees or other stockholders, which may discourage such lawsuits against the Company and its directors, officers, employees or other stockholders. Alternatively, if a court were to find this provision in the Company’s Third Amended and Restated By-Laws to be inapplicable or unenforceable in an action, the Company may incur additional costs associated with resolving such action in other jurisdictions, which could adversely affect its business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Company does not expect to pay dividends to holders of its Common Stock.</w:t>
      </w:r>
    </w:p>
    <w:p>
      <w:pPr>
        <w:spacing w:after="0" w:line="198"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The Company currently intends to retain its future earnings, if any, for the foreseeable future, to repay indebtedness and to fund the development and growth of its business. The Company does not intend to pay any dividends to holders of its Common Stock. As a result, capital appreciation in the price of the Company’s Common Stock, if any, will be investor's only source of gain or income on an investment in the Company’s Common Stock.</w:t>
      </w:r>
    </w:p>
    <w:p>
      <w:pPr>
        <w:spacing w:after="0" w:line="1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Offshore support vessels are the principal physical properties owned by the Company as more fully described in “Item 1. Business.”</w:t>
      </w:r>
    </w:p>
    <w:p>
      <w:pPr>
        <w:spacing w:after="0" w:line="1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growth prospects.</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89"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Officers of SEACOR Marine serve at the pleasure of the Board of Directors. The name, age and offices held by each of SEACOR Marine’s current executive officers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20"/>
                <w:szCs w:val="20"/>
                <w:color w:val="auto"/>
              </w:rPr>
            </w:pPr>
          </w:p>
        </w:tc>
        <w:tc>
          <w:tcPr>
            <w:tcW w:w="8480" w:type="dxa"/>
            <w:vAlign w:val="bottom"/>
          </w:tcPr>
          <w:p>
            <w:pPr>
              <w:ind w:left="3920"/>
              <w:spacing w:after="0"/>
              <w:rPr>
                <w:sz w:val="20"/>
                <w:szCs w:val="20"/>
                <w:color w:val="auto"/>
              </w:rPr>
            </w:pPr>
            <w:r>
              <w:rPr>
                <w:rFonts w:ascii="Arial" w:cs="Arial" w:eastAsia="Arial" w:hAnsi="Arial"/>
                <w:sz w:val="18"/>
                <w:szCs w:val="18"/>
                <w:b w:val="1"/>
                <w:bCs w:val="1"/>
                <w:color w:val="auto"/>
              </w:rPr>
              <w:t>Position</w:t>
            </w:r>
          </w:p>
        </w:tc>
        <w:tc>
          <w:tcPr>
            <w:tcW w:w="40" w:type="dxa"/>
            <w:vAlign w:val="bottom"/>
          </w:tcPr>
          <w:p>
            <w:pPr>
              <w:spacing w:after="0"/>
              <w:rPr>
                <w:sz w:val="20"/>
                <w:szCs w:val="20"/>
                <w:color w:val="auto"/>
              </w:rPr>
            </w:pPr>
          </w:p>
        </w:tc>
      </w:tr>
      <w:tr>
        <w:trPr>
          <w:trHeight w:val="195"/>
        </w:trPr>
        <w:tc>
          <w:tcPr>
            <w:tcW w:w="40" w:type="dxa"/>
            <w:vAlign w:val="bottom"/>
          </w:tcPr>
          <w:p>
            <w:pPr>
              <w:spacing w:after="0"/>
              <w:rPr>
                <w:sz w:val="16"/>
                <w:szCs w:val="16"/>
                <w:color w:val="auto"/>
              </w:rPr>
            </w:pPr>
          </w:p>
        </w:tc>
        <w:tc>
          <w:tcPr>
            <w:tcW w:w="1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Gellert</w:t>
            </w:r>
          </w:p>
        </w:tc>
        <w:tc>
          <w:tcPr>
            <w:tcW w:w="14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49</w:t>
            </w:r>
          </w:p>
        </w:tc>
        <w:tc>
          <w:tcPr>
            <w:tcW w:w="140" w:type="dxa"/>
            <w:vAlign w:val="bottom"/>
          </w:tcPr>
          <w:p>
            <w:pPr>
              <w:spacing w:after="0"/>
              <w:rPr>
                <w:sz w:val="16"/>
                <w:szCs w:val="16"/>
                <w:color w:val="auto"/>
              </w:rPr>
            </w:pPr>
          </w:p>
        </w:tc>
        <w:tc>
          <w:tcPr>
            <w:tcW w:w="8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President, Chief Executive Officer and a director of SEACOR Marine since June 1, 2017. Prior to the Spin-off, Mr.</w:t>
            </w:r>
          </w:p>
        </w:tc>
        <w:tc>
          <w:tcPr>
            <w:tcW w:w="4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7"/>
              </w:rPr>
              <w:t>Gellert served as the Co-Chief Operating Officer of SEACOR Holdings since February 2015 and President of</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SEACOR Holdings’ Offshore Marine Services segment since July 2005. Mr. Gellert has also held various financial,</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analytical, chartering and marketing roles within SEACOR Holdings since joining in June 1992.  Mr. Gellert is an</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officer and director of certain Company subsidiaries. Mr. Gellert serves as a member of the Executive Committee of</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3"/>
              </w:rPr>
              <w:t>International Support Vessel Owners Association, a member of the Board of Directors of Offshore Marine Service</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6"/>
              </w:rPr>
              <w:t>Association, an ex-officio member of the Executive Committee of National Ocean Industries Association, and a</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7"/>
              </w:rPr>
              <w:t>member of the Executive Council at Cohesive Capital Management, L.P.  Mr. Gellert graduated from Harvard</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College.</w:t>
            </w:r>
          </w:p>
        </w:tc>
        <w:tc>
          <w:tcPr>
            <w:tcW w:w="40" w:type="dxa"/>
            <w:vAlign w:val="bottom"/>
          </w:tcPr>
          <w:p>
            <w:pPr>
              <w:spacing w:after="0"/>
              <w:rPr>
                <w:sz w:val="18"/>
                <w:szCs w:val="18"/>
                <w:color w:val="auto"/>
              </w:rPr>
            </w:pPr>
          </w:p>
        </w:tc>
      </w:tr>
      <w:tr>
        <w:trPr>
          <w:trHeight w:val="216"/>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Jesús Llorca</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Executive Vice President and Chief Financial Officer since April 1, 2018. Prior to his appointment, Mr. Llorca was</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Executive Vice President of Corporate Development since June 1, 2017. Prior to the Spin-off, Mr. Llorca was a Vice</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8"/>
              </w:rPr>
              <w:t>President of SEACOR Holdings since 2007. From 2004 to 2007, Mr. Llorca worked in the corporate group of</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SEACOR Holdings. From 2000 to 2004, Mr. Llorca worked at Nabors Drilling where he held various operational</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and management positions internationally. Mr. Llorca graduated from ICADE with degrees in business and law.</w:t>
            </w:r>
          </w:p>
        </w:tc>
        <w:tc>
          <w:tcPr>
            <w:tcW w:w="40" w:type="dxa"/>
            <w:vAlign w:val="bottom"/>
          </w:tcPr>
          <w:p>
            <w:pPr>
              <w:spacing w:after="0"/>
              <w:rPr>
                <w:sz w:val="18"/>
                <w:szCs w:val="18"/>
                <w:color w:val="auto"/>
              </w:rPr>
            </w:pPr>
          </w:p>
        </w:tc>
      </w:tr>
      <w:tr>
        <w:trPr>
          <w:trHeight w:val="216"/>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Gregory Rossmiller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Senior Vice President and Chief Accounting Officer since April 17, 2018. Prior to his appointment, Mr. Rossmiller</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was the Chief Financial Officer, North America, for Applus Energy and Industry (a division of Applus Services S.A.)</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3"/>
              </w:rPr>
              <w:t>since June 2009. Mr. Rossmiller was Corporate Controller of Pride International from 2005 to 2009, and Controller</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of Nabors Drilling International Limited (a subsidiary of Nabors Industries, Ltd.) from 2000 to 2005 and Assistant</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Controller from 1997 to 2000. Prior to 1997, Mr. Rossmiller held audit positions with Cooper Industries and with the</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7"/>
              </w:rPr>
              <w:t>accounting firm of Deloitte &amp; Touche.  Mr. Rossmiller attended the General Management Program at Harvard</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Business School and received his B.A from the University of Northern Iowa.</w:t>
            </w:r>
          </w:p>
        </w:tc>
        <w:tc>
          <w:tcPr>
            <w:tcW w:w="40" w:type="dxa"/>
            <w:vAlign w:val="bottom"/>
          </w:tcPr>
          <w:p>
            <w:pPr>
              <w:spacing w:after="0"/>
              <w:rPr>
                <w:sz w:val="18"/>
                <w:szCs w:val="18"/>
                <w:color w:val="auto"/>
              </w:rPr>
            </w:pPr>
          </w:p>
        </w:tc>
      </w:tr>
      <w:tr>
        <w:trPr>
          <w:trHeight w:val="216"/>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Anthony Weller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3"/>
              </w:rPr>
              <w:t>Senior Vice President and Managing Director of the International Division since June 1, 2017. Prior to the Spin-off,</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6"/>
              </w:rPr>
              <w:t>Mr. Weller served as Managing Director of SEACOR Holdings' Offshore Marine Services’ International Division</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since 2009. Previously, Mr. Weller held the positions of Vice President of Marketing and Chief Operating Officer for</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the International Division. At predecessor companies Mr. Weller held various commercial roles including marketing,</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8"/>
              </w:rPr>
              <w:t>chartering, sale &amp; purchase, and negotiating partner joint venture agreements, as well as having shipbroking</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experience. With over 40 years of shipping and industry experience, Mr. Weller first joined SEACOR Holdings in</w:t>
            </w: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2005. He is a Master Mariner and received his B.Sc., Nautical Studies from the University of Southampton. He is</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also a member of various industry committees in the Middle East.</w:t>
            </w:r>
          </w:p>
        </w:tc>
        <w:tc>
          <w:tcPr>
            <w:tcW w:w="40" w:type="dxa"/>
            <w:vAlign w:val="bottom"/>
          </w:tcPr>
          <w:p>
            <w:pPr>
              <w:spacing w:after="0"/>
              <w:rPr>
                <w:sz w:val="20"/>
                <w:szCs w:val="20"/>
                <w:color w:val="auto"/>
              </w:rPr>
            </w:pPr>
          </w:p>
        </w:tc>
      </w:tr>
      <w:tr>
        <w:trPr>
          <w:trHeight w:val="418"/>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Andrew H. Everett II</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1"/>
              </w:rPr>
              <w:t>Senior Vice President, General Counsel and Secretary since January 22, 2018. Prior to his appointment, Mr. Everett</w:t>
            </w:r>
          </w:p>
        </w:tc>
        <w:tc>
          <w:tcPr>
            <w:tcW w:w="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was an associate in the Global Corporate Group of Milbank LLP from 2008 until 2018. Mr. Everett received his J.D.</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from Boston College Law School and B.S. from Bentley University.</w:t>
            </w:r>
          </w:p>
        </w:tc>
        <w:tc>
          <w:tcPr>
            <w:tcW w:w="40" w:type="dxa"/>
            <w:vAlign w:val="bottom"/>
          </w:tcPr>
          <w:p>
            <w:pPr>
              <w:spacing w:after="0"/>
              <w:rPr>
                <w:sz w:val="20"/>
                <w:szCs w:val="20"/>
                <w:color w:val="auto"/>
              </w:rPr>
            </w:pPr>
          </w:p>
        </w:tc>
      </w:tr>
      <w:tr>
        <w:trPr>
          <w:trHeight w:val="648"/>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20" w:type="dxa"/>
            <w:vAlign w:val="bottom"/>
            <w:gridSpan w:val="2"/>
          </w:tcPr>
          <w:p>
            <w:pPr>
              <w:jc w:val="right"/>
              <w:ind w:right="551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both"/>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0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SEACOR Marine’s Common Stock began trading on the New York Stock Exchange (“NYSE”) on June 2, 2017 under the trading symbol “SMHI.” The last reported sales price on the Company’s Common Stock on February 28, 2020 was $7.95.</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February 28, 2020, there were 116 holders of record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 Company currently does not intend on paying any dividends for the foreseeable future. Any payment of future dividends will be at the discretion of SEACOR Marine’s Board of Directors and will depend upon, among other factors, the Company’s earnings, financial condition, current and anticipated capital requirements, plans for expansion, level of indebtedness and contractual restrictions, including the provisions of the Company’s other then-existing indebtedness. The payment of future cash dividends, if any, would be made only from assets legally available.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w w:val="91"/>
              </w:rPr>
              <w:t>Issuer Repurchases of Equity Securities</w:t>
            </w: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shared (or units)</w:t>
            </w:r>
          </w:p>
        </w:tc>
        <w:tc>
          <w:tcPr>
            <w:tcW w:w="260" w:type="dxa"/>
            <w:vAlign w:val="bottom"/>
          </w:tcPr>
          <w:p>
            <w:pPr>
              <w:spacing w:after="0"/>
              <w:rPr>
                <w:sz w:val="18"/>
                <w:szCs w:val="18"/>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dollar value) of</w:t>
            </w:r>
          </w:p>
        </w:tc>
      </w:tr>
      <w:tr>
        <w:trPr>
          <w:trHeight w:val="216"/>
        </w:trPr>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260" w:type="dxa"/>
            <w:vAlign w:val="bottom"/>
          </w:tcPr>
          <w:p>
            <w:pPr>
              <w:spacing w:after="0"/>
              <w:rPr>
                <w:sz w:val="18"/>
                <w:szCs w:val="18"/>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(or units)</w:t>
            </w:r>
          </w:p>
        </w:tc>
      </w:tr>
      <w:tr>
        <w:trPr>
          <w:trHeight w:val="216"/>
        </w:trPr>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 units)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 paid</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5"/>
                <w:szCs w:val="15"/>
                <w:b w:val="1"/>
                <w:bCs w:val="1"/>
                <w:color w:val="auto"/>
                <w:w w:val="89"/>
              </w:rPr>
              <w:t>(1)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share (or unit)</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60" w:type="dxa"/>
            <w:vAlign w:val="bottom"/>
          </w:tcPr>
          <w:p>
            <w:pPr>
              <w:spacing w:after="0"/>
              <w:rPr>
                <w:sz w:val="20"/>
                <w:szCs w:val="20"/>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r>
      <w:tr>
        <w:trPr>
          <w:trHeight w:val="223"/>
        </w:trPr>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10/01/19-10/31/19</w:t>
            </w: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ind w:left="17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ind w:left="17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11/01/19-11/30/19</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ind w:left="1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20" w:type="dxa"/>
            <w:vAlign w:val="bottom"/>
            <w:gridSpan w:val="2"/>
          </w:tcPr>
          <w:p>
            <w:pPr>
              <w:ind w:left="1700"/>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12/01/19-12/31/19</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ind w:left="1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1700"/>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gridSpan w:val="3"/>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9"/>
                <w:szCs w:val="19"/>
                <w:color w:val="auto"/>
              </w:rPr>
            </w:pPr>
          </w:p>
        </w:tc>
        <w:tc>
          <w:tcPr>
            <w:tcW w:w="190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20" w:type="dxa"/>
            <w:vAlign w:val="bottom"/>
            <w:gridSpan w:val="2"/>
          </w:tcPr>
          <w:p>
            <w:pPr>
              <w:ind w:left="1700"/>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shares of Common Stock withheld for taxes on restricted stock units that vested and shares of Common Stock withheld in exchange for the exercise of outstanding warrants.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auto"/>
        </w:rPr>
        <w:t>Set forth in the graph below is a comparison of the cumulative total return that a hypothetical investor would have earned assuming the investment of $100 over the period commencing on June 2, 2017 in (i) the Common Stock of the Company, (ii) the Standard &amp; Poor’s 500 Stock Index (“S&amp;P 500”) and</w:t>
      </w:r>
    </w:p>
    <w:p>
      <w:pPr>
        <w:ind w:firstLine="8"/>
        <w:spacing w:after="0" w:line="261" w:lineRule="auto"/>
        <w:tabs>
          <w:tab w:leader="none" w:pos="3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peer issuer group comprised of publicly-traded companies participating in the offshore marine industry. The information set forth in the graph below shall be considered “furnished” but not “filed” for purposes of the Securities Act of 1933 and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108585</wp:posOffset>
            </wp:positionV>
            <wp:extent cx="6165850" cy="3679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65850" cy="367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 xml:space="preserve">Total Return Since, </w:t>
            </w:r>
            <w:r>
              <w:rPr>
                <w:rFonts w:ascii="Arial" w:cs="Arial" w:eastAsia="Arial" w:hAnsi="Arial"/>
                <w:sz w:val="15"/>
                <w:szCs w:val="15"/>
                <w:b w:val="1"/>
                <w:bCs w:val="1"/>
                <w:color w:val="auto"/>
              </w:rPr>
              <w:t>(1)</w:t>
            </w: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 2, 2017</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 31, 2017</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 31, 2018</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 31, 2019</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Company</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S&amp;P 500</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Peer Issuers </w:t>
            </w:r>
            <w:r>
              <w:rPr>
                <w:rFonts w:ascii="Arial" w:cs="Arial" w:eastAsia="Arial" w:hAnsi="Arial"/>
                <w:sz w:val="15"/>
                <w:szCs w:val="15"/>
                <w:color w:val="auto"/>
              </w:rPr>
              <w:t>(2)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Total returns assume the reinvestment of dividends.</w:t>
      </w:r>
    </w:p>
    <w:p>
      <w:pPr>
        <w:jc w:val="both"/>
        <w:ind w:left="760" w:hanging="752"/>
        <w:spacing w:after="0" w:line="255" w:lineRule="auto"/>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Peer Issuer group is comprised of publicly traded companies selected on an industry basis. The Peer Issuer group data is calculated using the share prices for the following companies participating in the offshore marine industry: Soldstad Farstad ASA, Hornbeck Offshore Services, Inc., Tidewater Inc., DOF ASA and Bourbon Corp, other than with respect to the December 31, 2019 value, which excludes Bourbon Corp as the listing of its shares was suspended in October 2019 in connection with its reorganization proceedings.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9" w:name="page40"/>
    <w:bookmarkEnd w:id="39"/>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02"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The following table sets forth for the periods indicated (in thousands, except share data and statistics), selected historical consolidated and combined financial data and certain operating data for the Company. Such financial and operating data should be read in conjunction with “Item 7. Management’s Discussion and Analysis of Financial Condition and Results of Operations” and “Item 8. Financial Statements and Supplementary Data” included in Parts II and IV, respectively, of this Annual Report on Form 10- 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w w:val="97"/>
              </w:rPr>
              <w:t>For the years ended December 31,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201,492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203,567</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123,421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157,176</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292,820</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(98,334)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(83,422)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(134,715)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(31,882)</w:t>
            </w:r>
          </w:p>
        </w:tc>
        <w:tc>
          <w:tcPr>
            <w:tcW w:w="20" w:type="dxa"/>
            <w:vAlign w:val="bottom"/>
          </w:tcPr>
          <w:p>
            <w:pPr>
              <w:spacing w:after="0"/>
              <w:rPr>
                <w:sz w:val="19"/>
                <w:szCs w:val="19"/>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Per Common</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1,009,193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1,102,938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1,008,504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1,015,119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1,208,150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Long-term Obligations (debt, leases, preferred stock)</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390,073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387,854</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292,041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217,805</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181,340</w:t>
            </w: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647"/>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0" w:name="page41"/>
    <w:bookmarkEnd w:id="40"/>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below presents the Company’s operating results for each of the three years in the period ended December 31, 2019, and its financial condition as of December 31, 2019 and 2018. Certain statements in this Management’s Discussion and Analysis of Financial Condition and Results of Operations constitute forward looking statements. See “Forward Looking Statements” included elsewhere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provides global marine and support transportation services to offshore oil, natural gas exploration and windfarm development and production facilities worldwide. As of December 31, 2019, the Company and its joint ventures operated a diverse fleet of 149 support and specialty vessels, of which 98 were owned or leased-in, 47 were joint-ventured, and four were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4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(iii) and assist in placing them on location and moving them between regions, (iv) provide construction, well work-over, maintenance and decommissioning support and (v) carry and launch equipment used underwater in drilling and well installation, maintenance, inspection and repair. Additionally, the Company’s vessels provide accommodations for technicians and specialists.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Amendment of Falcon Global Credit Agreement</w:t>
      </w:r>
      <w:r>
        <w:rPr>
          <w:rFonts w:ascii="Arial" w:cs="Arial" w:eastAsia="Arial" w:hAnsi="Arial"/>
          <w:sz w:val="17"/>
          <w:szCs w:val="17"/>
          <w:color w:val="auto"/>
        </w:rPr>
        <w:t>. On February 7, 2020, SEACOR Marine Holdings Inc. (“SEACOR Marine”), Falcon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USA LLC (“FGUSA”), an indirect subsidiary of SEACOR Marine, and certain subsidiaries of FGUSA, entered into a Consent, Agreement and Omnibus Amendments agreement (the “Omnibus Amendment”) to that certain (i) $131.1 million term and revolving loan facility, dated as of February 8, 2018, with a syndicate of lenders administered by JP Morgan Chase Bank, N.A. (the “Credit Facility”) and (ii) obligation guaranty issued by SEACOR Marine, dated February 8, 2018, pursuant to which SEACOR Marine provides a guarantee of certain limited obligations of FGUSA under the Credit Facility (the “Guaranty”). The Omnibus Amendment provides for, among other things (i) the extension from March 2020 to March 2021 of the commencement of monthly repayment of the term loan, with payments being the lesser of (a) $0.8 million per month and (b) the amount outstanding under the term loan and (ii) the extension of the term of the Guaranty for an additional one year from February 8, 2020 to February 8, 2021. As of February 7, 2020, there was $117.3 million of principal outstanding under the Credit Facility, comprised of $102.3 million of principal outstanding under the term loan facility and $15.0 million outstanding under the revolving loan facility.</w:t>
      </w:r>
    </w:p>
    <w:p>
      <w:pPr>
        <w:spacing w:after="0" w:line="13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Sale of North Sea Standby Safety Fleet</w:t>
      </w:r>
      <w:r>
        <w:rPr>
          <w:rFonts w:ascii="Arial" w:cs="Arial" w:eastAsia="Arial" w:hAnsi="Arial"/>
          <w:sz w:val="18"/>
          <w:szCs w:val="18"/>
          <w:color w:val="auto"/>
        </w:rPr>
        <w:t>. On December 2, 2019, SEACOR Capital (UK) Limited (“SEACAP”), a wholly-owned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SEACOR Marine, completed the sale of its standby safety fleet business, which we refer to as the ERRV fleet, for approximately $27.4 million, resulting in the recognition of a loss of $9.1 million. Additional consideration of up to £4 million (equivalent to approximately $5.2 million based on the exchange rate at the time of sale) may be payable to SEACAP based on revenue targets being achieved in 2020 and 2021. For all periods described in this MD&amp;A, the ERRV fleet and its operations are classified as discontinued operations. Unless the context indicates otherwise, all of the results presented exclude the standby safety operations which are classified as discontinued operations.</w:t>
      </w:r>
    </w:p>
    <w:p>
      <w:pPr>
        <w:spacing w:after="0" w:line="166"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i w:val="1"/>
          <w:iCs w:val="1"/>
          <w:color w:val="auto"/>
        </w:rPr>
        <w:t>Costs and Restructuring Initiatives</w:t>
      </w:r>
      <w:r>
        <w:rPr>
          <w:rFonts w:ascii="Arial" w:cs="Arial" w:eastAsia="Arial" w:hAnsi="Arial"/>
          <w:sz w:val="17"/>
          <w:szCs w:val="17"/>
          <w:color w:val="auto"/>
        </w:rPr>
        <w:t>. During the third quarter of 2019, the Company initiated certain cost reduction initiatives to better align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expenses with the current state of its business and the offshore marine industry, including a reduction of workforce, reorganization of the management structure, closure and/or consolidation of certain facilities and streamlining of operations. The Company expects these initiatives, which will impact all of its reportable segments, to be completed by the second quarter of 2020 and is targeting annualized recurring savings of at least $8.0 million once completed. For the year ended December 31, 2019, the Company incurred one-time restructuring charges totaling $3.7 million related to these restructuring activities.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Trends Affecting the Offshore Marine Business</w:t>
      </w:r>
    </w:p>
    <w:p>
      <w:pPr>
        <w:spacing w:after="0" w:line="202"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market for offshore oil and natural gas drilling has historically been cyclical. Demand for offshore support vessels is highly correlated to the price of oil and natural gas as those prices significantly impact the Company’s customers’ exploration and drilling activity levels. Oil and natural gas prices tend to fluctuate based on many factors, including global economic activity, levels of reserves and production activity. Price levels for oil and natural gas have and will continue to influence demand for offshore marine services. In addition to the price of oil and natural gas, the availability of acreage, local tax incentives or disincentives, drilling moratoriums and other regulatory actions, and requirements for maintaining interests in leases affect activity in the offshore oil and natural gas industry. Factors that influence the level of offshore exploration and drilling activities include:</w:t>
      </w:r>
    </w:p>
    <w:p>
      <w:pPr>
        <w:spacing w:after="0" w:line="138" w:lineRule="exact"/>
        <w:rPr>
          <w:sz w:val="20"/>
          <w:szCs w:val="20"/>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as to future oil and natural gas commodity prices;</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assessments of offshore drilling prospects compared with land-based opportunities, including newer or unconventional opportunities such as shale;</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assessments of cost, geological opportunity and political stability in host countries;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worldwide demand for oil and natural gas;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or willingness of OPEC to set and maintain production levels and pricing;</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oil and natural gas production by non-OPEC countries;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exchange rates for the U.S. dollar;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U.S. and international government policies regarding exploration and development of oil and natural gas reserves.</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Offshore oil and natural gas market conditions deteriorated beginning in the second half of 2014 and continued to deteriorate when oil prices hit a thirteen-year low of less than $27 per barrel (on the New York Mercantile Exchange) in February 2016. While oil prices increased to a high of $77 per barrel in 2018, they retreated in the fourth quarter of 2018 to a low of less than $43 a barrel and did not exceed $66 per barrel during 2019. Oil prices closed on December 31, 2019 at less than $62 per barrel. The Company has continued to experience difficult market conditions as these declines and continued volatility in oil and natural gas prices, have led to a general decrease in exploration and production activities, and a particular decrease in offshore drilling associated activity. The Company’s operating results have been negatively impacted as oil and gas producing companies focused on cost reduction and cut capital spending budgets.</w:t>
      </w:r>
    </w:p>
    <w:p>
      <w:pPr>
        <w:spacing w:after="0" w:line="149"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Certain macro drivers somewhat independent of oil and natural gas prices have the ability to continue to support the Company’s business, including: (i) underspending by oil and gas producers during the current industry downturn leading to pent up demand for maintenance and growth capital expenditures; and (ii) improved extraction technologies. While alternative forms of energy may gain a foothold in the long term, for the foreseeable future, the Company believes demand for gasoline and oil will be sustained, as well as demand for electricity from natural gas.</w:t>
      </w:r>
    </w:p>
    <w:p>
      <w:pPr>
        <w:spacing w:after="0" w:line="144"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1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December 31, 2019, 14 of the Company’s 98 owned and leased-in in-service vessels were cold-stacked worldwide, and an additional four owned vessels were retired and removed from service.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Certain Components of Revenues and Expenses</w:t>
      </w:r>
    </w:p>
    <w:p>
      <w:pPr>
        <w:spacing w:after="0" w:line="202"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The Company operates its fleet in five principal geographic regions: the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also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and, consequently, operating margins are most sensitive to changes in rates per day worked and utilization. The Company manages its fleet by utilizing a global network of shore side support, administrative and finance personnel.</w:t>
      </w:r>
    </w:p>
    <w:p>
      <w:pPr>
        <w:spacing w:after="0" w:line="137"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Time charter statistics are the key performance indicators for the Company’s time charter revenues. The rate per day worked is the ratio of total time charter revenues to the aggregate number of days worked. Utilization is the ratio of aggregate number of days worked to total available days for all vessels available for time charter. Unless vessels have been retired and removed from service, available days represents the total calendar days for which vessels available for time charter were owned or leased-in by the Company, whether marketed, under repair, cold-stacked or otherwise out-of-service.</w:t>
      </w:r>
    </w:p>
    <w:p>
      <w:pPr>
        <w:spacing w:after="0" w:line="114"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Revenues. </w:t>
      </w:r>
      <w:r>
        <w:rPr>
          <w:rFonts w:ascii="Arial" w:cs="Arial" w:eastAsia="Arial" w:hAnsi="Arial"/>
          <w:sz w:val="17"/>
          <w:szCs w:val="17"/>
          <w:color w:val="auto"/>
        </w:rPr>
        <w:t>The Company generates revenues by providing services to customers primarily pursuant to two different types of contractual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time charters and bareboat charters.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risks of operation. Vessel charters may range from several days to several years.</w:t>
      </w:r>
    </w:p>
    <w:p>
      <w:pPr>
        <w:spacing w:after="0" w:line="144"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b w:val="1"/>
          <w:bCs w:val="1"/>
          <w:i w:val="1"/>
          <w:iCs w:val="1"/>
          <w:color w:val="auto"/>
        </w:rPr>
        <w:t xml:space="preserve">Direct Operating Expenses. </w:t>
      </w:r>
      <w:r>
        <w:rPr>
          <w:rFonts w:ascii="Arial" w:cs="Arial" w:eastAsia="Arial" w:hAnsi="Arial"/>
          <w:sz w:val="17"/>
          <w:szCs w:val="17"/>
          <w:color w:val="auto"/>
        </w:rPr>
        <w:t>The aggregate cost of operating the Company’s fleet depends primarily on the size and asset mix of the fleet.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direct operating costs and expenses, other than leased-in equipment expense, are grouped into the following categories:</w:t>
      </w:r>
    </w:p>
    <w:p>
      <w:pPr>
        <w:spacing w:after="0" w:line="106" w:lineRule="exact"/>
        <w:rPr>
          <w:sz w:val="20"/>
          <w:szCs w:val="20"/>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personnel (primarily wages, benefits, payroll taxes, savings plans and travel for marine personnel);</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repairs and maintenance (primarily routine repairs and maintenance and main engine overhauls that are performed in accordance with planned maintenance programs);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drydocking (primarily the cost of regulatory drydockings performed in accordance with applicable regulations);</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and loss reserves (primarily the cost of Hull and Machinery and Protection and Indemnity insurance premiums and loss deductibles);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fuel, lubes and supplies;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(communication costs, expenses incurred in mobilizing vessels between geographic regions, third-party ship management fees, freight expenses, customs and importation duties and other).</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 expenses drydocking, engine overhaul and vessel mobilization costs as incurred. If a disproportionate number of drydockings, overhauls or mobilizations are undertaken in a particular fiscal year or quarter, operating expenses may vary significantly when compared with the prior year or prior quarter.</w:t>
      </w:r>
    </w:p>
    <w:p>
      <w:pPr>
        <w:spacing w:after="0" w:line="14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Direct Vessel Profit. </w:t>
      </w:r>
      <w:r>
        <w:rPr>
          <w:rFonts w:ascii="Arial" w:cs="Arial" w:eastAsia="Arial" w:hAnsi="Arial"/>
          <w:sz w:val="18"/>
          <w:szCs w:val="18"/>
          <w:color w:val="auto"/>
        </w:rPr>
        <w:t>Direct vessel profit (defined as operating revenues less operating expenses excluding leased-in equipment, “DVP”)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vessels vs. leased-in expense for leased-in vessels). DVP is also useful when comparing the Company’s fleet’s performance against those of its competitors who may have differing fleet financing structures. DVP has some limitations in that it does not take into account all expenses related to the operation of the fleet and, more significantly, the Company.</w:t>
      </w:r>
    </w:p>
    <w:p>
      <w:pPr>
        <w:spacing w:after="0" w:line="162"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b w:val="1"/>
          <w:bCs w:val="1"/>
          <w:i w:val="1"/>
          <w:iCs w:val="1"/>
          <w:color w:val="auto"/>
        </w:rPr>
        <w:t xml:space="preserve">Leased-in Equipment. </w:t>
      </w:r>
      <w:r>
        <w:rPr>
          <w:rFonts w:ascii="Arial" w:cs="Arial" w:eastAsia="Arial" w:hAnsi="Arial"/>
          <w:sz w:val="16"/>
          <w:szCs w:val="16"/>
          <w:color w:val="auto"/>
        </w:rPr>
        <w:t>In addition to the Company’s owned fleet, it operates leased-in vessels from lessors under bareboat charter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currently expire between 2020 and 2021. Certain of these vessels were previously owned and subject to sale and leaseback transactions with their lessors.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3" w:name="page44"/>
    <w:bookmarkEnd w:id="43"/>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Impairments. </w:t>
      </w:r>
      <w:r>
        <w:rPr>
          <w:rFonts w:ascii="Arial" w:cs="Arial" w:eastAsia="Arial" w:hAnsi="Arial"/>
          <w:sz w:val="18"/>
          <w:szCs w:val="18"/>
          <w:color w:val="auto"/>
        </w:rPr>
        <w:t>As a result of the difficult conditions experienced in the offshore oil and natural gas markets beginning in the second half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corresponding reductions in utilization and rates per day worked of its fleet, the Company identified indicators of impairment and has over the past few years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66"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During 2019, the Company recorded impairment charges of $12.0 million associated with its AHTS fleet (four owned and one leased-in vessel), four FSVs and one leased-in supply vessel. During 2018, the Company recorded impairment charges of $14.6 million primarily associated with its AHTS fleet (four owned and three leased-in vessels) and one specialty vessel. During 2017, the Company recorded impairment charges of $27.5 million primarily associated with its AHTS vessels, one leased-in supply vessel removed from service, one owned FSV removed from service and two owned in-service specialty vessels. No material impairment charges were recognized in 2018. Estimated fair values for the Company’s owned vessels were established by independent appraisers and other market data such as recent sales of similar vessels. For information regarding the Company’s vessel fair value measurement determinations, see “Note 11. Fair Value Measurements” in the audited consolidated financial statements included elsewhere in this Annual Report on Form 10-K. If market conditions continue to decline from the presently depressed utilization and rates per day worked experienced over the last three years, fair values based on future appraisals could decline significantly.</w:t>
      </w:r>
    </w:p>
    <w:p>
      <w:pPr>
        <w:spacing w:after="0" w:line="141"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or vessels that service customers outside of the offshore oil and natural gas market (e.g., crew transfer vessels).</w:t>
      </w:r>
    </w:p>
    <w:p>
      <w:pPr>
        <w:spacing w:after="0" w:line="114"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For vessel classes and individual vessels with indicators of impairment, but which were not impaired as of December 31, 2019, the Company has estimated that their future undiscounted cash flows exceed their current carrying values by more than 40%.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or remain stagnant at current levels, changes in the Company’s expectations on future cash flows may result in recognizing additional impairment charges related to its long-lived assets in future periods.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00" w:type="dxa"/>
            <w:vAlign w:val="bottom"/>
            <w:gridSpan w:val="15"/>
          </w:tcPr>
          <w:p>
            <w:pPr>
              <w:ind w:left="760"/>
              <w:spacing w:after="0"/>
              <w:rPr>
                <w:sz w:val="20"/>
                <w:szCs w:val="20"/>
                <w:color w:val="auto"/>
              </w:rPr>
            </w:pPr>
            <w:r>
              <w:rPr>
                <w:rFonts w:ascii="Arial" w:cs="Arial" w:eastAsia="Arial" w:hAnsi="Arial"/>
                <w:sz w:val="18"/>
                <w:szCs w:val="18"/>
                <w:color w:val="auto"/>
                <w:w w:val="92"/>
              </w:rPr>
              <w:t>For the years ended December 31, the Company’s consolidated results of operations were as follows (in thousands, except statistics):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60"/>
              <w:spacing w:after="0"/>
              <w:rPr>
                <w:sz w:val="20"/>
                <w:szCs w:val="20"/>
                <w:color w:val="auto"/>
              </w:rPr>
            </w:pPr>
            <w:r>
              <w:rPr>
                <w:rFonts w:ascii="Arial" w:cs="Arial" w:eastAsia="Arial" w:hAnsi="Arial"/>
                <w:sz w:val="18"/>
                <w:szCs w:val="18"/>
                <w:color w:val="auto"/>
              </w:rPr>
              <w:t>Average Rates Per Day Worked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(excluding crew transfer)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10,546</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10,070</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8,481</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Average Rates Per Day</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Fleet Utilization (excluding crew transfer)</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Fleet Utilization</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Fleet Available Days (excluding crew transfer)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24,576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28,634</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28,550</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Fleet Available Days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42,415</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42,055</w:t>
            </w: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172,350</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110,322</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5,131</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4,635</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4,636</w:t>
            </w: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201,492</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203,567</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123,421</w:t>
            </w:r>
          </w:p>
        </w:tc>
        <w:tc>
          <w:tcPr>
            <w:tcW w:w="5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65,512</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67,313</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54,613</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24,669</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27,033</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21,324</w:t>
            </w: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5,848</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6,038</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6,343</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6,029</w:t>
            </w: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10,331</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10,283</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9,133</w:t>
            </w: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Leased-in equipment</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16,158</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14,449</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139,883</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145,513</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119,270</w:t>
            </w: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and general</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46,454</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49,865</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64,012</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60,307</w:t>
            </w:r>
          </w:p>
        </w:tc>
        <w:tc>
          <w:tcPr>
            <w:tcW w:w="5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248,621</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260,808</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229,442</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Losses on Asset Dispositions and Impairments, Net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(23,623)</w:t>
            </w:r>
          </w:p>
        </w:tc>
        <w:tc>
          <w:tcPr>
            <w:tcW w:w="5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(129,644)</w:t>
            </w:r>
          </w:p>
        </w:tc>
        <w:tc>
          <w:tcPr>
            <w:tcW w:w="5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(30,310)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(24,715)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11,854</w:t>
            </w: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 Benefit and</w:t>
            </w: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 in Earnings (Losses) of 50% or</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Owned Companies</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(82,836)</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(93,224)</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(117,790)</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(7,912)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(13,354)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(74,410)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Equity in Earnings (Losses)</w:t>
            </w: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50% or Less Owned Companies</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(74,924)</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(79,870)</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(43,380)</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Equity in (Losses) Earnings of 50% 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Less Owned Companies</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(3,552)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3,851</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(89,228)</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(83,422)</w:t>
            </w:r>
          </w:p>
        </w:tc>
        <w:tc>
          <w:tcPr>
            <w:tcW w:w="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(39,529)</w:t>
            </w:r>
          </w:p>
        </w:tc>
        <w:tc>
          <w:tcPr>
            <w:tcW w:w="5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(Loss) Income from Discontinued Operations, Net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Tax (including loss on disposal of $9,106)</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(9,467)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1,370</w:t>
            </w:r>
          </w:p>
        </w:tc>
        <w:tc>
          <w:tcPr>
            <w:tcW w:w="5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989</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(98,695)</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(82,052)</w:t>
            </w:r>
          </w:p>
        </w:tc>
        <w:tc>
          <w:tcPr>
            <w:tcW w:w="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(38,540)</w:t>
            </w:r>
          </w:p>
        </w:tc>
        <w:tc>
          <w:tcPr>
            <w:tcW w:w="5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Interests in Subsidiaries</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(5,858)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(4,444)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(5,639)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SEACOR Marine</w:t>
            </w: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Holdings Inc.</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(92,837)</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(77,608)</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(32,901)</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vMerge w:val="restart"/>
          </w:tcPr>
          <w:p>
            <w:pPr>
              <w:jc w:val="right"/>
              <w:ind w:right="470"/>
              <w:spacing w:after="0"/>
              <w:rPr>
                <w:sz w:val="20"/>
                <w:szCs w:val="20"/>
                <w:color w:val="auto"/>
              </w:rPr>
            </w:pPr>
            <w:r>
              <w:rPr>
                <w:rFonts w:ascii="Arial" w:cs="Arial" w:eastAsia="Arial" w:hAnsi="Arial"/>
                <w:sz w:val="18"/>
                <w:szCs w:val="18"/>
                <w:color w:val="auto"/>
                <w:w w:val="79"/>
              </w:rPr>
              <w:t>43</w:t>
            </w: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5" w:name="page46"/>
    <w:bookmarkEnd w:id="45"/>
    <w:p>
      <w:pPr>
        <w:ind w:firstLine="761"/>
        <w:spacing w:after="0" w:line="277" w:lineRule="auto"/>
        <w:rPr>
          <w:sz w:val="20"/>
          <w:szCs w:val="20"/>
          <w:color w:val="auto"/>
        </w:rPr>
      </w:pPr>
      <w:r>
        <w:rPr>
          <w:rFonts w:ascii="Arial" w:cs="Arial" w:eastAsia="Arial" w:hAnsi="Arial"/>
          <w:sz w:val="18"/>
          <w:szCs w:val="18"/>
          <w:color w:val="auto"/>
        </w:rPr>
        <w:t>The following tables summarize the operating results and property and equipment for the Company’s reportable segments for the periods indicated (in thousands, except statistics):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7"/>
                <w:szCs w:val="17"/>
                <w:b w:val="1"/>
                <w:bCs w:val="1"/>
                <w:color w:val="auto"/>
              </w:rPr>
              <w:t>United States</w:t>
            </w:r>
          </w:p>
        </w:tc>
        <w:tc>
          <w:tcPr>
            <w:tcW w:w="16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Africa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Europe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1120" w:type="dxa"/>
            <w:vAlign w:val="bottom"/>
            <w:gridSpan w:val="3"/>
          </w:tcPr>
          <w:p>
            <w:pPr>
              <w:ind w:left="80"/>
              <w:spacing w:after="0"/>
              <w:rPr>
                <w:sz w:val="20"/>
                <w:szCs w:val="20"/>
                <w:color w:val="auto"/>
              </w:rPr>
            </w:pPr>
            <w:r>
              <w:rPr>
                <w:rFonts w:ascii="Arial" w:cs="Arial" w:eastAsia="Arial" w:hAnsi="Arial"/>
                <w:sz w:val="17"/>
                <w:szCs w:val="17"/>
                <w:b w:val="1"/>
                <w:bCs w:val="1"/>
                <w:color w:val="auto"/>
              </w:rPr>
              <w:t>(primarily</w:t>
            </w:r>
          </w:p>
        </w:tc>
        <w:tc>
          <w:tcPr>
            <w:tcW w:w="1160" w:type="dxa"/>
            <w:vAlign w:val="bottom"/>
            <w:gridSpan w:val="4"/>
          </w:tcPr>
          <w:p>
            <w:pPr>
              <w:ind w:left="60"/>
              <w:spacing w:after="0"/>
              <w:rPr>
                <w:sz w:val="20"/>
                <w:szCs w:val="20"/>
                <w:color w:val="auto"/>
              </w:rPr>
            </w:pPr>
            <w:r>
              <w:rPr>
                <w:rFonts w:ascii="Arial" w:cs="Arial" w:eastAsia="Arial" w:hAnsi="Arial"/>
                <w:sz w:val="17"/>
                <w:szCs w:val="17"/>
                <w:b w:val="1"/>
                <w:bCs w:val="1"/>
                <w:color w:val="auto"/>
              </w:rPr>
              <w:t>Middle East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Latin</w:t>
            </w:r>
          </w:p>
        </w:tc>
        <w:tc>
          <w:tcPr>
            <w:tcW w:w="6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3"/>
              </w:rPr>
              <w:t>Continuing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5"/>
              </w:rPr>
              <w:t>of Mexico)</w:t>
            </w: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West Africa)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7"/>
              </w:rPr>
              <w:t>and Asia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America</w:t>
            </w:r>
          </w:p>
        </w:tc>
        <w:tc>
          <w:tcPr>
            <w:tcW w:w="6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Average Rates Per Day</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14,701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9,392</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8,556</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9,449</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3,041</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Fleet Utilization</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Fleet Available Days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13,645</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38,491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Operating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38,955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44,160</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54,312</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11,460</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33,414</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182,301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Bareboat charter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1,562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3,569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3,806</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5,734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14,060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45,621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55,981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16,419</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39,148</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201,492</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Personnel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17,491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13,833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13,031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65,512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7"/>
                <w:szCs w:val="17"/>
                <w:color w:val="auto"/>
              </w:rPr>
              <w:t>Repairs and maintenance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1,348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3,855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24,669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Drydocking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5,848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7"/>
                <w:szCs w:val="17"/>
                <w:color w:val="auto"/>
              </w:rPr>
              <w:t>Insurance and loss reserves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Fuel, lubes and supplies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11,327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1,307</w:t>
            </w: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35,367</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27,900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31,928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8,517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20,013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123,725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Arial" w:cs="Arial" w:eastAsia="Arial" w:hAnsi="Arial"/>
                <w:sz w:val="17"/>
                <w:szCs w:val="17"/>
                <w:b w:val="1"/>
                <w:bCs w:val="1"/>
                <w:color w:val="auto"/>
              </w:rPr>
              <w:t>Direct Vessel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8,956</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17,721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77,767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480"/>
              <w:spacing w:after="0"/>
              <w:rPr>
                <w:sz w:val="20"/>
                <w:szCs w:val="20"/>
                <w:color w:val="auto"/>
              </w:rPr>
            </w:pPr>
            <w:r>
              <w:rPr>
                <w:rFonts w:ascii="Arial" w:cs="Arial" w:eastAsia="Arial" w:hAnsi="Arial"/>
                <w:sz w:val="17"/>
                <w:szCs w:val="17"/>
                <w:color w:val="auto"/>
              </w:rPr>
              <w:t>Leased-in equipment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10,894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3,090</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16,158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Administrative and general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44,726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21,947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10,404</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16,400</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6,205</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9,056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64,012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124,896</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8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Losses on Asset Dispositions and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Impairments, Net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(5,397)</w:t>
            </w: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(52,526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b w:val="1"/>
                <w:bCs w:val="1"/>
                <w:color w:val="auto"/>
              </w:rPr>
              <w:t>As of December 31, 2019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7"/>
                <w:szCs w:val="17"/>
                <w:color w:val="auto"/>
              </w:rPr>
              <w:t>Historical cost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297,392</w:t>
            </w: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207,107</w:t>
            </w: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292,446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57,534</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122,499</w:t>
            </w:r>
          </w:p>
        </w:tc>
        <w:tc>
          <w:tcPr>
            <w:tcW w:w="2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976,978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depreciation</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(157,514)</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(57,136)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(73,039)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(16,239)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(55,034)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(358,962)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139,878</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149,971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219,407</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41,295</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67,465</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618,016</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Total Assets</w:t>
            </w:r>
            <w:r>
              <w:rPr>
                <w:rFonts w:ascii="Arial" w:cs="Arial" w:eastAsia="Arial" w:hAnsi="Arial"/>
                <w:sz w:val="14"/>
                <w:szCs w:val="14"/>
                <w:color w:val="auto"/>
              </w:rPr>
              <w:t>(1)</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224,229</w:t>
            </w:r>
          </w:p>
        </w:tc>
        <w:tc>
          <w:tcPr>
            <w:tcW w:w="2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161,915</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250,890</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116,736</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109,874</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863,644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assets excludes $145,232 thousand of corporate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gridSpan w:val="3"/>
          </w:tcPr>
          <w:p>
            <w:pPr>
              <w:ind w:left="80"/>
              <w:spacing w:after="0"/>
              <w:rPr>
                <w:sz w:val="20"/>
                <w:szCs w:val="20"/>
                <w:color w:val="auto"/>
              </w:rPr>
            </w:pPr>
            <w:r>
              <w:rPr>
                <w:rFonts w:ascii="Arial" w:cs="Arial" w:eastAsia="Arial" w:hAnsi="Arial"/>
                <w:sz w:val="17"/>
                <w:szCs w:val="17"/>
                <w:b w:val="1"/>
                <w:bCs w:val="1"/>
                <w:color w:val="auto"/>
              </w:rPr>
              <w:t>United States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Europe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6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b w:val="1"/>
                <w:bCs w:val="1"/>
                <w:color w:val="auto"/>
              </w:rPr>
              <w:t>(primarily</w:t>
            </w:r>
          </w:p>
        </w:tc>
        <w:tc>
          <w:tcPr>
            <w:tcW w:w="1160" w:type="dxa"/>
            <w:vAlign w:val="bottom"/>
            <w:gridSpan w:val="3"/>
          </w:tcPr>
          <w:p>
            <w:pPr>
              <w:spacing w:after="0"/>
              <w:rPr>
                <w:sz w:val="20"/>
                <w:szCs w:val="20"/>
                <w:color w:val="auto"/>
              </w:rPr>
            </w:pPr>
            <w:r>
              <w:rPr>
                <w:rFonts w:ascii="Arial" w:cs="Arial" w:eastAsia="Arial" w:hAnsi="Arial"/>
                <w:sz w:val="17"/>
                <w:szCs w:val="17"/>
                <w:b w:val="1"/>
                <w:bCs w:val="1"/>
                <w:color w:val="auto"/>
              </w:rPr>
              <w:t>Middle East</w:t>
            </w:r>
          </w:p>
        </w:tc>
        <w:tc>
          <w:tcPr>
            <w:tcW w:w="10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Latin</w:t>
            </w:r>
          </w:p>
        </w:tc>
        <w:tc>
          <w:tcPr>
            <w:tcW w:w="11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Continuing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5"/>
              </w:rPr>
              <w:t>of Mexico)</w:t>
            </w:r>
          </w:p>
        </w:tc>
        <w:tc>
          <w:tcPr>
            <w:tcW w:w="1260" w:type="dxa"/>
            <w:vAlign w:val="bottom"/>
            <w:gridSpan w:val="4"/>
          </w:tcPr>
          <w:p>
            <w:pPr>
              <w:ind w:left="60"/>
              <w:spacing w:after="0"/>
              <w:rPr>
                <w:sz w:val="20"/>
                <w:szCs w:val="20"/>
                <w:color w:val="auto"/>
              </w:rPr>
            </w:pPr>
            <w:r>
              <w:rPr>
                <w:rFonts w:ascii="Arial" w:cs="Arial" w:eastAsia="Arial" w:hAnsi="Arial"/>
                <w:sz w:val="17"/>
                <w:szCs w:val="17"/>
                <w:b w:val="1"/>
                <w:bCs w:val="1"/>
                <w:color w:val="auto"/>
              </w:rPr>
              <w:t>West Africa)</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0"/>
              </w:rPr>
              <w:t>and Asia</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2"/>
              </w:rPr>
              <w:t>America</w:t>
            </w:r>
          </w:p>
        </w:tc>
        <w:tc>
          <w:tcPr>
            <w:tcW w:w="11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Operations</w:t>
            </w: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2018</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Average Rates Per Day</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8,320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15,991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Fleet Utilization</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Fleet Available Days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14,176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13,067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42,415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Operating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38,802</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43,847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50,072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22,286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172,350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Bareboat charter</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14,762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26,582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53,564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51,508</w:t>
            </w:r>
          </w:p>
        </w:tc>
        <w:tc>
          <w:tcPr>
            <w:tcW w:w="2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49,185</w:t>
            </w:r>
          </w:p>
        </w:tc>
        <w:tc>
          <w:tcPr>
            <w:tcW w:w="2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23,532</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25,778</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203,567</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Personnel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18,708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16,538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16,806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10,862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67,313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7"/>
                <w:szCs w:val="17"/>
                <w:color w:val="auto"/>
              </w:rPr>
              <w:t>Repairs and maintenance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27,033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Drydocking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7"/>
                <w:szCs w:val="17"/>
                <w:color w:val="auto"/>
              </w:rPr>
              <w:t>Insurance and loss reserves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Fuel, lubes and supplies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13,509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10,283</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32,700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34,188</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38,718</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8,388</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18,280</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132,274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spacing w:after="0"/>
              <w:rPr>
                <w:sz w:val="20"/>
                <w:szCs w:val="20"/>
                <w:color w:val="auto"/>
              </w:rPr>
            </w:pPr>
            <w:r>
              <w:rPr>
                <w:rFonts w:ascii="Arial" w:cs="Arial" w:eastAsia="Arial" w:hAnsi="Arial"/>
                <w:sz w:val="17"/>
                <w:szCs w:val="17"/>
                <w:b w:val="1"/>
                <w:bCs w:val="1"/>
                <w:color w:val="auto"/>
              </w:rPr>
              <w:t>Direct Vessel Profit</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20,864</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17,320</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10,467</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15,144</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71,293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Leased-in equipment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13,239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Administrative and general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23,227</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10,453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18,762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7,908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8,491</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68,841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128,534</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Losses on Asset Dispositions and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Impairments, Net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(11,268)</w:t>
            </w:r>
          </w:p>
        </w:tc>
        <w:tc>
          <w:tcPr>
            <w:tcW w:w="0" w:type="dxa"/>
            <w:vAlign w:val="bottom"/>
          </w:tcPr>
          <w:p>
            <w:pPr>
              <w:spacing w:after="0"/>
              <w:rPr>
                <w:sz w:val="1"/>
                <w:szCs w:val="1"/>
                <w:color w:val="auto"/>
              </w:rPr>
            </w:pPr>
          </w:p>
        </w:tc>
      </w:tr>
      <w:tr>
        <w:trPr>
          <w:trHeight w:val="250"/>
        </w:trPr>
        <w:tc>
          <w:tcPr>
            <w:tcW w:w="428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(68,509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b w:val="1"/>
                <w:bCs w:val="1"/>
                <w:color w:val="auto"/>
              </w:rPr>
              <w:t>As of December 31, 2018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Historical cost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432,336</w:t>
            </w:r>
          </w:p>
        </w:tc>
        <w:tc>
          <w:tcPr>
            <w:tcW w:w="2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184,361</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306,897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124,177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68,812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1,116,583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depreciation</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(224,737)</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(55,206)</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(81,378)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(57,002)</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(43,076)</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(461,399)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207,599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129,155</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225,519</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67,175</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25,736</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655,184</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Total Assets</w:t>
            </w:r>
            <w:r>
              <w:rPr>
                <w:rFonts w:ascii="Arial" w:cs="Arial" w:eastAsia="Arial" w:hAnsi="Arial"/>
                <w:sz w:val="14"/>
                <w:szCs w:val="14"/>
                <w:color w:val="auto"/>
              </w:rPr>
              <w:t>(1)</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351,748</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140,335</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260,002</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137,983</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18,217</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908,285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assets excludes $153,151 thousand of corporate assets, and $41,502 thousand of assets held-for-sale.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gridSpan w:val="3"/>
          </w:tcPr>
          <w:p>
            <w:pPr>
              <w:ind w:left="80"/>
              <w:spacing w:after="0"/>
              <w:rPr>
                <w:sz w:val="20"/>
                <w:szCs w:val="20"/>
                <w:color w:val="auto"/>
              </w:rPr>
            </w:pPr>
            <w:r>
              <w:rPr>
                <w:rFonts w:ascii="Arial" w:cs="Arial" w:eastAsia="Arial" w:hAnsi="Arial"/>
                <w:sz w:val="17"/>
                <w:szCs w:val="17"/>
                <w:b w:val="1"/>
                <w:bCs w:val="1"/>
                <w:color w:val="auto"/>
              </w:rPr>
              <w:t>United States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Africa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Europe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(primarily Gulf</w:t>
            </w:r>
          </w:p>
        </w:tc>
        <w:tc>
          <w:tcPr>
            <w:tcW w:w="6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b w:val="1"/>
                <w:bCs w:val="1"/>
                <w:color w:val="auto"/>
              </w:rPr>
              <w:t>(primarily</w:t>
            </w:r>
          </w:p>
        </w:tc>
        <w:tc>
          <w:tcPr>
            <w:tcW w:w="1160" w:type="dxa"/>
            <w:vAlign w:val="bottom"/>
            <w:gridSpan w:val="3"/>
          </w:tcPr>
          <w:p>
            <w:pPr>
              <w:spacing w:after="0"/>
              <w:rPr>
                <w:sz w:val="20"/>
                <w:szCs w:val="20"/>
                <w:color w:val="auto"/>
              </w:rPr>
            </w:pPr>
            <w:r>
              <w:rPr>
                <w:rFonts w:ascii="Arial" w:cs="Arial" w:eastAsia="Arial" w:hAnsi="Arial"/>
                <w:sz w:val="17"/>
                <w:szCs w:val="17"/>
                <w:b w:val="1"/>
                <w:bCs w:val="1"/>
                <w:color w:val="auto"/>
              </w:rPr>
              <w:t>Middle East</w:t>
            </w:r>
          </w:p>
        </w:tc>
        <w:tc>
          <w:tcPr>
            <w:tcW w:w="10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Latin</w:t>
            </w:r>
          </w:p>
        </w:tc>
        <w:tc>
          <w:tcPr>
            <w:tcW w:w="11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Continuing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5"/>
              </w:rPr>
              <w:t>of Mexico)</w:t>
            </w:r>
          </w:p>
        </w:tc>
        <w:tc>
          <w:tcPr>
            <w:tcW w:w="1260" w:type="dxa"/>
            <w:vAlign w:val="bottom"/>
            <w:gridSpan w:val="4"/>
          </w:tcPr>
          <w:p>
            <w:pPr>
              <w:ind w:left="60"/>
              <w:spacing w:after="0"/>
              <w:rPr>
                <w:sz w:val="20"/>
                <w:szCs w:val="20"/>
                <w:color w:val="auto"/>
              </w:rPr>
            </w:pPr>
            <w:r>
              <w:rPr>
                <w:rFonts w:ascii="Arial" w:cs="Arial" w:eastAsia="Arial" w:hAnsi="Arial"/>
                <w:sz w:val="17"/>
                <w:szCs w:val="17"/>
                <w:b w:val="1"/>
                <w:bCs w:val="1"/>
                <w:color w:val="auto"/>
              </w:rPr>
              <w:t>West Africa)</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0"/>
              </w:rPr>
              <w:t>and Asia</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2"/>
              </w:rPr>
              <w:t>America</w:t>
            </w:r>
          </w:p>
        </w:tc>
        <w:tc>
          <w:tcPr>
            <w:tcW w:w="11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Operations</w:t>
            </w: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2017</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Time Charter Statistics: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Average Rates Per Day</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8,454</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10,284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Fleet Utilization</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Fleet Available Days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15,784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8,302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12,775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42,055</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Operating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Time charter</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18,079</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32,866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33,410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22,990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110,322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Bareboat charter</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4,217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1,080</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474</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552</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2,140</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8,463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22,296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33,946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33,884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123,421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Direct Costs and Expenses: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Personnel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15,621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13,419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16,883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7,881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54,613</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7"/>
                <w:szCs w:val="17"/>
                <w:color w:val="auto"/>
              </w:rPr>
              <w:t>Repairs and maintenance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21,324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Drydocking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4,976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80"/>
              <w:spacing w:after="0"/>
              <w:rPr>
                <w:sz w:val="20"/>
                <w:szCs w:val="20"/>
                <w:color w:val="auto"/>
              </w:rPr>
            </w:pPr>
            <w:r>
              <w:rPr>
                <w:rFonts w:ascii="Arial" w:cs="Arial" w:eastAsia="Arial" w:hAnsi="Arial"/>
                <w:sz w:val="17"/>
                <w:szCs w:val="17"/>
                <w:color w:val="auto"/>
              </w:rPr>
              <w:t>Insurance and loss reserves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Fuel, lubes and supplies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8,746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3,319</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9,133</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26,063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28,367</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37,299</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11,353</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104,821</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spacing w:after="0"/>
              <w:rPr>
                <w:sz w:val="20"/>
                <w:szCs w:val="20"/>
                <w:color w:val="auto"/>
              </w:rPr>
            </w:pPr>
            <w:r>
              <w:rPr>
                <w:rFonts w:ascii="Arial" w:cs="Arial" w:eastAsia="Arial" w:hAnsi="Arial"/>
                <w:sz w:val="17"/>
                <w:szCs w:val="17"/>
                <w:b w:val="1"/>
                <w:bCs w:val="1"/>
                <w:color w:val="auto"/>
              </w:rPr>
              <w:t>Direct Vessel Profit (Loss)</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5,579</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(3,415)</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6,426</w:t>
            </w: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Other Costs and Expenses:</w:t>
            </w: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Leased-in equipment</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8,709</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Administrative and general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22,060</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9,280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17,724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7,635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60,307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124,621</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Losses on Asset Dispositions and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Impairments, Net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(23,623)</w:t>
            </w:r>
          </w:p>
        </w:tc>
        <w:tc>
          <w:tcPr>
            <w:tcW w:w="0" w:type="dxa"/>
            <w:vAlign w:val="bottom"/>
          </w:tcPr>
          <w:p>
            <w:pPr>
              <w:spacing w:after="0"/>
              <w:rPr>
                <w:sz w:val="1"/>
                <w:szCs w:val="1"/>
                <w:color w:val="auto"/>
              </w:rPr>
            </w:pPr>
          </w:p>
        </w:tc>
      </w:tr>
      <w:tr>
        <w:trPr>
          <w:trHeight w:val="250"/>
        </w:trPr>
        <w:tc>
          <w:tcPr>
            <w:tcW w:w="428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(129,644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b w:val="1"/>
                <w:bCs w:val="1"/>
                <w:color w:val="auto"/>
              </w:rPr>
              <w:t>As of December 31, 2017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Historical cost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410,475</w:t>
            </w:r>
          </w:p>
        </w:tc>
        <w:tc>
          <w:tcPr>
            <w:tcW w:w="2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192,600</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326,378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72,484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56,367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1,058,304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depreciation</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(230,636)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(57,228)</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(100,435)</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(37,281)</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(34,312)</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(459,892)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179,839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135,372</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225,943</w:t>
            </w:r>
          </w:p>
        </w:tc>
        <w:tc>
          <w:tcPr>
            <w:tcW w:w="2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35,203</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22,055</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598,412</w:t>
            </w:r>
          </w:p>
        </w:tc>
        <w:tc>
          <w:tcPr>
            <w:tcW w:w="1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Total Assets</w:t>
            </w:r>
            <w:r>
              <w:rPr>
                <w:rFonts w:ascii="Arial" w:cs="Arial" w:eastAsia="Arial" w:hAnsi="Arial"/>
                <w:sz w:val="14"/>
                <w:szCs w:val="14"/>
                <w:color w:val="auto"/>
              </w:rPr>
              <w:t>(1)</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310,675</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140,173</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234,471</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103,135</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13,650</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802,104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assets excludes $169,346 thousand of corporate assets, and $37,054 thousand of assets held-for-sale.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48" w:name="page49"/>
    <w:bookmarkEnd w:id="48"/>
    <w:p>
      <w:pPr>
        <w:ind w:right="20" w:firstLine="761"/>
        <w:spacing w:after="0" w:line="277" w:lineRule="auto"/>
        <w:rPr>
          <w:sz w:val="20"/>
          <w:szCs w:val="20"/>
          <w:color w:val="auto"/>
        </w:rPr>
      </w:pPr>
      <w:r>
        <w:rPr>
          <w:rFonts w:ascii="Arial" w:cs="Arial" w:eastAsia="Arial" w:hAnsi="Arial"/>
          <w:sz w:val="18"/>
          <w:szCs w:val="18"/>
          <w:color w:val="auto"/>
        </w:rPr>
        <w:t>The following tables summarize the world-wide operating results and property and equipment for each of the Company’s vessel classes for the periods indicated (in thousands, except statistics):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Crew</w:t>
            </w: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AHTS</w:t>
            </w:r>
          </w:p>
        </w:tc>
        <w:tc>
          <w:tcPr>
            <w:tcW w:w="12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FSV</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1"/>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transfer</w:t>
            </w:r>
          </w:p>
        </w:tc>
        <w:tc>
          <w:tcPr>
            <w:tcW w:w="8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2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year ended December 31, 2019</w:t>
            </w: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5"/>
                <w:szCs w:val="15"/>
                <w:color w:val="auto"/>
              </w:rPr>
              <w:t>Time Charter Statistics: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7,910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6,948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22,509</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7,038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5"/>
                <w:szCs w:val="15"/>
                <w:color w:val="auto"/>
              </w:rPr>
              <w:t>Fleet Utilization</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Fleet Available Days</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12,661</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6,576</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13,915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38,491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5"/>
                <w:szCs w:val="15"/>
                <w:color w:val="auto"/>
              </w:rPr>
              <w:t>Operating Revenues: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73,748</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8,672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62,014</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25,859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182,301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5"/>
                <w:szCs w:val="15"/>
                <w:color w:val="auto"/>
              </w:rPr>
              <w:t>Bareboat charter</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3,569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(670)</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5,088</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3,178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14,060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13,660</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74,640</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15,266</w:t>
            </w:r>
          </w:p>
        </w:tc>
        <w:tc>
          <w:tcPr>
            <w:tcW w:w="24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67,102</w:t>
            </w:r>
          </w:p>
        </w:tc>
        <w:tc>
          <w:tcPr>
            <w:tcW w:w="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27,646</w:t>
            </w:r>
          </w:p>
        </w:tc>
        <w:tc>
          <w:tcPr>
            <w:tcW w:w="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3,178</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201,492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Personnel</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21,864</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19,869</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9,841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Arial" w:cs="Arial" w:eastAsia="Arial" w:hAnsi="Arial"/>
                <w:sz w:val="15"/>
                <w:szCs w:val="15"/>
                <w:color w:val="auto"/>
              </w:rPr>
              <w:t>Repairs and maintenance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2,116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9,096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2,139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7,449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3,497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24,669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5"/>
                <w:szCs w:val="15"/>
                <w:color w:val="auto"/>
              </w:rPr>
              <w:t>Drydocking</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4,465</w:t>
            </w:r>
          </w:p>
        </w:tc>
        <w:tc>
          <w:tcPr>
            <w:tcW w:w="2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Arial" w:cs="Arial" w:eastAsia="Arial" w:hAnsi="Arial"/>
                <w:sz w:val="15"/>
                <w:szCs w:val="15"/>
                <w:color w:val="auto"/>
              </w:rPr>
              <w:t>Insurance and loss reserves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6,038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5"/>
                <w:szCs w:val="15"/>
                <w:color w:val="auto"/>
              </w:rPr>
              <w:t>Fuel, lubes and supplies</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5,197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3,530</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48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1,773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6,482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2,357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1,254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(2,243)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10,331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11,585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45,054</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12,206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495</w:t>
            </w:r>
          </w:p>
        </w:tc>
        <w:tc>
          <w:tcPr>
            <w:tcW w:w="2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39,567</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14,897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(79)</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123,725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13"/>
                <w:szCs w:val="13"/>
                <w:b w:val="1"/>
                <w:bCs w:val="1"/>
                <w:color w:val="auto"/>
              </w:rPr>
              <w:t>(1)</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2,075</w:t>
            </w: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29,586</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3,060</w:t>
            </w:r>
          </w:p>
        </w:tc>
        <w:tc>
          <w:tcPr>
            <w:tcW w:w="240" w:type="dxa"/>
            <w:vAlign w:val="bottom"/>
          </w:tcPr>
          <w:p>
            <w:pPr>
              <w:spacing w:after="0"/>
              <w:rPr>
                <w:sz w:val="18"/>
                <w:szCs w:val="18"/>
                <w:color w:val="auto"/>
              </w:rPr>
            </w:pPr>
          </w:p>
        </w:tc>
        <w:tc>
          <w:tcPr>
            <w:tcW w:w="160" w:type="dxa"/>
            <w:vAlign w:val="bottom"/>
          </w:tcPr>
          <w:p>
            <w:pPr>
              <w:jc w:val="right"/>
              <w:ind w:right="3"/>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(495)</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27,535</w:t>
            </w:r>
          </w:p>
        </w:tc>
        <w:tc>
          <w:tcPr>
            <w:tcW w:w="24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12,749</w:t>
            </w:r>
          </w:p>
        </w:tc>
        <w:tc>
          <w:tcPr>
            <w:tcW w:w="24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3,257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77,767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top w:val="single" w:sz="8" w:color="CFF0FC"/>
            </w:tcBorders>
            <w:shd w:val="clear" w:color="auto" w:fill="CFF0FC"/>
          </w:tcPr>
          <w:p>
            <w:pPr>
              <w:ind w:left="240"/>
              <w:spacing w:after="0" w:line="156" w:lineRule="exact"/>
              <w:rPr>
                <w:sz w:val="20"/>
                <w:szCs w:val="20"/>
                <w:color w:val="auto"/>
              </w:rPr>
            </w:pPr>
            <w:r>
              <w:rPr>
                <w:rFonts w:ascii="Arial" w:cs="Arial" w:eastAsia="Arial" w:hAnsi="Arial"/>
                <w:sz w:val="15"/>
                <w:szCs w:val="15"/>
                <w:color w:val="auto"/>
              </w:rPr>
              <w:t>Other Costs and Expenses:</w:t>
            </w: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5"/>
                <w:szCs w:val="15"/>
                <w:color w:val="auto"/>
              </w:rPr>
              <w:t>Leased-in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5,990</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16,158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5"/>
                <w:szCs w:val="15"/>
                <w:color w:val="auto"/>
              </w:rPr>
              <w:t>Administrative and general</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44,726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22,966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511</w:t>
            </w: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24,491</w:t>
            </w: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1,948</w:t>
            </w:r>
          </w:p>
        </w:tc>
        <w:tc>
          <w:tcPr>
            <w:tcW w:w="2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64,012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124,896</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Losses on Asset Dispositions and</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Impairments, Net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(5,397)</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5"/>
                <w:szCs w:val="15"/>
                <w:color w:val="auto"/>
              </w:rPr>
              <w:t>Operating Loss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(52,526)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b w:val="1"/>
                <w:bCs w:val="1"/>
                <w:color w:val="auto"/>
              </w:rPr>
              <w:t>As of December 31, 2019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240"/>
              <w:spacing w:after="0"/>
              <w:rPr>
                <w:sz w:val="20"/>
                <w:szCs w:val="20"/>
                <w:color w:val="auto"/>
              </w:rPr>
            </w:pPr>
            <w:r>
              <w:rPr>
                <w:rFonts w:ascii="Arial" w:cs="Arial" w:eastAsia="Arial" w:hAnsi="Arial"/>
                <w:sz w:val="15"/>
                <w:szCs w:val="15"/>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94,078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388,460</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44,958</w:t>
            </w:r>
          </w:p>
        </w:tc>
        <w:tc>
          <w:tcPr>
            <w:tcW w:w="240" w:type="dxa"/>
            <w:vAlign w:val="bottom"/>
          </w:tcPr>
          <w:p>
            <w:pPr>
              <w:spacing w:after="0"/>
              <w:rPr>
                <w:sz w:val="15"/>
                <w:szCs w:val="15"/>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14,805</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327,028</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82,645</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25,004</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976,978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Accumulated depreciation</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(73,095)</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6"/>
              </w:rPr>
              <w:t>(101,295)</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(8,471)</w:t>
            </w:r>
          </w:p>
        </w:tc>
        <w:tc>
          <w:tcPr>
            <w:tcW w:w="16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(10,466)</w:t>
            </w:r>
          </w:p>
        </w:tc>
        <w:tc>
          <w:tcPr>
            <w:tcW w:w="14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(93,166)</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(54,358)</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(18,111)</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96"/>
              </w:rPr>
              <w:t>(358,962)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20,983</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287,165</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36,487</w:t>
            </w:r>
          </w:p>
        </w:tc>
        <w:tc>
          <w:tcPr>
            <w:tcW w:w="240" w:type="dxa"/>
            <w:vAlign w:val="bottom"/>
          </w:tcPr>
          <w:p>
            <w:pPr>
              <w:spacing w:after="0"/>
              <w:rPr>
                <w:sz w:val="14"/>
                <w:szCs w:val="14"/>
                <w:color w:val="auto"/>
              </w:rPr>
            </w:pPr>
          </w:p>
        </w:tc>
        <w:tc>
          <w:tcPr>
            <w:tcW w:w="160" w:type="dxa"/>
            <w:vAlign w:val="bottom"/>
          </w:tcPr>
          <w:p>
            <w:pPr>
              <w:jc w:val="right"/>
              <w:ind w:right="3"/>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4,339</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233,862</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28,287</w:t>
            </w:r>
          </w:p>
        </w:tc>
        <w:tc>
          <w:tcPr>
            <w:tcW w:w="2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6,893</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618,016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jc w:val="both"/>
        <w:ind w:left="760" w:hanging="752"/>
        <w:spacing w:after="0" w:line="234" w:lineRule="auto"/>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AHTS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FSV</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1"/>
              </w:rPr>
              <w:t>Supply</w:t>
            </w:r>
          </w:p>
        </w:tc>
        <w:tc>
          <w:tcPr>
            <w:tcW w:w="8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98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transfer</w:t>
            </w: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year ended December 31, 2018</w:t>
            </w:r>
          </w:p>
        </w:tc>
        <w:tc>
          <w:tcPr>
            <w:tcW w:w="6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spacing w:after="0"/>
              <w:rPr>
                <w:sz w:val="20"/>
                <w:szCs w:val="20"/>
                <w:color w:val="auto"/>
              </w:rPr>
            </w:pPr>
            <w:r>
              <w:rPr>
                <w:rFonts w:ascii="Arial" w:cs="Arial" w:eastAsia="Arial" w:hAnsi="Arial"/>
                <w:sz w:val="15"/>
                <w:szCs w:val="15"/>
                <w:color w:val="auto"/>
              </w:rPr>
              <w:t>Time Charter Statistics: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Average Rates Per Day</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10,170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7,382</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7,018</w:t>
            </w:r>
          </w:p>
        </w:tc>
        <w:tc>
          <w:tcPr>
            <w:tcW w:w="1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3"/>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18,482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6,927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5"/>
                <w:szCs w:val="15"/>
                <w:color w:val="auto"/>
              </w:rPr>
              <w:t>Fleet Utilization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Fleet Available Days</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4,150</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14,495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7,329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13,781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42,415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gridSpan w:val="2"/>
          </w:tcPr>
          <w:p>
            <w:pPr>
              <w:spacing w:after="0"/>
              <w:rPr>
                <w:sz w:val="20"/>
                <w:szCs w:val="20"/>
                <w:color w:val="auto"/>
              </w:rPr>
            </w:pPr>
            <w:r>
              <w:rPr>
                <w:rFonts w:ascii="Arial" w:cs="Arial" w:eastAsia="Arial" w:hAnsi="Arial"/>
                <w:sz w:val="15"/>
                <w:szCs w:val="15"/>
                <w:color w:val="auto"/>
              </w:rPr>
              <w:t>Operating Revenues: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Time charter</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10,339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64,046</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12,224</w:t>
            </w:r>
          </w:p>
        </w:tc>
        <w:tc>
          <w:tcPr>
            <w:tcW w:w="1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3"/>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62,716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23,025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172,350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5"/>
                <w:szCs w:val="15"/>
                <w:color w:val="auto"/>
              </w:rPr>
              <w:t>Bareboat charter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4,635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Other</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5,017</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(2,947)</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7,173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13,187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26,582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15,356</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61,099</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18,565</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337</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69,889</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25,134</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13,187</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203,567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Personnel</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5,936</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21,168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7,418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19,299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9,262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67,313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480"/>
              <w:spacing w:after="0"/>
              <w:rPr>
                <w:sz w:val="20"/>
                <w:szCs w:val="20"/>
                <w:color w:val="auto"/>
              </w:rPr>
            </w:pPr>
            <w:r>
              <w:rPr>
                <w:rFonts w:ascii="Arial" w:cs="Arial" w:eastAsia="Arial" w:hAnsi="Arial"/>
                <w:sz w:val="15"/>
                <w:szCs w:val="15"/>
                <w:color w:val="auto"/>
              </w:rPr>
              <w:t>Repairs and maintenance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11,186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6,485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3,432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27,033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Drydocking</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7,793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480"/>
              <w:spacing w:after="0"/>
              <w:rPr>
                <w:sz w:val="20"/>
                <w:szCs w:val="20"/>
                <w:color w:val="auto"/>
              </w:rPr>
            </w:pPr>
            <w:r>
              <w:rPr>
                <w:rFonts w:ascii="Arial" w:cs="Arial" w:eastAsia="Arial" w:hAnsi="Arial"/>
                <w:sz w:val="15"/>
                <w:szCs w:val="15"/>
                <w:color w:val="auto"/>
              </w:rPr>
              <w:t>Insurance and loss reserves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1,579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3,042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6,343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Fuel, lubes and supplies</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1,788</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4,194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4,788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480"/>
              <w:spacing w:after="0"/>
              <w:rPr>
                <w:sz w:val="20"/>
                <w:szCs w:val="20"/>
                <w:color w:val="auto"/>
              </w:rPr>
            </w:pPr>
            <w:r>
              <w:rPr>
                <w:rFonts w:ascii="Arial" w:cs="Arial" w:eastAsia="Arial" w:hAnsi="Arial"/>
                <w:sz w:val="15"/>
                <w:szCs w:val="15"/>
                <w:color w:val="auto"/>
              </w:rPr>
              <w:t>Other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2,239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5,706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2,783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2,040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(3,357)</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10,283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top w:val="single" w:sz="8" w:color="CFF0FC"/>
            </w:tcBorders>
            <w:shd w:val="clear" w:color="auto" w:fill="CFF0FC"/>
          </w:tcPr>
          <w:p>
            <w:pPr>
              <w:spacing w:after="0"/>
              <w:rPr>
                <w:sz w:val="14"/>
                <w:szCs w:val="14"/>
                <w:color w:val="auto"/>
              </w:rPr>
            </w:pPr>
          </w:p>
        </w:tc>
        <w:tc>
          <w:tcPr>
            <w:tcW w:w="6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17,029</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44,372</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17,447</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1,029</w:t>
            </w: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37,147</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14,335</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915</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132,274</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13"/>
                <w:szCs w:val="13"/>
                <w:b w:val="1"/>
                <w:bCs w:val="1"/>
                <w:color w:val="auto"/>
              </w:rPr>
              <w:t>(1)</w:t>
            </w:r>
          </w:p>
        </w:tc>
        <w:tc>
          <w:tcPr>
            <w:tcW w:w="7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(1,673)</w:t>
            </w:r>
          </w:p>
        </w:tc>
        <w:tc>
          <w:tcPr>
            <w:tcW w:w="2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16,727</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1,118</w:t>
            </w:r>
          </w:p>
        </w:tc>
        <w:tc>
          <w:tcPr>
            <w:tcW w:w="180" w:type="dxa"/>
            <w:vAlign w:val="bottom"/>
          </w:tcPr>
          <w:p>
            <w:pPr>
              <w:spacing w:after="0"/>
              <w:rPr>
                <w:sz w:val="18"/>
                <w:szCs w:val="18"/>
                <w:color w:val="auto"/>
              </w:rPr>
            </w:pPr>
          </w:p>
        </w:tc>
        <w:tc>
          <w:tcPr>
            <w:tcW w:w="220" w:type="dxa"/>
            <w:vAlign w:val="bottom"/>
            <w:gridSpan w:val="2"/>
          </w:tcPr>
          <w:p>
            <w:pPr>
              <w:jc w:val="right"/>
              <w:ind w:right="3"/>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(692)</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32,742</w:t>
            </w:r>
          </w:p>
        </w:tc>
        <w:tc>
          <w:tcPr>
            <w:tcW w:w="26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10,799</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12,272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71,293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Borders>
              <w:top w:val="single" w:sz="8" w:color="CFF0FC"/>
            </w:tcBorders>
            <w:shd w:val="clear" w:color="auto" w:fill="CFF0FC"/>
          </w:tcPr>
          <w:p>
            <w:pPr>
              <w:ind w:left="240"/>
              <w:spacing w:after="0" w:line="156" w:lineRule="exact"/>
              <w:rPr>
                <w:sz w:val="20"/>
                <w:szCs w:val="20"/>
                <w:color w:val="auto"/>
              </w:rPr>
            </w:pPr>
            <w:r>
              <w:rPr>
                <w:rFonts w:ascii="Arial" w:cs="Arial" w:eastAsia="Arial" w:hAnsi="Arial"/>
                <w:sz w:val="15"/>
                <w:szCs w:val="15"/>
                <w:color w:val="auto"/>
              </w:rPr>
              <w:t>Other Costs and Expenses:</w:t>
            </w:r>
          </w:p>
        </w:tc>
        <w:tc>
          <w:tcPr>
            <w:tcW w:w="6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Leased-in equipment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7,411</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1,367</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w:t>
            </w:r>
          </w:p>
        </w:tc>
        <w:tc>
          <w:tcPr>
            <w:tcW w:w="1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3"/>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13,239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5"/>
                <w:szCs w:val="15"/>
                <w:color w:val="auto"/>
              </w:rPr>
              <w:t>Administrative and general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46,454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24,475</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6,276</w:t>
            </w:r>
          </w:p>
        </w:tc>
        <w:tc>
          <w:tcPr>
            <w:tcW w:w="1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3"/>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23,644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871</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68,841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128,534</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Losses on Asset Dispositions and</w:t>
            </w: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Impairments, Net</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(11,268)</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5"/>
                <w:szCs w:val="15"/>
                <w:color w:val="auto"/>
              </w:rPr>
              <w:t>Operating Loss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(68,509)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5"/>
                <w:szCs w:val="15"/>
                <w:b w:val="1"/>
                <w:bCs w:val="1"/>
                <w:color w:val="auto"/>
              </w:rPr>
              <w:t>As of December 31, 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ind w:left="240"/>
              <w:spacing w:after="0"/>
              <w:rPr>
                <w:sz w:val="20"/>
                <w:szCs w:val="20"/>
                <w:color w:val="auto"/>
              </w:rPr>
            </w:pPr>
            <w:r>
              <w:rPr>
                <w:rFonts w:ascii="Arial" w:cs="Arial" w:eastAsia="Arial" w:hAnsi="Arial"/>
                <w:sz w:val="15"/>
                <w:szCs w:val="15"/>
                <w:color w:val="auto"/>
              </w:rPr>
              <w:t>Historical cost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197,344</w:t>
            </w:r>
          </w:p>
        </w:tc>
        <w:tc>
          <w:tcPr>
            <w:tcW w:w="18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404,310</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64,284</w:t>
            </w:r>
          </w:p>
        </w:tc>
        <w:tc>
          <w:tcPr>
            <w:tcW w:w="180" w:type="dxa"/>
            <w:vAlign w:val="bottom"/>
          </w:tcPr>
          <w:p>
            <w:pPr>
              <w:spacing w:after="0"/>
              <w:rPr>
                <w:sz w:val="15"/>
                <w:szCs w:val="15"/>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25,683</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329,473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73,589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21,900</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89"/>
              </w:rPr>
              <w:t>1,116,583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Accumulated depreciation</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99"/>
              </w:rPr>
              <w:t>(168,731)</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(98,580)</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(37,202)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(20,433)</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(71,887)</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(46,614)</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(17,952)</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(461,399)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28,613</w:t>
            </w:r>
          </w:p>
        </w:tc>
        <w:tc>
          <w:tcPr>
            <w:tcW w:w="180" w:type="dxa"/>
            <w:vAlign w:val="bottom"/>
          </w:tcPr>
          <w:p>
            <w:pPr>
              <w:spacing w:after="0"/>
              <w:rPr>
                <w:sz w:val="14"/>
                <w:szCs w:val="14"/>
                <w:color w:val="auto"/>
              </w:rPr>
            </w:pPr>
          </w:p>
        </w:tc>
        <w:tc>
          <w:tcPr>
            <w:tcW w:w="2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305,730</w:t>
            </w:r>
          </w:p>
        </w:tc>
        <w:tc>
          <w:tcPr>
            <w:tcW w:w="200" w:type="dxa"/>
            <w:vAlign w:val="bottom"/>
          </w:tcPr>
          <w:p>
            <w:pPr>
              <w:spacing w:after="0"/>
              <w:rPr>
                <w:sz w:val="14"/>
                <w:szCs w:val="14"/>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27,082</w:t>
            </w:r>
          </w:p>
        </w:tc>
        <w:tc>
          <w:tcPr>
            <w:tcW w:w="180" w:type="dxa"/>
            <w:vAlign w:val="bottom"/>
          </w:tcPr>
          <w:p>
            <w:pPr>
              <w:spacing w:after="0"/>
              <w:rPr>
                <w:sz w:val="14"/>
                <w:szCs w:val="14"/>
                <w:color w:val="auto"/>
              </w:rPr>
            </w:pPr>
          </w:p>
        </w:tc>
        <w:tc>
          <w:tcPr>
            <w:tcW w:w="220" w:type="dxa"/>
            <w:vAlign w:val="bottom"/>
            <w:gridSpan w:val="2"/>
          </w:tcPr>
          <w:p>
            <w:pPr>
              <w:jc w:val="right"/>
              <w:ind w:right="3"/>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5,250</w:t>
            </w:r>
          </w:p>
        </w:tc>
        <w:tc>
          <w:tcPr>
            <w:tcW w:w="26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257,586</w:t>
            </w:r>
          </w:p>
        </w:tc>
        <w:tc>
          <w:tcPr>
            <w:tcW w:w="2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26,975</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3,948</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655,184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jc w:val="both"/>
        <w:ind w:left="760" w:hanging="752"/>
        <w:spacing w:after="0" w:line="234"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AHTS</w:t>
            </w:r>
          </w:p>
        </w:tc>
        <w:tc>
          <w:tcPr>
            <w:tcW w:w="14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FSV</w:t>
            </w:r>
          </w:p>
        </w:tc>
        <w:tc>
          <w:tcPr>
            <w:tcW w:w="10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1"/>
              </w:rPr>
              <w:t>Supply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4"/>
              </w:rPr>
              <w:t>Specialty</w:t>
            </w:r>
          </w:p>
        </w:tc>
        <w:tc>
          <w:tcPr>
            <w:tcW w:w="96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7"/>
              </w:rPr>
              <w:t>Liftboats</w:t>
            </w:r>
          </w:p>
        </w:tc>
        <w:tc>
          <w:tcPr>
            <w:tcW w:w="8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89"/>
              </w:rPr>
              <w:t>transfer</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year ended December 31, 2017</w:t>
            </w: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gridSpan w:val="2"/>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7,729</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6,357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13,463</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53%</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14,645</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5,390</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42,055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53,370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7,725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13,959</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23,203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110,322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4,636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(289)</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1,265</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4,419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8,463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12,314</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53,566</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12,072</w:t>
            </w:r>
          </w:p>
        </w:tc>
        <w:tc>
          <w:tcPr>
            <w:tcW w:w="24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695</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15,224</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25,131</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4,419</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123,421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19,947</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5,178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9,725</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8,239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54,613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8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2,550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11,135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1,149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3,598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2,679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21,324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2,920</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951</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8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1,035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1,269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2,948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2,067</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8,746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4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(1,378)</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6,817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1,712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416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1,187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9,133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14,057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45,514</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9,536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3,155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20,476</w:t>
            </w: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12,156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(73)</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104,821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13"/>
                <w:szCs w:val="13"/>
                <w:b w:val="1"/>
                <w:bCs w:val="1"/>
                <w:color w:val="auto"/>
              </w:rPr>
              <w:t>(1)</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2"/>
            <w:vMerge w:val="continue"/>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(1,743)</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8,052</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2,536</w:t>
            </w:r>
          </w:p>
        </w:tc>
        <w:tc>
          <w:tcPr>
            <w:tcW w:w="240" w:type="dxa"/>
            <w:vAlign w:val="bottom"/>
          </w:tcPr>
          <w:p>
            <w:pPr>
              <w:spacing w:after="0"/>
              <w:rPr>
                <w:sz w:val="18"/>
                <w:szCs w:val="18"/>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(2,460)</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(5,252)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12,975</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4,492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18,601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Leased-in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7,470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2,236</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2,579</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14,449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Administrative and general</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49,865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19,342</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7,365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11,173</w:t>
            </w: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1,926</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60,307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124,621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Losses on Asset Dispositions and</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Impairments, Net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(23,623)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5"/>
                <w:szCs w:val="15"/>
                <w:color w:val="auto"/>
              </w:rPr>
              <w:t>Operating Loss</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(129,644)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b w:val="1"/>
                <w:bCs w:val="1"/>
                <w:color w:val="auto"/>
              </w:rPr>
              <w:t>As of December 31, 2017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ind w:left="240"/>
              <w:spacing w:after="0"/>
              <w:rPr>
                <w:sz w:val="20"/>
                <w:szCs w:val="20"/>
                <w:color w:val="auto"/>
              </w:rPr>
            </w:pPr>
            <w:r>
              <w:rPr>
                <w:rFonts w:ascii="Arial" w:cs="Arial" w:eastAsia="Arial" w:hAnsi="Arial"/>
                <w:sz w:val="15"/>
                <w:szCs w:val="15"/>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198,222</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424,865</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105,360</w:t>
            </w:r>
          </w:p>
        </w:tc>
        <w:tc>
          <w:tcPr>
            <w:tcW w:w="24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30,529</w:t>
            </w:r>
          </w:p>
        </w:tc>
        <w:tc>
          <w:tcPr>
            <w:tcW w:w="26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196,504</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65,976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36,848</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1,058,304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Accumulated depreciation</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9"/>
              </w:rPr>
              <w:t>(174,159)</w:t>
            </w:r>
          </w:p>
        </w:tc>
        <w:tc>
          <w:tcPr>
            <w:tcW w:w="14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(89,980)</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(51,494)</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(19,304)</w:t>
            </w:r>
          </w:p>
        </w:tc>
        <w:tc>
          <w:tcPr>
            <w:tcW w:w="14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(54,161)</w:t>
            </w: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(40,358)</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(30,436)</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(459,892)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24,063</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w w:val="99"/>
              </w:rPr>
              <w:t>334,885</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53,866</w:t>
            </w:r>
          </w:p>
        </w:tc>
        <w:tc>
          <w:tcPr>
            <w:tcW w:w="24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11,225</w:t>
            </w:r>
          </w:p>
        </w:tc>
        <w:tc>
          <w:tcPr>
            <w:tcW w:w="26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w w:val="99"/>
              </w:rPr>
              <w:t>142,343</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25,618</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6,412</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598,412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jc w:val="both"/>
        <w:ind w:left="760" w:hanging="752"/>
        <w:spacing w:after="0" w:line="234"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Direct vessel profit by vessel class is a non-GAAP financial measure. See "-Certain Components of Revenues and Expenses - Direct Vessel Profit" for a discussion of the usefulness of this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left="760"/>
        <w:spacing w:after="0"/>
        <w:rPr>
          <w:sz w:val="20"/>
          <w:szCs w:val="20"/>
          <w:color w:val="auto"/>
        </w:rPr>
      </w:pPr>
      <w:r>
        <w:rPr>
          <w:rFonts w:ascii="Arial" w:cs="Arial" w:eastAsia="Arial" w:hAnsi="Arial"/>
          <w:sz w:val="18"/>
          <w:szCs w:val="18"/>
          <w:b w:val="1"/>
          <w:bCs w:val="1"/>
          <w:color w:val="auto"/>
        </w:rPr>
        <w:t>Operating Income (Loss)</w:t>
      </w:r>
    </w:p>
    <w:p>
      <w:pPr>
        <w:spacing w:after="0" w:line="20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United States, primarily Gulf of Mexico. </w:t>
      </w:r>
      <w:r>
        <w:rPr>
          <w:rFonts w:ascii="Arial" w:cs="Arial" w:eastAsia="Arial" w:hAnsi="Arial"/>
          <w:sz w:val="18"/>
          <w:szCs w:val="18"/>
          <w:color w:val="auto"/>
        </w:rPr>
        <w:t>For the years ended December 31, the Company’s direct vessel profit (loss) in the U.S.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statistics):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Rates Per Day Worked: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AHTS</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31,648</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35,496</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FSV</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8,768</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6,779</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7,847</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Supply</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Liftboats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19,563</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13,869</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8,784</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Overall</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Utilization: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AHTS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9%</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FSV</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Supply</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Liftboats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5"/>
                <w:szCs w:val="15"/>
                <w:color w:val="auto"/>
              </w:rPr>
              <w:t>29%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Overall</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Available Days: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AHTS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FSV</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2,689</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5,264</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6,807</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Supply</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Specialty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Liftboats</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4,642</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Overall</w:t>
            </w:r>
          </w:p>
        </w:tc>
        <w:tc>
          <w:tcPr>
            <w:tcW w:w="1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58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58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15,784</w:t>
            </w:r>
          </w:p>
        </w:tc>
        <w:tc>
          <w:tcPr>
            <w:tcW w:w="60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Operating revenues: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charter</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18,079</w:t>
            </w: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Bareboat charter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1,562</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marine services</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w:t>
            </w: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53,564</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22,296</w:t>
            </w:r>
          </w:p>
        </w:tc>
        <w:tc>
          <w:tcPr>
            <w:tcW w:w="6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Personnel</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17,491</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18,708</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15,621</w:t>
            </w:r>
          </w:p>
        </w:tc>
        <w:tc>
          <w:tcPr>
            <w:tcW w:w="6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Repairs and maintenance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w:t>
            </w: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Drydocking</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4,594</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1,957</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1,828</w:t>
            </w:r>
          </w:p>
        </w:tc>
        <w:tc>
          <w:tcPr>
            <w:tcW w:w="6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Insurance and loss reserves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Fuel, lubes and supplies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2,936</w:t>
            </w:r>
          </w:p>
        </w:tc>
        <w:tc>
          <w:tcPr>
            <w:tcW w:w="5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3,568</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1,485</w:t>
            </w:r>
          </w:p>
        </w:tc>
        <w:tc>
          <w:tcPr>
            <w:tcW w:w="6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5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w:t>
            </w:r>
          </w:p>
        </w:tc>
        <w:tc>
          <w:tcPr>
            <w:tcW w:w="6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Vessel Profit (Loss)</w:t>
            </w:r>
          </w:p>
        </w:tc>
        <w:tc>
          <w:tcPr>
            <w:tcW w:w="1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5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20,864</w:t>
            </w:r>
          </w:p>
        </w:tc>
        <w:tc>
          <w:tcPr>
            <w:tcW w:w="5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6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$0.2 million higher in 2019 compared with 2018. On an overall basis, time charter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$2.7 million higher due to net fleet additions and $0.5 million higher due to improved utilization and an increase in average dayrates. Time charter revenues were $3.0 million lower due to the repositioning of vessels between geographic regions. Other marine services were $9.4 million lower primarily due to the recognition in 2018 of revenue previously deferred due to collection concerns following the receipt of cash and due to the commencement of a bareboat contract in 2019. As of December 31, 2019, the Company had 14 of 25 owned and leased-in vessels cold-stacked in this region (two AHTS, three FSVs, eight lift boats and one specialty vessel) compared with 18 of 30 vessels as of December 31, 2018. As of December 31, 2018, the Company had two AHTS vessels retired and removed from service in this region.</w:t>
      </w:r>
    </w:p>
    <w:p>
      <w:pPr>
        <w:spacing w:after="0" w:line="14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$2.7 million higher in 2019 compared with 2018, due primarily to the repositioning of</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between geographic regions and increased repair and maintenance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52" w:name="page53"/>
    <w:bookmarkEnd w:id="52"/>
    <w:p>
      <w:pPr>
        <w:ind w:left="7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189" w:lineRule="exact"/>
        <w:rPr>
          <w:sz w:val="20"/>
          <w:szCs w:val="20"/>
          <w:color w:val="auto"/>
        </w:rPr>
      </w:pPr>
    </w:p>
    <w:p>
      <w:pPr>
        <w:jc w:val="both"/>
        <w:ind w:right="20" w:firstLine="761"/>
        <w:spacing w:after="0" w:line="255"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$20.7 million higher in 2018 compared with 2017. On an overall basis,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$20.0 million higher due to net fleet additions and $1.6 million higher due to improved utilization including the reactivation of vessels from cold stack. Time charter revenues were $0.5 million lower due to the repositioning of vessels between geographic regions and $0.4 million lower due to a decrease in average day rates. As of December 31, 2018, the Company had 18 of 30 owned and leased-in vessels cold-stacked in this region (six AHTS, five FSVs, six liftboats and one specialty vessel) compared with 34 of 42 vessels as of December 31, 2017. As of December 31, 2018, the Company had four AHTS vessels and one supply vessel retired and removed from service in this region.</w:t>
      </w:r>
    </w:p>
    <w:p>
      <w:pPr>
        <w:spacing w:after="0" w:line="166" w:lineRule="exact"/>
        <w:rPr>
          <w:sz w:val="20"/>
          <w:szCs w:val="20"/>
          <w:color w:val="auto"/>
        </w:rPr>
      </w:pPr>
    </w:p>
    <w:p>
      <w:pPr>
        <w:jc w:val="both"/>
        <w:ind w:right="20" w:firstLine="761"/>
        <w:spacing w:after="0" w:line="31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$6.6 million higher in 2018 compared with 2017. On an overall basis,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were $11.8 million higher due to net fleet acquisitions, $0.2 million higher due to active fleet, $4.7 million lower due to reduced costs of the cold-stacked fleet, and the removal of vessels from service, and $0.7 million lower due to the repositioning of vessels between geographic regions.</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Africa, primarily West Africa. </w:t>
      </w:r>
      <w:r>
        <w:rPr>
          <w:rFonts w:ascii="Arial" w:cs="Arial" w:eastAsia="Arial" w:hAnsi="Arial"/>
          <w:sz w:val="16"/>
          <w:szCs w:val="16"/>
          <w:color w:val="auto"/>
        </w:rPr>
        <w:t>For the years ended December 31, the Company’s direct vessel profit in Africa was as follows (in thousands, except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statistics):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1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w:t>
            </w: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FSV</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9,840</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9,926</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9,526</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8,429</w:t>
            </w: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12,014</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Utilization:</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FSV</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82%</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87%</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FSV</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3,518</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2,941</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3,040</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6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5,406</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5,376</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1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44,160</w:t>
            </w:r>
          </w:p>
        </w:tc>
        <w:tc>
          <w:tcPr>
            <w:tcW w:w="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43,847</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32,866</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marine services</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6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6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45,621</w:t>
            </w:r>
          </w:p>
        </w:tc>
        <w:tc>
          <w:tcPr>
            <w:tcW w:w="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51,508</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33,946</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16,538</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13,419</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Repairs and maintenance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4,701</w:t>
            </w:r>
          </w:p>
        </w:tc>
        <w:tc>
          <w:tcPr>
            <w:tcW w:w="6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6,330</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5,957</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Drydocking</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Insurance and loss reserves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1,051</w:t>
            </w:r>
          </w:p>
        </w:tc>
        <w:tc>
          <w:tcPr>
            <w:tcW w:w="6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1,096</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Fuel, lubes and supplies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6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6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27,900</w:t>
            </w:r>
          </w:p>
        </w:tc>
        <w:tc>
          <w:tcPr>
            <w:tcW w:w="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28,367</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Direct Vessel Profit</w:t>
            </w:r>
          </w:p>
        </w:tc>
        <w:tc>
          <w:tcPr>
            <w:tcW w:w="1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6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17,320</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3" w:name="page54"/>
    <w:bookmarkEnd w:id="53"/>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$0.3 million higher in 2019 compared with 2018. On an overall basis, time charter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higher due to net fleet additions, $1.1 million lower due to the repositioning of vessels between geographic regions and $0.3 million lower for the core fleet. Other marine services were $6.2 million lower primarily due to the recognition in 2018 period of revenue previously deferred due to collection concerns with regard to one customer following receipt of cash. As of December 31, 2019, the Company had one specialty vessel retired and removed from service in this region.</w:t>
      </w:r>
    </w:p>
    <w:p>
      <w:pPr>
        <w:spacing w:after="0" w:line="16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$6.3 million lower in 2019 compared with 2018, primarily due to the repositioning of</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between geographic regions and the timing of dry dockings and certain repair expenditures.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18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$11.0 million higher in 2018 compared with 2017. On an overall basis,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$17.0 million higher due to net fleet additions and $0.8 million higher due to the reactivation of vessels from cold-stack. Time charter revenues increases in 2018 were offset by $5.0 million due to the repositioning of vessels between geographic regions, $1.5 million lower due to a decrease in average day rates and $0.3 million lower due to lower utilization of the active fleet. Other marine services were $6.6 million higher primarily due to the recognition of revenue, previously deferred due to collection concerns with regard to one customer following receipt of cash. As of December 31, 2018, the Company had one specialty vessel retired and removed from service in this region.</w:t>
      </w:r>
    </w:p>
    <w:p>
      <w:pPr>
        <w:spacing w:after="0" w:line="153"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$5.8 million higher in 2018 compared with 2017. On an overall basis, operating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$9.4 million higher due to net fleet additions, $2.9 million lower due to the repositioning of vessels between geographic regions, and $0.7 million lower for vessels in active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Middle East and Asia. </w:t>
      </w:r>
      <w:r>
        <w:rPr>
          <w:rFonts w:ascii="Arial" w:cs="Arial" w:eastAsia="Arial" w:hAnsi="Arial"/>
          <w:sz w:val="18"/>
          <w:szCs w:val="18"/>
          <w:color w:val="auto"/>
        </w:rPr>
        <w:t>For the years ended December 31, the Company’s direct vessel profit (loss) in the Middle East and Asia was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statistics):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20"/>
                <w:szCs w:val="20"/>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5,873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5,871</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7,791</w:t>
            </w:r>
          </w:p>
        </w:tc>
        <w:tc>
          <w:tcPr>
            <w:tcW w:w="220" w:type="dxa"/>
            <w:vAlign w:val="bottom"/>
            <w:shd w:val="clear" w:color="auto" w:fill="CFF0FC"/>
          </w:tcPr>
          <w:p>
            <w:pPr>
              <w:spacing w:after="0"/>
              <w:rPr>
                <w:sz w:val="19"/>
                <w:szCs w:val="19"/>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6,582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090"/>
              <w:spacing w:after="0"/>
              <w:rPr>
                <w:sz w:val="20"/>
                <w:szCs w:val="20"/>
                <w:color w:val="auto"/>
              </w:rPr>
            </w:pPr>
            <w:r>
              <w:rPr>
                <w:rFonts w:ascii="Arial" w:cs="Arial" w:eastAsia="Arial" w:hAnsi="Arial"/>
                <w:sz w:val="18"/>
                <w:szCs w:val="18"/>
                <w:color w:val="auto"/>
              </w:rPr>
              <w:t>6,492</w:t>
            </w:r>
          </w:p>
        </w:tc>
        <w:tc>
          <w:tcPr>
            <w:tcW w:w="220" w:type="dxa"/>
            <w:vAlign w:val="bottom"/>
          </w:tcPr>
          <w:p>
            <w:pPr>
              <w:spacing w:after="0"/>
              <w:rPr>
                <w:sz w:val="19"/>
                <w:szCs w:val="19"/>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5,087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5,181</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3,907</w:t>
            </w:r>
          </w:p>
        </w:tc>
        <w:tc>
          <w:tcPr>
            <w:tcW w:w="220" w:type="dxa"/>
            <w:vAlign w:val="bottom"/>
            <w:shd w:val="clear" w:color="auto" w:fill="CFF0FC"/>
          </w:tcPr>
          <w:p>
            <w:pPr>
              <w:spacing w:after="0"/>
              <w:rPr>
                <w:sz w:val="19"/>
                <w:szCs w:val="19"/>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208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gridSpan w:val="2"/>
          </w:tcPr>
          <w:p>
            <w:pPr>
              <w:jc w:val="right"/>
              <w:ind w:right="1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0" w:type="dxa"/>
            <w:vAlign w:val="bottom"/>
          </w:tcPr>
          <w:p>
            <w:pPr>
              <w:jc w:val="right"/>
              <w:ind w:right="109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9"/>
                <w:szCs w:val="19"/>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27,177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30,505</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36,000</w:t>
            </w:r>
          </w:p>
        </w:tc>
        <w:tc>
          <w:tcPr>
            <w:tcW w:w="220" w:type="dxa"/>
            <w:vAlign w:val="bottom"/>
            <w:shd w:val="clear" w:color="auto" w:fill="CFF0FC"/>
          </w:tcPr>
          <w:p>
            <w:pPr>
              <w:spacing w:after="0"/>
              <w:rPr>
                <w:sz w:val="19"/>
                <w:szCs w:val="19"/>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Crew transfer</w:t>
            </w:r>
          </w:p>
        </w:tc>
        <w:tc>
          <w:tcPr>
            <w:tcW w:w="220" w:type="dxa"/>
            <w:vAlign w:val="bottom"/>
          </w:tcPr>
          <w:p>
            <w:pPr>
              <w:spacing w:after="0"/>
              <w:rPr>
                <w:sz w:val="19"/>
                <w:szCs w:val="19"/>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107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09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8,556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8,320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rPr>
              <w:t>6,873</w:t>
            </w:r>
          </w:p>
        </w:tc>
        <w:tc>
          <w:tcPr>
            <w:tcW w:w="22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Utilization:</w:t>
            </w:r>
          </w:p>
        </w:tc>
        <w:tc>
          <w:tcPr>
            <w:tcW w:w="3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3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322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49%</w:t>
            </w:r>
          </w:p>
        </w:tc>
        <w:tc>
          <w:tcPr>
            <w:tcW w:w="23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42%</w:t>
            </w:r>
          </w:p>
        </w:tc>
        <w:tc>
          <w:tcPr>
            <w:tcW w:w="258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rPr>
              <w:t>70%</w:t>
            </w:r>
          </w:p>
        </w:tc>
      </w:tr>
      <w:tr>
        <w:trPr>
          <w:trHeight w:val="230"/>
        </w:trPr>
        <w:tc>
          <w:tcPr>
            <w:tcW w:w="3280" w:type="dxa"/>
            <w:vAlign w:val="bottom"/>
          </w:tcPr>
          <w:p>
            <w:pPr>
              <w:ind w:left="500"/>
              <w:spacing w:after="0"/>
              <w:rPr>
                <w:sz w:val="20"/>
                <w:szCs w:val="20"/>
                <w:color w:val="auto"/>
              </w:rPr>
            </w:pPr>
            <w:r>
              <w:rPr>
                <w:rFonts w:ascii="Arial" w:cs="Arial" w:eastAsia="Arial" w:hAnsi="Arial"/>
                <w:sz w:val="18"/>
                <w:szCs w:val="18"/>
                <w:color w:val="auto"/>
              </w:rPr>
              <w:t>FSV</w:t>
            </w:r>
          </w:p>
        </w:tc>
        <w:tc>
          <w:tcPr>
            <w:tcW w:w="3220" w:type="dxa"/>
            <w:vAlign w:val="bottom"/>
          </w:tcPr>
          <w:p>
            <w:pPr>
              <w:jc w:val="right"/>
              <w:ind w:right="890"/>
              <w:spacing w:after="0"/>
              <w:rPr>
                <w:sz w:val="20"/>
                <w:szCs w:val="20"/>
                <w:color w:val="auto"/>
              </w:rPr>
            </w:pPr>
            <w:r>
              <w:rPr>
                <w:rFonts w:ascii="Arial" w:cs="Arial" w:eastAsia="Arial" w:hAnsi="Arial"/>
                <w:sz w:val="18"/>
                <w:szCs w:val="18"/>
                <w:color w:val="auto"/>
              </w:rPr>
              <w:t>87%</w:t>
            </w:r>
          </w:p>
        </w:tc>
        <w:tc>
          <w:tcPr>
            <w:tcW w:w="2340" w:type="dxa"/>
            <w:vAlign w:val="bottom"/>
          </w:tcPr>
          <w:p>
            <w:pPr>
              <w:jc w:val="right"/>
              <w:ind w:right="930"/>
              <w:spacing w:after="0"/>
              <w:rPr>
                <w:sz w:val="20"/>
                <w:szCs w:val="20"/>
                <w:color w:val="auto"/>
              </w:rPr>
            </w:pPr>
            <w:r>
              <w:rPr>
                <w:rFonts w:ascii="Arial" w:cs="Arial" w:eastAsia="Arial" w:hAnsi="Arial"/>
                <w:sz w:val="18"/>
                <w:szCs w:val="18"/>
                <w:color w:val="auto"/>
              </w:rPr>
              <w:t>81%</w:t>
            </w:r>
          </w:p>
        </w:tc>
        <w:tc>
          <w:tcPr>
            <w:tcW w:w="2580" w:type="dxa"/>
            <w:vAlign w:val="bottom"/>
          </w:tcPr>
          <w:p>
            <w:pPr>
              <w:jc w:val="right"/>
              <w:ind w:right="1130"/>
              <w:spacing w:after="0"/>
              <w:rPr>
                <w:sz w:val="20"/>
                <w:szCs w:val="20"/>
                <w:color w:val="auto"/>
              </w:rPr>
            </w:pPr>
            <w:r>
              <w:rPr>
                <w:rFonts w:ascii="Arial" w:cs="Arial" w:eastAsia="Arial" w:hAnsi="Arial"/>
                <w:sz w:val="18"/>
                <w:szCs w:val="18"/>
                <w:color w:val="auto"/>
              </w:rPr>
              <w:t>76%</w:t>
            </w:r>
          </w:p>
        </w:tc>
      </w:tr>
      <w:tr>
        <w:trPr>
          <w:trHeight w:val="230"/>
        </w:trPr>
        <w:tc>
          <w:tcPr>
            <w:tcW w:w="3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322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73%</w:t>
            </w:r>
          </w:p>
        </w:tc>
        <w:tc>
          <w:tcPr>
            <w:tcW w:w="23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69%</w:t>
            </w:r>
          </w:p>
        </w:tc>
        <w:tc>
          <w:tcPr>
            <w:tcW w:w="258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rPr>
              <w:t>51%</w:t>
            </w:r>
          </w:p>
        </w:tc>
      </w:tr>
      <w:tr>
        <w:trPr>
          <w:trHeight w:val="230"/>
        </w:trPr>
        <w:tc>
          <w:tcPr>
            <w:tcW w:w="328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32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1130"/>
              <w:spacing w:after="0"/>
              <w:rPr>
                <w:sz w:val="20"/>
                <w:szCs w:val="20"/>
                <w:color w:val="auto"/>
              </w:rPr>
            </w:pPr>
            <w:r>
              <w:rPr>
                <w:rFonts w:ascii="Arial" w:cs="Arial" w:eastAsia="Arial" w:hAnsi="Arial"/>
                <w:sz w:val="18"/>
                <w:szCs w:val="18"/>
                <w:color w:val="auto"/>
              </w:rPr>
              <w:t>3%</w:t>
            </w:r>
          </w:p>
        </w:tc>
      </w:tr>
      <w:tr>
        <w:trPr>
          <w:trHeight w:val="230"/>
        </w:trPr>
        <w:tc>
          <w:tcPr>
            <w:tcW w:w="3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322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100%</w:t>
            </w:r>
          </w:p>
        </w:tc>
        <w:tc>
          <w:tcPr>
            <w:tcW w:w="23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85%</w:t>
            </w:r>
          </w:p>
        </w:tc>
        <w:tc>
          <w:tcPr>
            <w:tcW w:w="258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rPr>
              <w:t>23%</w:t>
            </w:r>
          </w:p>
        </w:tc>
      </w:tr>
      <w:tr>
        <w:trPr>
          <w:trHeight w:val="230"/>
        </w:trPr>
        <w:tc>
          <w:tcPr>
            <w:tcW w:w="3280" w:type="dxa"/>
            <w:vAlign w:val="bottom"/>
          </w:tcPr>
          <w:p>
            <w:pPr>
              <w:ind w:left="500"/>
              <w:spacing w:after="0"/>
              <w:rPr>
                <w:sz w:val="20"/>
                <w:szCs w:val="20"/>
                <w:color w:val="auto"/>
              </w:rPr>
            </w:pPr>
            <w:r>
              <w:rPr>
                <w:rFonts w:ascii="Arial" w:cs="Arial" w:eastAsia="Arial" w:hAnsi="Arial"/>
                <w:sz w:val="18"/>
                <w:szCs w:val="18"/>
                <w:color w:val="auto"/>
              </w:rPr>
              <w:t>Crew transfer</w:t>
            </w:r>
          </w:p>
        </w:tc>
        <w:tc>
          <w:tcPr>
            <w:tcW w:w="3220" w:type="dxa"/>
            <w:vAlign w:val="bottom"/>
          </w:tcPr>
          <w:p>
            <w:pPr>
              <w:jc w:val="right"/>
              <w:ind w:right="890"/>
              <w:spacing w:after="0"/>
              <w:rPr>
                <w:sz w:val="20"/>
                <w:szCs w:val="20"/>
                <w:color w:val="auto"/>
              </w:rPr>
            </w:pPr>
            <w:r>
              <w:rPr>
                <w:rFonts w:ascii="Arial" w:cs="Arial" w:eastAsia="Arial" w:hAnsi="Arial"/>
                <w:sz w:val="18"/>
                <w:szCs w:val="18"/>
                <w:color w:val="auto"/>
              </w:rPr>
              <w:t>43%</w:t>
            </w:r>
          </w:p>
        </w:tc>
        <w:tc>
          <w:tcPr>
            <w:tcW w:w="2340" w:type="dxa"/>
            <w:vAlign w:val="bottom"/>
          </w:tcPr>
          <w:p>
            <w:pPr>
              <w:jc w:val="right"/>
              <w:ind w:right="930"/>
              <w:spacing w:after="0"/>
              <w:rPr>
                <w:sz w:val="20"/>
                <w:szCs w:val="20"/>
                <w:color w:val="auto"/>
              </w:rPr>
            </w:pPr>
            <w:r>
              <w:rPr>
                <w:rFonts w:ascii="Arial" w:cs="Arial" w:eastAsia="Arial" w:hAnsi="Arial"/>
                <w:sz w:val="18"/>
                <w:szCs w:val="18"/>
                <w:color w:val="auto"/>
              </w:rPr>
              <w:t>44%</w:t>
            </w:r>
          </w:p>
        </w:tc>
        <w:tc>
          <w:tcPr>
            <w:tcW w:w="2580" w:type="dxa"/>
            <w:vAlign w:val="bottom"/>
          </w:tcPr>
          <w:p>
            <w:pPr>
              <w:jc w:val="right"/>
              <w:ind w:right="1130"/>
              <w:spacing w:after="0"/>
              <w:rPr>
                <w:sz w:val="20"/>
                <w:szCs w:val="20"/>
                <w:color w:val="auto"/>
              </w:rPr>
            </w:pPr>
            <w:r>
              <w:rPr>
                <w:rFonts w:ascii="Arial" w:cs="Arial" w:eastAsia="Arial" w:hAnsi="Arial"/>
                <w:sz w:val="18"/>
                <w:szCs w:val="18"/>
                <w:color w:val="auto"/>
              </w:rPr>
              <w:t>14%</w:t>
            </w:r>
          </w:p>
        </w:tc>
      </w:tr>
      <w:tr>
        <w:trPr>
          <w:trHeight w:val="230"/>
        </w:trPr>
        <w:tc>
          <w:tcPr>
            <w:tcW w:w="3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322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79%</w:t>
            </w:r>
          </w:p>
        </w:tc>
        <w:tc>
          <w:tcPr>
            <w:tcW w:w="23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74%</w:t>
            </w:r>
          </w:p>
        </w:tc>
        <w:tc>
          <w:tcPr>
            <w:tcW w:w="258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rPr>
              <w:t>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AHTS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FSV</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5,088</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5,390</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4,433</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50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Crew transfer</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4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4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8,008</w:t>
            </w: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8,302</w:t>
            </w:r>
          </w:p>
        </w:tc>
        <w:tc>
          <w:tcPr>
            <w:tcW w:w="4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54,312</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50,072</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33,410</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Other marine services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1,669</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(887)</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55,981</w:t>
            </w:r>
          </w:p>
        </w:tc>
        <w:tc>
          <w:tcPr>
            <w:tcW w:w="14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49,185</w:t>
            </w:r>
          </w:p>
        </w:tc>
        <w:tc>
          <w:tcPr>
            <w:tcW w:w="4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33,884</w:t>
            </w:r>
          </w:p>
        </w:tc>
        <w:tc>
          <w:tcPr>
            <w:tcW w:w="4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16,698</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16,806</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16,883</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Repairs and maintenance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7,182</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11,172</w:t>
            </w:r>
          </w:p>
        </w:tc>
        <w:tc>
          <w:tcPr>
            <w:tcW w:w="4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9,037</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Drydocking</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Insurance and loss reserves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1,449</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1,371</w:t>
            </w:r>
          </w:p>
        </w:tc>
        <w:tc>
          <w:tcPr>
            <w:tcW w:w="4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Fuel, lubes and supplies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14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4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4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38,718</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37,299</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Direct Vessel Profit (Loss)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24,053</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4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vMerge w:val="restart"/>
          </w:tcPr>
          <w:p>
            <w:pPr>
              <w:jc w:val="right"/>
              <w:ind w:right="910"/>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55" w:name="page56"/>
    <w:bookmarkEnd w:id="55"/>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Time charter revenues were $4.2 million higher in 2019 compared with 2018, primarily due to improved utilization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repositioning of vessels between geographic regions. Other operating revenues were $2.6 million higher in 2019 compared 2018 primarily due to the termination of a revenue pooling arrangement. As of December 31, 2019, the Company had no owned and leased-in vessels cold-stacked in this region, compared with one of 22 vessels as of December 31, 2018.</w:t>
      </w:r>
    </w:p>
    <w:p>
      <w:pPr>
        <w:spacing w:after="0" w:line="16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$6.8 million lower in 2019 compared with 2018 primarily due to net fleet dispositions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timing of dry dockings and certain repair expenditures.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18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Time charter revenues were $16.7 million higher in 2018 compared with 2017. On an overall basis, time charter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$8.1 million higher due to net fleet additions, $7.2 million higher due to improved utilization of which $0.4 million was due to the reactivation of vessels from cold-stack, and $3.4 million due to the repositioning of vessels between geographic regions. Time charter revenues were $2.4 million lower due to a reduction in average day rates. As of December 31, 2018, the Company had one of 22 owned and leased-in vessels cold-stacked in this region (one AHTS vessel) compared with two of 25 vessels as of December 31, 2017. As of December 31, 2018, the Company had one specialty vessel retired and removed from service in this region.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operating revenues were $1.4 million lower in 2018 compared 2017 primarily due to the completion of a bareboat charter.</w:t>
      </w:r>
    </w:p>
    <w:p>
      <w:pPr>
        <w:spacing w:after="0" w:line="198"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$1.4 million higher in 2018 compared with 2017. On an overall basis, direct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were $1.8 million higher due to net fleet additions, $1.0 million higher for vessels in active service and other changes in fleet mix, $0.4 million higher due to the repositioning of vessels between geographic regions, and $1.8 million lower due to the effect of cold-stacking vessels. Repair and maintenance costs were $2.1 million higher primarily due to higher main engine repair costs for the FSV fleet, and higher repair costs for the liftboats. Other operating expenses were $1.3 million lower, primarily due to the repositioning of vessels between geographic regions in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left="760"/>
        <w:spacing w:after="0"/>
        <w:rPr>
          <w:sz w:val="20"/>
          <w:szCs w:val="20"/>
          <w:color w:val="auto"/>
        </w:rPr>
      </w:pPr>
      <w:r>
        <w:rPr>
          <w:rFonts w:ascii="Arial" w:cs="Arial" w:eastAsia="Arial" w:hAnsi="Arial"/>
          <w:sz w:val="17"/>
          <w:szCs w:val="17"/>
          <w:b w:val="1"/>
          <w:bCs w:val="1"/>
          <w:i w:val="1"/>
          <w:iCs w:val="1"/>
          <w:color w:val="auto"/>
        </w:rPr>
        <w:t xml:space="preserve">Latin America. </w:t>
      </w:r>
      <w:r>
        <w:rPr>
          <w:rFonts w:ascii="Arial" w:cs="Arial" w:eastAsia="Arial" w:hAnsi="Arial"/>
          <w:sz w:val="17"/>
          <w:szCs w:val="17"/>
          <w:color w:val="auto"/>
        </w:rPr>
        <w:t>For the years ended December 31, the Company’s direct vessel profit in Latin America was as follows (in thousands, except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statistics):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12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Supply</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21,852</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Overall</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9,449</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15,991</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16,393</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FSV</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Liftboats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FSV</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Supply</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Liftboats</w:t>
            </w:r>
          </w:p>
        </w:tc>
        <w:tc>
          <w:tcPr>
            <w:tcW w:w="10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3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10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58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Time charter</w:t>
            </w:r>
          </w:p>
        </w:tc>
        <w:tc>
          <w:tcPr>
            <w:tcW w:w="12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11,460</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17,343</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2,977</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Bareboat charter</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r>
      <w:tr>
        <w:trPr>
          <w:trHeight w:val="230"/>
        </w:trPr>
        <w:tc>
          <w:tcPr>
            <w:tcW w:w="3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marine services</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6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3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23,532</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1,348</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3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3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3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Direct Vessel Profit</w:t>
            </w:r>
          </w:p>
        </w:tc>
        <w:tc>
          <w:tcPr>
            <w:tcW w:w="10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15,144</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3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and bareboat revenues were $6.9 million lower in 2019 compared with 2018, primarily due to reduced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day rates due to changes in fleet mix, the repositioning of vessels between geographical regions, and the sale of two vessels on bareboat charter. As of December 31, 2019, the Company had no owned or leased-in vessels cold-stacked in this region compared with one of seven vessels as of December 31, 2018.</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$0.1 million higher in 2019 compared with 2018, primarily due to changes in fleet mix</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repositioning of vessels between geographic regions.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Time charter revenues were $14.4 million higher in 2018 compared with 2017. Time charter revenues were $9.9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higher due to the repositioning of vessels between geographic regions and $5.2 million higher due to fleet additions. Time charter revenues were $0.7 million lower due to reduced average day rates. As of December 31, 2018, the Company had one of seven owned and leased-in vessels cold-stacked in this region (one FSV) compared with one of four vessels as of December 31, 2017.</w:t>
      </w:r>
    </w:p>
    <w:p>
      <w:pPr>
        <w:spacing w:after="0" w:line="16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i w:val="1"/>
          <w:iCs w:val="1"/>
          <w:color w:val="auto"/>
        </w:rPr>
        <w:t xml:space="preserve">Direct Operating Expenses. </w:t>
      </w:r>
      <w:r>
        <w:rPr>
          <w:rFonts w:ascii="Arial" w:cs="Arial" w:eastAsia="Arial" w:hAnsi="Arial"/>
          <w:sz w:val="18"/>
          <w:szCs w:val="18"/>
          <w:color w:val="auto"/>
        </w:rPr>
        <w:t>Direct operating expenses were $6.6 million higher in 2018 compared with 2017. On an overall basis, direct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$4.3 million higher due to the repositioning of vessels between geographic regions, $2.1 million higher due to net fleet additions and $0.2 million higher for the core fleet, primarily due to the timing of drydockings.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7" w:name="page58"/>
    <w:bookmarkEnd w:id="57"/>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Europe, primarily North Sea. </w:t>
      </w:r>
      <w:r>
        <w:rPr>
          <w:rFonts w:ascii="Arial" w:cs="Arial" w:eastAsia="Arial" w:hAnsi="Arial"/>
          <w:sz w:val="18"/>
          <w:szCs w:val="18"/>
          <w:color w:val="auto"/>
        </w:rPr>
        <w:t>For the years ended December 31, the Company’s direct vessel profit from continuing operations in Europe was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statistics):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Time Charter Statistics: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Rates Per Day Worked:</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Crew transfer</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Overall</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3,041</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2,300</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2,173</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Utilization:</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Crew transfer</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Overall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83%</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Available Days: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Supply</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80" w:type="dxa"/>
            <w:vAlign w:val="bottom"/>
          </w:tcPr>
          <w:p>
            <w:pPr>
              <w:ind w:left="500"/>
              <w:spacing w:after="0"/>
              <w:rPr>
                <w:sz w:val="20"/>
                <w:szCs w:val="20"/>
                <w:color w:val="auto"/>
              </w:rPr>
            </w:pPr>
            <w:r>
              <w:rPr>
                <w:rFonts w:ascii="Arial" w:cs="Arial" w:eastAsia="Arial" w:hAnsi="Arial"/>
                <w:sz w:val="18"/>
                <w:szCs w:val="18"/>
                <w:color w:val="auto"/>
              </w:rPr>
              <w:t>Liftboat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Crew transfer</w:t>
            </w:r>
          </w:p>
        </w:tc>
        <w:tc>
          <w:tcPr>
            <w:tcW w:w="1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3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Overall</w:t>
            </w:r>
          </w:p>
        </w:tc>
        <w:tc>
          <w:tcPr>
            <w:tcW w:w="1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w:t>
            </w:r>
          </w:p>
        </w:tc>
        <w:tc>
          <w:tcPr>
            <w:tcW w:w="58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13,067</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12,775</w:t>
            </w:r>
          </w:p>
        </w:tc>
        <w:tc>
          <w:tcPr>
            <w:tcW w:w="60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Time charter</w:t>
            </w:r>
          </w:p>
        </w:tc>
        <w:tc>
          <w:tcPr>
            <w:tcW w:w="1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33,414</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22,286</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22,990</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marine services</w:t>
            </w:r>
          </w:p>
        </w:tc>
        <w:tc>
          <w:tcPr>
            <w:tcW w:w="1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33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39,147</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25,778</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25,130</w:t>
            </w:r>
          </w:p>
        </w:tc>
        <w:tc>
          <w:tcPr>
            <w:tcW w:w="6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Direct operating expenses: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Personnel</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13,030</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10,862</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7,880</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Repairs and maintenance</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Drydocking</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2,261</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 and loss reserves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Fuel, lubes and supplies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960</w:t>
            </w: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w:t>
            </w:r>
          </w:p>
        </w:tc>
        <w:tc>
          <w:tcPr>
            <w:tcW w:w="6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w:t>
            </w:r>
          </w:p>
        </w:tc>
        <w:tc>
          <w:tcPr>
            <w:tcW w:w="6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5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6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6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33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20,012</w:t>
            </w:r>
          </w:p>
        </w:tc>
        <w:tc>
          <w:tcPr>
            <w:tcW w:w="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18,280</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6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Vessel Profit</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19,135</w:t>
            </w:r>
          </w:p>
        </w:tc>
        <w:tc>
          <w:tcPr>
            <w:tcW w:w="5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6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13,778</w:t>
            </w:r>
          </w:p>
        </w:tc>
        <w:tc>
          <w:tcPr>
            <w:tcW w:w="6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i w:val="1"/>
          <w:iCs w:val="1"/>
          <w:color w:val="auto"/>
        </w:rPr>
        <w:t xml:space="preserve">Operating Revenues. </w:t>
      </w:r>
      <w:r>
        <w:rPr>
          <w:rFonts w:ascii="Arial" w:cs="Arial" w:eastAsia="Arial" w:hAnsi="Arial"/>
          <w:sz w:val="18"/>
          <w:szCs w:val="18"/>
          <w:color w:val="auto"/>
        </w:rPr>
        <w:t>For crew transfer vessels, time charter revenues were $3.0 million higher, primarily due to improved utilization of the core</w:t>
      </w:r>
      <w:r>
        <w:rPr>
          <w:rFonts w:ascii="Arial" w:cs="Arial" w:eastAsia="Arial" w:hAnsi="Arial"/>
          <w:sz w:val="18"/>
          <w:szCs w:val="18"/>
          <w:i w:val="1"/>
          <w:iCs w:val="1"/>
          <w:color w:val="auto"/>
        </w:rPr>
        <w:t xml:space="preserve"> </w:t>
      </w:r>
      <w:r>
        <w:rPr>
          <w:rFonts w:ascii="Arial" w:cs="Arial" w:eastAsia="Arial" w:hAnsi="Arial"/>
          <w:sz w:val="18"/>
          <w:szCs w:val="18"/>
          <w:color w:val="auto"/>
        </w:rPr>
        <w:t>fleet, net fleet additions and the repositioning of vessels between geographic regions. As of December 31, 2019, the Company owned 36 crew transfer vessels in this region compared with 36 as of December 31, 2018. As of December 31, 2019, the Company had no vessels in cold-stack, and one crew transfer vessel retired and removed from service in this region.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liftboats, time charter revenues were $8.1 million higher, due to the repositioning of vessels between geographic regions.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Other Marine Services were $2.2 million higher in 2019 compared with 2018, primarily due to the charter in of a PSV from a joint venture.</w:t>
      </w:r>
    </w:p>
    <w:p>
      <w:pPr>
        <w:spacing w:after="0" w:line="196"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i w:val="1"/>
          <w:iCs w:val="1"/>
          <w:color w:val="auto"/>
        </w:rPr>
        <w:t xml:space="preserve">Direct Operating Expenses. </w:t>
      </w:r>
      <w:r>
        <w:rPr>
          <w:rFonts w:ascii="Arial" w:cs="Arial" w:eastAsia="Arial" w:hAnsi="Arial"/>
          <w:sz w:val="16"/>
          <w:szCs w:val="16"/>
          <w:color w:val="auto"/>
        </w:rPr>
        <w:t>Direct operating expenses were $1.7 million higher in 2019 compared to 2018, primarily due to increased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repositioning of one liftboat between geographic regions, offset by the timing of dry dockings and the recognition, in 2018, of a charge for a U.K. subsidiary’s share of a funding deficit in the Merchant Navy Ratings Pension Fund (“MNRPF”) for North Sea Mariners arising from a 2018 valuation.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202"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i w:val="1"/>
          <w:iCs w:val="1"/>
          <w:color w:val="auto"/>
        </w:rPr>
        <w:t xml:space="preserve">Operating Revenues. </w:t>
      </w:r>
      <w:r>
        <w:rPr>
          <w:rFonts w:ascii="Arial" w:cs="Arial" w:eastAsia="Arial" w:hAnsi="Arial"/>
          <w:sz w:val="16"/>
          <w:szCs w:val="16"/>
          <w:color w:val="auto"/>
        </w:rPr>
        <w:t>For crew transfer vessels, time charter revenues were $0.7 million lower. Time charter revenues were $1.8 million lower due</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reduced utilization and $0.6 million lower due to the repositioning of vessels between geographic regions. Time charter revenues were $1.0 million higher due to net fleet additions, $0.1 million higher due to increased average day rates and $0.6 million lower due to favorable changes in currency exchange rates.</w:t>
      </w:r>
    </w:p>
    <w:p>
      <w:pPr>
        <w:spacing w:after="0" w:line="10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Other Marine Services were $1.4 million higher in 2018 compared with 2017, primarily due to the charter in of a PSV from a joint venture for a portion of 2018.</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As of December 31, 2018, the Company owned 36 crew transfer vessels in this region compared with 35 as of December 31, 2017. As of December 31, 2018, the Company had one crew transfer vessel cold stacked in this region.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both"/>
        <w:ind w:right="20" w:firstLine="761"/>
        <w:spacing w:after="0" w:line="286" w:lineRule="auto"/>
        <w:rPr>
          <w:sz w:val="20"/>
          <w:szCs w:val="20"/>
          <w:color w:val="auto"/>
        </w:rPr>
      </w:pPr>
      <w:r>
        <w:rPr>
          <w:rFonts w:ascii="Arial" w:cs="Arial" w:eastAsia="Arial" w:hAnsi="Arial"/>
          <w:sz w:val="17"/>
          <w:szCs w:val="17"/>
          <w:i w:val="1"/>
          <w:iCs w:val="1"/>
          <w:color w:val="auto"/>
        </w:rPr>
        <w:t xml:space="preserve">Direct Operating Expenses. </w:t>
      </w:r>
      <w:r>
        <w:rPr>
          <w:rFonts w:ascii="Arial" w:cs="Arial" w:eastAsia="Arial" w:hAnsi="Arial"/>
          <w:sz w:val="17"/>
          <w:szCs w:val="17"/>
          <w:color w:val="auto"/>
        </w:rPr>
        <w:t>Direct operating expenses were $6.9 million higher in 2018 compared 2017, primarily due to the repositioning of</w:t>
      </w:r>
      <w:r>
        <w:rPr>
          <w:rFonts w:ascii="Arial" w:cs="Arial" w:eastAsia="Arial" w:hAnsi="Arial"/>
          <w:sz w:val="17"/>
          <w:szCs w:val="17"/>
          <w:i w:val="1"/>
          <w:iCs w:val="1"/>
          <w:color w:val="auto"/>
        </w:rPr>
        <w:t xml:space="preserve"> </w:t>
      </w:r>
      <w:r>
        <w:rPr>
          <w:rFonts w:ascii="Arial" w:cs="Arial" w:eastAsia="Arial" w:hAnsi="Arial"/>
          <w:sz w:val="17"/>
          <w:szCs w:val="17"/>
          <w:color w:val="auto"/>
        </w:rPr>
        <w:t>vessels between geographic regions, costs associated with the charter in of a PSV from a joint venture and the recognition of a charge for a U.K. subsidiary’s share of a funding deficit in the Merchant Navy Ratings Pension Fund (“MNRPF”) for North Sea Mariners arising from a 2018 valuation.</w:t>
      </w:r>
    </w:p>
    <w:p>
      <w:pPr>
        <w:spacing w:after="0" w:line="139" w:lineRule="exact"/>
        <w:rPr>
          <w:sz w:val="20"/>
          <w:szCs w:val="20"/>
          <w:color w:val="auto"/>
        </w:rPr>
      </w:pPr>
    </w:p>
    <w:p>
      <w:pPr>
        <w:jc w:val="both"/>
        <w:ind w:right="20" w:firstLine="761"/>
        <w:spacing w:after="0" w:line="276" w:lineRule="auto"/>
        <w:rPr>
          <w:sz w:val="20"/>
          <w:szCs w:val="20"/>
          <w:color w:val="auto"/>
        </w:rPr>
      </w:pPr>
      <w:r>
        <w:rPr>
          <w:rFonts w:ascii="Arial" w:cs="Arial" w:eastAsia="Arial" w:hAnsi="Arial"/>
          <w:sz w:val="17"/>
          <w:szCs w:val="17"/>
          <w:b w:val="1"/>
          <w:bCs w:val="1"/>
          <w:i w:val="1"/>
          <w:iCs w:val="1"/>
          <w:color w:val="auto"/>
        </w:rPr>
        <w:t xml:space="preserve">Leased-in Equipment. </w:t>
      </w:r>
      <w:r>
        <w:rPr>
          <w:rFonts w:ascii="Arial" w:cs="Arial" w:eastAsia="Arial" w:hAnsi="Arial"/>
          <w:sz w:val="17"/>
          <w:szCs w:val="17"/>
          <w:color w:val="auto"/>
        </w:rPr>
        <w:t>Leased-in expenses were $2.9 million higher for 2019 compared with 2018 primarily due to the implementation of the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accounting standard, which removed the quarterly $2.3 million benefit of amortization of deferred gains on sale-leaseback vessels recognized in 2018 under the old standard. Had this benefit been allowed to be recognized in 2019, this benefit would have been partially reduced by the impairment and removal from service of two leased-in vessels during 2018. Leased-in equipment expenses were $1.2 million lower for 2018 compared with 2017 primarily due to the impairment and removal from service of a leased-in vessel during 2017.</w:t>
      </w:r>
    </w:p>
    <w:p>
      <w:pPr>
        <w:spacing w:after="0" w:line="132"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b w:val="1"/>
          <w:bCs w:val="1"/>
          <w:i w:val="1"/>
          <w:iCs w:val="1"/>
          <w:color w:val="auto"/>
        </w:rPr>
        <w:t xml:space="preserve">Administrative and general. </w:t>
      </w:r>
      <w:r>
        <w:rPr>
          <w:rFonts w:ascii="Arial" w:cs="Arial" w:eastAsia="Arial" w:hAnsi="Arial"/>
          <w:sz w:val="18"/>
          <w:szCs w:val="18"/>
          <w:color w:val="auto"/>
        </w:rPr>
        <w:t>Administrative and general expenses were $1.7 million lower in 2019 compared with 2018, primarily due to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shared service fees, offset by costs associated with the Transformation Plan. The Transformation Plan contains $3.7 million of Administration and General expenses. Absent the $3.7 million of expense related to the Transformation Plan, Administrative and General expenses would have been $5.4 million lower than 2018.</w:t>
      </w:r>
    </w:p>
    <w:p>
      <w:pPr>
        <w:spacing w:after="0" w:line="146" w:lineRule="exact"/>
        <w:rPr>
          <w:sz w:val="20"/>
          <w:szCs w:val="20"/>
          <w:color w:val="auto"/>
        </w:rPr>
      </w:pPr>
    </w:p>
    <w:p>
      <w:pPr>
        <w:jc w:val="both"/>
        <w:ind w:right="20" w:firstLine="761"/>
        <w:spacing w:after="0" w:line="312" w:lineRule="auto"/>
        <w:rPr>
          <w:sz w:val="20"/>
          <w:szCs w:val="20"/>
          <w:color w:val="auto"/>
        </w:rPr>
      </w:pPr>
      <w:r>
        <w:rPr>
          <w:rFonts w:ascii="Arial" w:cs="Arial" w:eastAsia="Arial" w:hAnsi="Arial"/>
          <w:sz w:val="16"/>
          <w:szCs w:val="16"/>
          <w:color w:val="auto"/>
        </w:rPr>
        <w:t>Administrative and general expenses were $3.4 million lower in 2018 compared with 2017, primarily due to the acceleration of certain stock awards following the spin-off from SEACOR Holdings in 2017 and a reduction in fees in connection with support services provided by SEACOR Holdings, partly offset by increased compensation costs and higher allowances for doubtful accounts due to the recovery in 2017 of debts previously provided for.</w:t>
      </w:r>
    </w:p>
    <w:p>
      <w:pPr>
        <w:spacing w:after="0" w:line="12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$4.8 million lower in 2019 compared with 2018 primarily due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fleet dispositions.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expenses were $8.5 million higher in 2018 compared with 2017 primarily due to net fleet additions.</w:t>
      </w:r>
    </w:p>
    <w:p>
      <w:pPr>
        <w:spacing w:after="0" w:line="185" w:lineRule="exact"/>
        <w:rPr>
          <w:sz w:val="20"/>
          <w:szCs w:val="20"/>
          <w:color w:val="auto"/>
        </w:rPr>
      </w:pPr>
    </w:p>
    <w:p>
      <w:pPr>
        <w:jc w:val="both"/>
        <w:ind w:right="20" w:firstLine="761"/>
        <w:spacing w:after="0" w:line="279" w:lineRule="auto"/>
        <w:rPr>
          <w:sz w:val="20"/>
          <w:szCs w:val="20"/>
          <w:color w:val="auto"/>
        </w:rPr>
      </w:pPr>
      <w:r>
        <w:rPr>
          <w:rFonts w:ascii="Arial" w:cs="Arial" w:eastAsia="Arial" w:hAnsi="Arial"/>
          <w:sz w:val="17"/>
          <w:szCs w:val="17"/>
          <w:b w:val="1"/>
          <w:bCs w:val="1"/>
          <w:i w:val="1"/>
          <w:iCs w:val="1"/>
          <w:color w:val="auto"/>
        </w:rPr>
        <w:t xml:space="preserve">Losses on Asset Dispositions and Impairments, Net. </w:t>
      </w:r>
      <w:r>
        <w:rPr>
          <w:rFonts w:ascii="Arial" w:cs="Arial" w:eastAsia="Arial" w:hAnsi="Arial"/>
          <w:sz w:val="17"/>
          <w:szCs w:val="17"/>
          <w:color w:val="auto"/>
        </w:rPr>
        <w:t>During 2019, the Company recorded impairment charges of $12.0 million associated with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AHTS fleet (four owned and one leased vessel) four FSVs and one leased-in supply vessel. The Company sold one AHTS vessel, seven FSVs, five supply vessels, three liftboats and two crew transfer vessels. In addition, the Company sold five AHTS and one specialty vessel previously retired and removed from service and other equipment for aggregate net proceeds of $65.4 million and gains of $6.6 million.</w:t>
      </w:r>
    </w:p>
    <w:p>
      <w:pPr>
        <w:spacing w:after="0" w:line="144"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During 2018, the Company recorded impairment charges of $14.6 million associated with its AHTS fleet (four owned and three leased vessels) and one specialty vessel. The Company sold one AHTS vessel, nine FSVs, one supply vessel, two liftboats, and two crew transfer vessels. In addition, the Company sold one FSV, one tow-supply vessel and one supply vessel previously retired and removed from service and other equipment for net proceeds of $17.4 million and gains of $5.7 million.</w:t>
      </w:r>
    </w:p>
    <w:p>
      <w:pPr>
        <w:spacing w:after="0" w:line="146"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During 2017, the Company recorded impairment charges of $27.5 million primarily related to the Company’s AHTS vessels, one leased-in supply vessel removed from service, one owned FSV removed from service and two owned in-service specialty vessels. In addition, the Company sold two liftboats, one supply vessel, nine offshore support vessels previously retired and removed from service and other equipment for net proceeds of $10.9 million and gains of $3.9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December 31, the Company’s other income (expense)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CFF0FC"/>
            </w:tcBorders>
          </w:tcPr>
          <w:p>
            <w:pPr>
              <w:spacing w:after="0"/>
              <w:rPr>
                <w:sz w:val="20"/>
                <w:szCs w:val="20"/>
                <w:color w:val="auto"/>
              </w:rPr>
            </w:pPr>
          </w:p>
        </w:tc>
        <w:tc>
          <w:tcPr>
            <w:tcW w:w="25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Interest income</w:t>
            </w:r>
          </w:p>
        </w:tc>
        <w:tc>
          <w:tcPr>
            <w:tcW w:w="2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(30,056)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(27,404)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SEACOR Holdings management fees</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SEACOR Holdings guarantee fees</w:t>
            </w:r>
          </w:p>
        </w:tc>
        <w:tc>
          <w:tcPr>
            <w:tcW w:w="2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Loss on extinguishment debt</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security gains (losses), net</w:t>
            </w:r>
          </w:p>
        </w:tc>
        <w:tc>
          <w:tcPr>
            <w:tcW w:w="2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Derivative gains (losses), net</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losses, net</w:t>
            </w:r>
          </w:p>
        </w:tc>
        <w:tc>
          <w:tcPr>
            <w:tcW w:w="2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net</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19"/>
                <w:szCs w:val="19"/>
                <w:color w:val="auto"/>
              </w:rPr>
            </w:pPr>
          </w:p>
        </w:tc>
        <w:tc>
          <w:tcPr>
            <w:tcW w:w="25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80" w:type="dxa"/>
            <w:vAlign w:val="bottom"/>
            <w:vMerge w:val="restart"/>
          </w:tcPr>
          <w:p>
            <w:pPr>
              <w:jc w:val="right"/>
              <w:ind w:right="890"/>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59" w:name="page60"/>
    <w:bookmarkEnd w:id="59"/>
    <w:p>
      <w:pPr>
        <w:ind w:left="760"/>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 2019 was higher due to loans and advances to joint ventures.</w:t>
      </w:r>
    </w:p>
    <w:p>
      <w:pPr>
        <w:spacing w:after="0" w:line="185"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higher in 2019 compared to 2018 primarily due to higher interest rates early in the year, and interest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of the SEACOR Alps following its delivery. Interest expense was higher in 2018 compared to 2017 primarily due to higher interest rates and additional interest on the Falcon Global USA debt facility, the SEACOR 88/888 debt facility and the increased borrowing under the SMFH Loan Facility.</w:t>
      </w:r>
    </w:p>
    <w:p>
      <w:pPr>
        <w:spacing w:after="0" w:line="120"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b w:val="1"/>
          <w:bCs w:val="1"/>
          <w:i w:val="1"/>
          <w:iCs w:val="1"/>
          <w:color w:val="auto"/>
        </w:rPr>
        <w:t xml:space="preserve">SEACOR Holdings guarantee fees. </w:t>
      </w:r>
      <w:r>
        <w:rPr>
          <w:rFonts w:ascii="Arial" w:cs="Arial" w:eastAsia="Arial" w:hAnsi="Arial"/>
          <w:sz w:val="16"/>
          <w:szCs w:val="16"/>
          <w:color w:val="auto"/>
        </w:rPr>
        <w:t>As of December 31, 2019, SEACOR Holdings had issued guarantees in respect of certain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with a value of $22.8 million. Pursuant to the Distribution Agreement executed in connection with the Spin-off, SEACOR Holdings charges the Company a guarantee fee of 0.5% per annum on the amount of outstanding guarantees. See "Contractual Obligations and Commercial Commitments."</w:t>
      </w:r>
    </w:p>
    <w:p>
      <w:pPr>
        <w:spacing w:after="0" w:line="106"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b w:val="1"/>
          <w:bCs w:val="1"/>
          <w:i w:val="1"/>
          <w:iCs w:val="1"/>
          <w:color w:val="auto"/>
        </w:rPr>
        <w:t xml:space="preserve">Loss on debt extinguishment. </w:t>
      </w:r>
      <w:r>
        <w:rPr>
          <w:rFonts w:ascii="Arial" w:cs="Arial" w:eastAsia="Arial" w:hAnsi="Arial"/>
          <w:sz w:val="18"/>
          <w:szCs w:val="18"/>
          <w:color w:val="auto"/>
        </w:rPr>
        <w:t>On September 26, 2018, the Company entered into a $130.0 million loan facility with a syndicate of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administered by DNB Bank ASA. A portion of the proceeds ($99.9 million) was used towards the extinguishment of prior term loans. See Note 8. “Long-Term Debt” in the audited consolidated financial statements. As a result of this transaction, the Company recognized a loss of $0.6 million in fees related to the extinguishment of debt.</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Marketable security gains (losses), net. </w:t>
      </w:r>
      <w:r>
        <w:rPr>
          <w:rFonts w:ascii="Arial" w:cs="Arial" w:eastAsia="Arial" w:hAnsi="Arial"/>
          <w:sz w:val="18"/>
          <w:szCs w:val="18"/>
          <w:color w:val="auto"/>
        </w:rPr>
        <w:t>Marketable security gains in 2017 of $10.9 million were primarily due to a marketable security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exited by the Company. The Company has no marketable securities for the years ended December 31, 2019 and 2018.</w:t>
      </w:r>
    </w:p>
    <w:p>
      <w:pPr>
        <w:spacing w:after="0" w:line="143"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b w:val="1"/>
          <w:bCs w:val="1"/>
          <w:i w:val="1"/>
          <w:iCs w:val="1"/>
          <w:color w:val="auto"/>
        </w:rPr>
        <w:t xml:space="preserve">Derivative gains, net. </w:t>
      </w:r>
      <w:r>
        <w:rPr>
          <w:rFonts w:ascii="Arial" w:cs="Arial" w:eastAsia="Arial" w:hAnsi="Arial"/>
          <w:sz w:val="18"/>
          <w:szCs w:val="18"/>
          <w:color w:val="auto"/>
        </w:rPr>
        <w:t>Net derivative gains during 2019 and 2018 were primarily due to reductions in the fair value of the Company’s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liability on its Convertible Senior Notes. The reductions in the conversion option liability were primarily the result of declines in the Company’s share price and estimated credit spread.</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Foreign currency losses, net. </w:t>
      </w:r>
      <w:r>
        <w:rPr>
          <w:rFonts w:ascii="Arial" w:cs="Arial" w:eastAsia="Arial" w:hAnsi="Arial"/>
          <w:sz w:val="18"/>
          <w:szCs w:val="18"/>
          <w:color w:val="auto"/>
        </w:rPr>
        <w:t>For all periods, foreign currency losses were primarily due to the weakening of the pound sterling in relation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 and the U.S. Dollar underlying certain of the Company’s debt balances.</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Loss on discontinued operations. </w:t>
      </w:r>
      <w:r>
        <w:rPr>
          <w:rFonts w:ascii="Arial" w:cs="Arial" w:eastAsia="Arial" w:hAnsi="Arial"/>
          <w:sz w:val="18"/>
          <w:szCs w:val="18"/>
          <w:color w:val="auto"/>
        </w:rPr>
        <w:t>On December 2, 2019, the Company completed the sale of its ERRV fleet. The Company received $27.4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is a loss on sale of $9.1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Upon comparison of the 2018 consolidated federal tax return to the 2018 year-end tax provision, the Company recorded a return to provision adjustment related to losses from a consolidated joint venture of $2.4 million in 2019.</w:t>
      </w:r>
    </w:p>
    <w:p>
      <w:pPr>
        <w:spacing w:after="0" w:line="130" w:lineRule="exact"/>
        <w:rPr>
          <w:sz w:val="20"/>
          <w:szCs w:val="20"/>
          <w:color w:val="auto"/>
        </w:rPr>
      </w:pPr>
    </w:p>
    <w:p>
      <w:pPr>
        <w:jc w:val="both"/>
        <w:ind w:right="20" w:firstLine="761"/>
        <w:spacing w:after="0" w:line="342" w:lineRule="auto"/>
        <w:rPr>
          <w:sz w:val="20"/>
          <w:szCs w:val="20"/>
          <w:color w:val="auto"/>
        </w:rPr>
      </w:pPr>
      <w:r>
        <w:rPr>
          <w:rFonts w:ascii="Arial" w:cs="Arial" w:eastAsia="Arial" w:hAnsi="Arial"/>
          <w:sz w:val="16"/>
          <w:szCs w:val="16"/>
          <w:color w:val="auto"/>
        </w:rPr>
        <w:t>For 2018 the Company incurred a current tax liability of $1.4 million related to the non-qualified withdrawal of funds from a Capital Construction Fund by a partnership in which the Company held a 50% interest. The Company had previously recorded a deferred tax liability in connection with this fund.</w:t>
      </w:r>
    </w:p>
    <w:p>
      <w:pPr>
        <w:spacing w:after="0" w:line="97"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During the preparation of the 2017 federal income tax return, the Company’s management realized that they had overestimated the available foreign taxes that could be credited against the 2017 transition tax. This resulted in an additional tax liability of $3.4 million on its 2017 federal income tax return. This additional liability was recorded as a return-to-provision adjustment to tax expense during the year ended December 31, 2018.</w:t>
      </w:r>
    </w:p>
    <w:p>
      <w:pPr>
        <w:spacing w:after="0" w:line="1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For the year ending December 31, 2019, the Company’s effective income tax rate of 9.6% was lower than the Company’s statutory tax rate of 21% primarily due to foreign subsidiaries with current losses for which there is no current or future federal income tax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Equity in (Losses) Earnings of 50% or Less Owned Companies, Net of Tax</w:t>
      </w:r>
    </w:p>
    <w:p>
      <w:pPr>
        <w:spacing w:after="0" w:line="20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For the years ended December 31, the Company’s equity in earnings (losses) from continuing operations of 50% or less owned companies, net of tax,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CFF0FC"/>
            </w:tcBorders>
          </w:tcPr>
          <w:p>
            <w:pPr>
              <w:spacing w:after="0"/>
              <w:rPr>
                <w:sz w:val="20"/>
                <w:szCs w:val="20"/>
                <w:color w:val="auto"/>
              </w:rPr>
            </w:pPr>
          </w:p>
        </w:tc>
        <w:tc>
          <w:tcPr>
            <w:tcW w:w="24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MexMar</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Mexmar Offshore</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Offshore Vessel Holdings</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OSV Partners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Sea-Cat Crewzer</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Sea-Cat Crewzer II</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SEACOR Grant DIS</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Falcon Global</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Dynamic Offshore Drilling</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SEACOSCO</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Seacor Arabia</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2019 compared with 2018</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decreased by $1.7 million as compared to 2018 due to lower utilization.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MexMar Offshore. </w:t>
      </w:r>
      <w:r>
        <w:rPr>
          <w:rFonts w:ascii="Arial" w:cs="Arial" w:eastAsia="Arial" w:hAnsi="Arial"/>
          <w:sz w:val="18"/>
          <w:szCs w:val="18"/>
          <w:color w:val="auto"/>
        </w:rPr>
        <w:t>Equity losses from MexMar Offshore increased by $4.9 million due to losses in the value of the investment.</w:t>
      </w:r>
    </w:p>
    <w:p>
      <w:pPr>
        <w:spacing w:after="0" w:line="19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b w:val="1"/>
          <w:bCs w:val="1"/>
          <w:i w:val="1"/>
          <w:iCs w:val="1"/>
          <w:color w:val="auto"/>
        </w:rPr>
        <w:t xml:space="preserve">Offshore Vessel Holdings. </w:t>
      </w:r>
      <w:r>
        <w:rPr>
          <w:rFonts w:ascii="Arial" w:cs="Arial" w:eastAsia="Arial" w:hAnsi="Arial"/>
          <w:sz w:val="18"/>
          <w:szCs w:val="18"/>
          <w:color w:val="auto"/>
        </w:rPr>
        <w:t>On December 28, 2018, the Company invested $4.9 million for a 49% interest in Offshore Vessel Holdings SAPI 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CV (“OVH”). The remaining 51% is owned by a subsidiary of CME. OVH invests in offshore assets and charters marine equipment. During the year ended December 31, 2019 OVH loaned $10.0 million to Operadora Productura Mexsicana, a drilling company in Mexico which owns and operates two jackup drilling rigs “OPM”, chartered in three PSV’s from UP Offshore and purchased one FSV from the Company for $2.4 million through a seller’s finance agreement.</w:t>
      </w:r>
    </w:p>
    <w:p>
      <w:pPr>
        <w:spacing w:after="0" w:line="148"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SEACOR OSV Partners GP LLC and SEACOR OSV Partners LP LLC (collectively “OSV Partners”)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million lower than 2018 primarily due to an increased utilization in 2019.</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Change in equity earnings from SEACOR Grant DIS LLC (“SEACOR Grant DIS”) was due to $1.1 million loss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2018 and $0.4 million gain resulting from a release of capital call liability due to the joint venture dissolution in 2019.</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Dynamic Offshore Drilling. </w:t>
      </w:r>
      <w:r>
        <w:rPr>
          <w:rFonts w:ascii="Arial" w:cs="Arial" w:eastAsia="Arial" w:hAnsi="Arial"/>
          <w:sz w:val="16"/>
          <w:szCs w:val="16"/>
          <w:color w:val="auto"/>
        </w:rPr>
        <w:t>Equity losses were reduced by $0.4 million due to decreased interest expense. The investment was fully impaired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7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SEACOSCO Offshore LLC (“SEACOSCO”). </w:t>
      </w:r>
      <w:r>
        <w:rPr>
          <w:rFonts w:ascii="Arial" w:cs="Arial" w:eastAsia="Arial" w:hAnsi="Arial"/>
          <w:sz w:val="18"/>
          <w:szCs w:val="18"/>
          <w:color w:val="auto"/>
        </w:rPr>
        <w:t>The increase of $4.8 million in equity losses from SEACOSCO was primarily due to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the additional new vessels entering service in the joint venture.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2018 compared with 2017</w:t>
      </w:r>
    </w:p>
    <w:p>
      <w:pPr>
        <w:spacing w:after="0" w:line="189"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Equity losses were $6.3 million lower than 2017 primarily due to income tax benefits recognized in 2017 as a result of new U.S. tax legislation signed into law on December 22, 2017.</w:t>
      </w:r>
    </w:p>
    <w:p>
      <w:pPr>
        <w:spacing w:after="0" w:line="14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Equity earnings from MexMar were $7.4 million lower than in 2017 due primarily to a $5.8 million tax benefit in 2017 and a reduction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and day rates in 2018.</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OSV Partners. </w:t>
      </w:r>
      <w:r>
        <w:rPr>
          <w:rFonts w:ascii="Arial" w:cs="Arial" w:eastAsia="Arial" w:hAnsi="Arial"/>
          <w:sz w:val="18"/>
          <w:szCs w:val="18"/>
          <w:color w:val="auto"/>
        </w:rPr>
        <w:t>Equity losses from SEACOR OSV Partners GP LLC and SEACOR OSV Partners LP LLC (collectively “OSV Partners”) were $3.3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lower than 2017 primarily due to $2.4 million tax benefit in 2017.</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SEACOR Grant DIS. </w:t>
      </w:r>
      <w:r>
        <w:rPr>
          <w:rFonts w:ascii="Arial" w:cs="Arial" w:eastAsia="Arial" w:hAnsi="Arial"/>
          <w:sz w:val="18"/>
          <w:szCs w:val="18"/>
          <w:color w:val="auto"/>
        </w:rPr>
        <w:t>Equity losses from SEACOR Grant DIS LLC (“SEACOR Grant DIS”) were $0.8 million greater than 2017.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liquidated and the vessel was sold in November 2018.</w:t>
      </w:r>
    </w:p>
    <w:p>
      <w:pPr>
        <w:spacing w:after="0" w:line="14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i w:val="1"/>
          <w:iCs w:val="1"/>
          <w:color w:val="auto"/>
        </w:rPr>
        <w:t xml:space="preserve">Dynamic Offshore Drilling. </w:t>
      </w:r>
      <w:r>
        <w:rPr>
          <w:rFonts w:ascii="Arial" w:cs="Arial" w:eastAsia="Arial" w:hAnsi="Arial"/>
          <w:sz w:val="18"/>
          <w:szCs w:val="18"/>
          <w:color w:val="auto"/>
        </w:rPr>
        <w:t>Equity losses were $4.2 million less than 2017 primarily due to an impairment charge recorded in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61" w:name="page62"/>
    <w:bookmarkEnd w:id="61"/>
    <w:p>
      <w:pPr>
        <w:jc w:val="both"/>
        <w:ind w:right="40" w:firstLine="761"/>
        <w:spacing w:after="0" w:line="277" w:lineRule="auto"/>
        <w:rPr>
          <w:sz w:val="20"/>
          <w:szCs w:val="20"/>
          <w:color w:val="auto"/>
        </w:rPr>
      </w:pPr>
      <w:r>
        <w:rPr>
          <w:rFonts w:ascii="Arial" w:cs="Arial" w:eastAsia="Arial" w:hAnsi="Arial"/>
          <w:sz w:val="18"/>
          <w:szCs w:val="18"/>
          <w:b w:val="1"/>
          <w:bCs w:val="1"/>
          <w:i w:val="1"/>
          <w:iCs w:val="1"/>
          <w:color w:val="auto"/>
        </w:rPr>
        <w:t xml:space="preserve">SEACOSCO Offshore LLC (“SEACOSCO”). </w:t>
      </w:r>
      <w:r>
        <w:rPr>
          <w:rFonts w:ascii="Arial" w:cs="Arial" w:eastAsia="Arial" w:hAnsi="Arial"/>
          <w:sz w:val="18"/>
          <w:szCs w:val="18"/>
          <w:color w:val="auto"/>
        </w:rPr>
        <w:t>SEACOSCO was formed in 2018. Equity losses from SEACOSCO were primarily due to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two new vessels entering service in the joint venture.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right="20" w:firstLine="761"/>
        <w:spacing w:after="0" w:line="257" w:lineRule="auto"/>
        <w:rPr>
          <w:sz w:val="20"/>
          <w:szCs w:val="20"/>
          <w:color w:val="auto"/>
        </w:rPr>
      </w:pPr>
      <w:r>
        <w:rPr>
          <w:rFonts w:ascii="Arial" w:cs="Arial" w:eastAsia="Arial" w:hAnsi="Arial"/>
          <w:sz w:val="18"/>
          <w:szCs w:val="18"/>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marketable securities,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161" w:lineRule="exact"/>
        <w:rPr>
          <w:sz w:val="20"/>
          <w:szCs w:val="20"/>
          <w:color w:val="auto"/>
        </w:rPr>
      </w:pPr>
    </w:p>
    <w:p>
      <w:pPr>
        <w:jc w:val="both"/>
        <w:ind w:right="40" w:firstLine="761"/>
        <w:spacing w:after="0" w:line="277" w:lineRule="auto"/>
        <w:rPr>
          <w:sz w:val="20"/>
          <w:szCs w:val="20"/>
          <w:color w:val="auto"/>
        </w:rPr>
      </w:pPr>
      <w:r>
        <w:rPr>
          <w:rFonts w:ascii="Arial" w:cs="Arial" w:eastAsia="Arial" w:hAnsi="Arial"/>
          <w:sz w:val="18"/>
          <w:szCs w:val="18"/>
          <w:color w:val="auto"/>
        </w:rPr>
        <w:t>As of December 31, 2019, the Company had capital commitments of $35.9 million for four PSVs, one crew transfer vessel and other equipment, to be delivered in 2020. The Company has indefinitely deferred an additional $30.2 million of orders with respect to three FSVs.</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As of December 31, 2019, the Company has guaranteed certain obligations on behalf of its 50% or less owned companies for $0.2 million. See “Off-Balance Sheet Arrangements.”</w:t>
      </w:r>
    </w:p>
    <w:p>
      <w:pPr>
        <w:spacing w:after="0" w:line="130" w:lineRule="exact"/>
        <w:rPr>
          <w:sz w:val="20"/>
          <w:szCs w:val="20"/>
          <w:color w:val="auto"/>
        </w:rPr>
      </w:pPr>
    </w:p>
    <w:p>
      <w:pPr>
        <w:jc w:val="both"/>
        <w:ind w:right="40" w:firstLine="761"/>
        <w:spacing w:after="0" w:line="277" w:lineRule="auto"/>
        <w:rPr>
          <w:sz w:val="20"/>
          <w:szCs w:val="20"/>
          <w:color w:val="auto"/>
        </w:rPr>
      </w:pPr>
      <w:r>
        <w:rPr>
          <w:rFonts w:ascii="Arial" w:cs="Arial" w:eastAsia="Arial" w:hAnsi="Arial"/>
          <w:sz w:val="18"/>
          <w:szCs w:val="18"/>
          <w:color w:val="auto"/>
        </w:rPr>
        <w:t>As of December 31, 2019, the Company had outstanding debt of $398.1 million, net of debt discount and issue costs. The Company’s contractual long-term debt maturities as of December 31, 2019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Actual</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7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51,789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26,007</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231,674</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90,800</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Years subsequent to 2024</w:t>
            </w:r>
          </w:p>
        </w:tc>
        <w:tc>
          <w:tcPr>
            <w:tcW w:w="37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shd w:val="clear" w:color="auto" w:fill="CFF0FC"/>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61"/>
        <w:spacing w:after="0" w:line="257" w:lineRule="auto"/>
        <w:rPr>
          <w:sz w:val="20"/>
          <w:szCs w:val="20"/>
          <w:color w:val="auto"/>
        </w:rPr>
      </w:pPr>
      <w:r>
        <w:rPr>
          <w:rFonts w:ascii="Arial" w:cs="Arial" w:eastAsia="Arial" w:hAnsi="Arial"/>
          <w:sz w:val="18"/>
          <w:szCs w:val="18"/>
          <w:color w:val="auto"/>
        </w:rPr>
        <w:t>As of December 31, 2019, the Company held balances of cash, cash equivalents, restricted cash and construction reserve funds totaling $99.9 million. As of December 31, 2019, construction reserve funds of $12.9 million were classified as non-current assets in the accompanying consolidated balance sheets as the Company has the intent and ability to use the funds to acquire equipment. The Company may access construction reserve funds for uses not originally intended when the funds were reserved, subject to the payment of related taxes and penalties. Additionally, the Company had $2.5 million available under subsidiary credit facilities.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years ended December 31, the following is a summary of the Company’s cash flows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Borders>
              <w:bottom w:val="single" w:sz="8" w:color="CFF0FC"/>
            </w:tcBorders>
          </w:tcPr>
          <w:p>
            <w:pPr>
              <w:spacing w:after="0"/>
              <w:rPr>
                <w:sz w:val="20"/>
                <w:szCs w:val="20"/>
                <w:color w:val="auto"/>
              </w:rPr>
            </w:pPr>
          </w:p>
        </w:tc>
        <w:tc>
          <w:tcPr>
            <w:tcW w:w="15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or (used in):</w:t>
            </w: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Activities</w:t>
            </w:r>
          </w:p>
        </w:tc>
        <w:tc>
          <w:tcPr>
            <w:tcW w:w="1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9,447</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(59,345)</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(33,467)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Financing Activities</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w w:val="96"/>
              </w:rPr>
              <w:t>Effects of Exchange Rate Changes on Cash, Cash Equivalents and</w:t>
            </w: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(17,642)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w w:val="97"/>
              </w:rPr>
              <w:t>Net decrease in Cash, Cash Equivalents and Restricted Cash from</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Discontinued Operations</w:t>
            </w:r>
          </w:p>
        </w:tc>
        <w:tc>
          <w:tcPr>
            <w:tcW w:w="15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5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vMerge w:val="restart"/>
          </w:tcPr>
          <w:p>
            <w:pPr>
              <w:jc w:val="right"/>
              <w:ind w:right="89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62" w:name="page63"/>
    <w:bookmarkEnd w:id="62"/>
    <w:p>
      <w:pPr>
        <w:ind w:left="760"/>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Cash flows provided by operating activities increased by $68.8 million in 2019 compared with 2018. For the years ended December 31, the components of cash flows provided by (used in) operating activities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DVP:</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United States, primarily Gulf of Mexico</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8,956</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20,864</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(3,767)</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Africa, primarily West Africa</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5,579</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Middle East and Asia</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(3,415)</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Latin America</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Europe, primarily North Sea</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13,777</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leased-in equipment (excluding amortization of deferred gains)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(19,339)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(21,346)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(8,118)</w:t>
            </w: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Administrative and general (excluding provisions for bad debts and</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amortization of share awards)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(43,840)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(51,148)</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SEACOR Holdings management and guarantee fees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(3,409)</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Other, net (excluding non-cash losses)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Dividends received from 50% or less owned companies</w:t>
            </w:r>
          </w:p>
        </w:tc>
        <w:tc>
          <w:tcPr>
            <w:tcW w:w="6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FF0FC"/>
          </w:tcPr>
          <w:p>
            <w:pPr>
              <w:spacing w:after="0"/>
              <w:rPr>
                <w:sz w:val="19"/>
                <w:szCs w:val="19"/>
                <w:color w:val="auto"/>
              </w:rPr>
            </w:pPr>
          </w:p>
        </w:tc>
      </w:tr>
      <w:tr>
        <w:trPr>
          <w:trHeight w:val="223"/>
        </w:trPr>
        <w:tc>
          <w:tcPr>
            <w:tcW w:w="6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(41,439)</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 before interest and income taxes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(49,912)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(2,062)</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Director share awards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vesting</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Proceeds from sale of marketable securities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51,877</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 settlements on derivative transactions, net</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 xml:space="preserve">Interest paid, excluding capitalized interest </w:t>
            </w:r>
            <w:r>
              <w:rPr>
                <w:rFonts w:ascii="Arial" w:cs="Arial" w:eastAsia="Arial" w:hAnsi="Arial"/>
                <w:sz w:val="15"/>
                <w:szCs w:val="15"/>
                <w:color w:val="auto"/>
              </w:rPr>
              <w:t>(1)</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(8,728)</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received</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Income taxes refunded, net</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tcPr>
          <w:p>
            <w:pPr>
              <w:spacing w:after="0"/>
              <w:rPr>
                <w:sz w:val="19"/>
                <w:szCs w:val="19"/>
                <w:color w:val="auto"/>
              </w:rPr>
            </w:pPr>
          </w:p>
        </w:tc>
      </w:tr>
      <w:tr>
        <w:trPr>
          <w:trHeight w:val="223"/>
        </w:trPr>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provided by (used in) operating activities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During 2019, 2018 and 2017, capitalized interest paid and included in purchases of property and equipment was $1.5 million, $2.4 million, and $3.6 million, respectively.</w:t>
      </w:r>
    </w:p>
    <w:p>
      <w:pPr>
        <w:spacing w:after="0" w:line="18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 and settlements with SEACOR Holdings both before and after the Spin-off.</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Investing Activities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2019, net cash provided by investing activities was $21.2 million primarily for the following:</w:t>
      </w:r>
    </w:p>
    <w:p>
      <w:pPr>
        <w:spacing w:after="0" w:line="185" w:lineRule="exact"/>
        <w:rPr>
          <w:sz w:val="20"/>
          <w:szCs w:val="20"/>
          <w:color w:val="auto"/>
        </w:rPr>
      </w:pPr>
    </w:p>
    <w:p>
      <w:pPr>
        <w:jc w:val="both"/>
        <w:ind w:left="1140" w:hanging="376"/>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were $55.5 million. Equipment deliveries during the period included a total of five FSVs (three purchased from managed entities, one from an outside party and one through construction); three new construction crew transfer vessels; and two new construction PSVs;</w:t>
      </w:r>
    </w:p>
    <w:p>
      <w:pPr>
        <w:spacing w:after="0" w:line="140"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sold six vessels removed from service (five AHTS and one specialty), seven FSVs, five PSVs, three liftboats, one crew transfer vessel, one AHTS vessel and other equipment, resulting in $55.1 million in proceeds;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the sale of the ERRV fleet, less cash retained by the purchaser was $22.3 million;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loans and advances to investments in 50% or less owned companies of $17.4 million, including $13.6 million in SEACOSCO; and</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decrease in construction reserve funds of $15.2 million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2018, net cash used in investing activities was $33.5 million primarily for the following:</w:t>
      </w:r>
    </w:p>
    <w:p>
      <w:pPr>
        <w:spacing w:after="0" w:line="185" w:lineRule="exact"/>
        <w:rPr>
          <w:sz w:val="20"/>
          <w:szCs w:val="20"/>
          <w:color w:val="auto"/>
        </w:rPr>
      </w:pPr>
    </w:p>
    <w:p>
      <w:pPr>
        <w:jc w:val="both"/>
        <w:ind w:left="1140" w:hanging="376"/>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were $51.6 million. Equipment deliveries during the period included two AHTS vessels purchased from a managed entity, six liftboats acquired through a contribution from Montco Offshore, LLC (“MOI”) to Falcon Global, two crew transfer vessels through construction and one crew transfer vessel purchased from our joint venture;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both"/>
        <w:ind w:left="380" w:hanging="376"/>
        <w:spacing w:after="0" w:line="259"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sold one AHTS vessel, nine FSVs, one supply vessel, two liftboats and two crew transfer vessels. In addition, the Company sold one FSV, one tow-supply vessel and one supply vessel previously retired and removed from service and other equipment for cash proceeds of $17.4 million and gains of $5.7 million ($17.3 million received in 2018 and $0.1 million of previously received deposits). In addition, the Company received $4.4 million on deposit for future sales;</w:t>
      </w:r>
    </w:p>
    <w:p>
      <w:pPr>
        <w:spacing w:after="0" w:line="146" w:lineRule="exact"/>
        <w:rPr>
          <w:rFonts w:ascii="Arial" w:cs="Arial" w:eastAsia="Arial" w:hAnsi="Arial"/>
          <w:sz w:val="18"/>
          <w:szCs w:val="18"/>
          <w:color w:val="auto"/>
        </w:rPr>
      </w:pPr>
    </w:p>
    <w:p>
      <w:pPr>
        <w:ind w:left="380" w:hanging="376"/>
        <w:spacing w:after="0" w:line="27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$43.7 million, including $29.6 million to SEACOSCO, $3.2 million to OSV Partners, $4.9 million to MEXMAR Offshore and $4.9 million to OVH;</w:t>
      </w:r>
    </w:p>
    <w:p>
      <w:pPr>
        <w:spacing w:after="0" w:line="129" w:lineRule="exact"/>
        <w:rPr>
          <w:rFonts w:ascii="Arial" w:cs="Arial" w:eastAsia="Arial" w:hAnsi="Arial"/>
          <w:sz w:val="18"/>
          <w:szCs w:val="18"/>
          <w:color w:val="auto"/>
        </w:rPr>
      </w:pPr>
    </w:p>
    <w:p>
      <w:pPr>
        <w:ind w:left="380" w:hanging="376"/>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withdrawals of $17.3 million;</w:t>
      </w:r>
    </w:p>
    <w:p>
      <w:pPr>
        <w:spacing w:after="0" w:line="184" w:lineRule="exact"/>
        <w:rPr>
          <w:rFonts w:ascii="Arial" w:cs="Arial" w:eastAsia="Arial" w:hAnsi="Arial"/>
          <w:sz w:val="18"/>
          <w:szCs w:val="18"/>
          <w:color w:val="auto"/>
        </w:rPr>
      </w:pPr>
    </w:p>
    <w:p>
      <w:pPr>
        <w:ind w:left="380" w:hanging="376"/>
        <w:spacing w:after="0" w:line="27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received a return of capital advances of $9.8 million from MexMar and capital distributions of $6.5 million from Nautical Power, LCC (“Nautical Power”); and</w:t>
      </w:r>
    </w:p>
    <w:p>
      <w:pPr>
        <w:spacing w:after="0" w:line="129" w:lineRule="exact"/>
        <w:rPr>
          <w:rFonts w:ascii="Arial" w:cs="Arial" w:eastAsia="Arial" w:hAnsi="Arial"/>
          <w:sz w:val="18"/>
          <w:szCs w:val="18"/>
          <w:color w:val="auto"/>
        </w:rPr>
      </w:pPr>
    </w:p>
    <w:p>
      <w:pPr>
        <w:ind w:left="380" w:hanging="376"/>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sold 51% of SEACOR Marlin LLC to MexMar Offshore (MI) LLC (“MOMI”) for $8.0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2017, net cash used in investing activities was $31.5 million primarily for the following:</w:t>
      </w:r>
    </w:p>
    <w:p>
      <w:pPr>
        <w:spacing w:after="0" w:line="198" w:lineRule="exact"/>
        <w:rPr>
          <w:sz w:val="20"/>
          <w:szCs w:val="20"/>
          <w:color w:val="auto"/>
        </w:rPr>
      </w:pPr>
    </w:p>
    <w:p>
      <w:pPr>
        <w:ind w:left="380" w:hanging="376"/>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and payments on fair value derivative hedges were $69.4 million. Equipment deliveries during the period included six FSVs and five supply vessels;</w:t>
      </w:r>
    </w:p>
    <w:p>
      <w:pPr>
        <w:spacing w:after="0" w:line="129" w:lineRule="exact"/>
        <w:rPr>
          <w:rFonts w:ascii="Arial" w:cs="Arial" w:eastAsia="Arial" w:hAnsi="Arial"/>
          <w:sz w:val="18"/>
          <w:szCs w:val="18"/>
          <w:color w:val="auto"/>
        </w:rPr>
      </w:pPr>
    </w:p>
    <w:p>
      <w:pPr>
        <w:jc w:val="both"/>
        <w:ind w:left="380" w:hanging="376"/>
        <w:spacing w:after="0" w:line="264"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sold two liftboats, one supply vessel, nine offshore support vessels previously retired and removed from service and other property and equipment for net proceeds of $10.9 million ($10.4 million received in 2017 and $0.5 million of previously received deposits). In addition, the Company received $0.1 million on deposit for future sales;</w:t>
      </w:r>
    </w:p>
    <w:p>
      <w:pPr>
        <w:spacing w:after="0" w:line="140" w:lineRule="exact"/>
        <w:rPr>
          <w:rFonts w:ascii="Arial" w:cs="Arial" w:eastAsia="Arial" w:hAnsi="Arial"/>
          <w:sz w:val="18"/>
          <w:szCs w:val="18"/>
          <w:color w:val="auto"/>
        </w:rPr>
      </w:pPr>
    </w:p>
    <w:p>
      <w:pPr>
        <w:ind w:left="380" w:right="20" w:hanging="376"/>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made investments in 50% or less owned companies of $5.5 million, including $2.4 million to Falcon Global and $2.3 million to OSV Partners;</w:t>
      </w:r>
    </w:p>
    <w:p>
      <w:pPr>
        <w:spacing w:after="0" w:line="129" w:lineRule="exact"/>
        <w:rPr>
          <w:rFonts w:ascii="Arial" w:cs="Arial" w:eastAsia="Arial" w:hAnsi="Arial"/>
          <w:sz w:val="18"/>
          <w:szCs w:val="18"/>
          <w:color w:val="auto"/>
        </w:rPr>
      </w:pPr>
    </w:p>
    <w:p>
      <w:pPr>
        <w:ind w:left="380" w:hanging="376"/>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reserve funds account transactions included deposits of $6.3 million and withdrawals of $39.1 million;</w:t>
      </w:r>
    </w:p>
    <w:p>
      <w:pPr>
        <w:spacing w:after="0" w:line="184" w:lineRule="exact"/>
        <w:rPr>
          <w:rFonts w:ascii="Arial" w:cs="Arial" w:eastAsia="Arial" w:hAnsi="Arial"/>
          <w:sz w:val="18"/>
          <w:szCs w:val="18"/>
          <w:color w:val="auto"/>
        </w:rPr>
      </w:pPr>
    </w:p>
    <w:p>
      <w:pPr>
        <w:ind w:left="380" w:hanging="376"/>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received capital distributions of $7.4 million from MexMar;</w:t>
      </w:r>
    </w:p>
    <w:p>
      <w:pPr>
        <w:spacing w:after="0" w:line="184" w:lineRule="exact"/>
        <w:rPr>
          <w:rFonts w:ascii="Arial" w:cs="Arial" w:eastAsia="Arial" w:hAnsi="Arial"/>
          <w:sz w:val="18"/>
          <w:szCs w:val="18"/>
          <w:color w:val="auto"/>
        </w:rPr>
      </w:pPr>
    </w:p>
    <w:p>
      <w:pPr>
        <w:ind w:left="380" w:hanging="376"/>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March 31, 2017, the Company consolidated Falcon Global and assumed cash of $1.9 million;</w:t>
      </w:r>
    </w:p>
    <w:p>
      <w:pPr>
        <w:spacing w:after="0" w:line="184" w:lineRule="exact"/>
        <w:rPr>
          <w:rFonts w:ascii="Arial" w:cs="Arial" w:eastAsia="Arial" w:hAnsi="Arial"/>
          <w:sz w:val="18"/>
          <w:szCs w:val="18"/>
          <w:color w:val="auto"/>
        </w:rPr>
      </w:pPr>
    </w:p>
    <w:p>
      <w:pPr>
        <w:ind w:left="380" w:right="20" w:hanging="376"/>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April 28, 2017, the Company acquired a 100% controlling interest in Sea-Cat Crewzer II through the acquisition of its partners’ 50% ownership interest for $9.6 million, net of cash acquired; and</w:t>
      </w:r>
    </w:p>
    <w:p>
      <w:pPr>
        <w:spacing w:after="0" w:line="129" w:lineRule="exact"/>
        <w:rPr>
          <w:rFonts w:ascii="Arial" w:cs="Arial" w:eastAsia="Arial" w:hAnsi="Arial"/>
          <w:sz w:val="18"/>
          <w:szCs w:val="18"/>
          <w:color w:val="auto"/>
        </w:rPr>
      </w:pPr>
    </w:p>
    <w:p>
      <w:pPr>
        <w:ind w:left="380" w:hanging="376"/>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April 28, 2017, the Company acquired a 100% controlling interest in Sea-Cat Crewzer through the acquisition of its partners’ 50% ownership interest for $0.1 million, net of cash acquired.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2019, net cash used by financing activities was $25.9 million. In the period, the Company:</w:t>
      </w:r>
    </w:p>
    <w:p>
      <w:pPr>
        <w:spacing w:after="0" w:line="185" w:lineRule="exact"/>
        <w:rPr>
          <w:sz w:val="20"/>
          <w:szCs w:val="20"/>
          <w:color w:val="auto"/>
        </w:rPr>
      </w:pPr>
    </w:p>
    <w:p>
      <w:pPr>
        <w:ind w:left="380" w:hanging="376"/>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scheduled payments on long-term debt of $24.0 million;</w:t>
      </w:r>
    </w:p>
    <w:p>
      <w:pPr>
        <w:spacing w:after="0" w:line="184" w:lineRule="exact"/>
        <w:rPr>
          <w:rFonts w:ascii="Arial" w:cs="Arial" w:eastAsia="Arial" w:hAnsi="Arial"/>
          <w:sz w:val="18"/>
          <w:szCs w:val="18"/>
          <w:color w:val="auto"/>
        </w:rPr>
      </w:pPr>
    </w:p>
    <w:p>
      <w:pPr>
        <w:ind w:left="380" w:hanging="376"/>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purchased subsidiary shares from holders of noncontrolling interests for $3.4 million; and</w:t>
      </w:r>
    </w:p>
    <w:p>
      <w:pPr>
        <w:spacing w:after="0" w:line="184" w:lineRule="exact"/>
        <w:rPr>
          <w:rFonts w:ascii="Arial" w:cs="Arial" w:eastAsia="Arial" w:hAnsi="Arial"/>
          <w:sz w:val="18"/>
          <w:szCs w:val="18"/>
          <w:color w:val="auto"/>
        </w:rPr>
      </w:pPr>
    </w:p>
    <w:p>
      <w:pPr>
        <w:ind w:left="380" w:hanging="376"/>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received $1.4 million from the exercise of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2018, net cash provided by financing activities was $69.3 million. In the period, the Company:</w:t>
      </w:r>
    </w:p>
    <w:p>
      <w:pPr>
        <w:spacing w:after="0" w:line="198" w:lineRule="exact"/>
        <w:rPr>
          <w:sz w:val="20"/>
          <w:szCs w:val="20"/>
          <w:color w:val="auto"/>
        </w:rPr>
      </w:pPr>
    </w:p>
    <w:p>
      <w:pPr>
        <w:ind w:left="380" w:hanging="37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made scheduled payments on long-term debt of $26.9 million;</w:t>
      </w:r>
    </w:p>
    <w:p>
      <w:pPr>
        <w:spacing w:after="0" w:line="184" w:lineRule="exact"/>
        <w:rPr>
          <w:rFonts w:ascii="Arial" w:cs="Arial" w:eastAsia="Arial" w:hAnsi="Arial"/>
          <w:sz w:val="18"/>
          <w:szCs w:val="18"/>
          <w:color w:val="auto"/>
        </w:rPr>
      </w:pPr>
    </w:p>
    <w:p>
      <w:pPr>
        <w:ind w:left="380" w:hanging="37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borrowed $15.0 million under the Falcon Global USA, LLC revolving loan facility (“FGUSA Revolving Loan Facility”);</w:t>
      </w:r>
    </w:p>
    <w:p>
      <w:pPr>
        <w:spacing w:after="0" w:line="184" w:lineRule="exact"/>
        <w:rPr>
          <w:rFonts w:ascii="Arial" w:cs="Arial" w:eastAsia="Arial" w:hAnsi="Arial"/>
          <w:sz w:val="18"/>
          <w:szCs w:val="18"/>
          <w:color w:val="auto"/>
        </w:rPr>
      </w:pPr>
    </w:p>
    <w:p>
      <w:pPr>
        <w:ind w:left="380" w:hanging="37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paid $15.0 million in debtor-in-possession obligations assumed from MOI;</w:t>
      </w:r>
    </w:p>
    <w:p>
      <w:pPr>
        <w:spacing w:after="0" w:line="184" w:lineRule="exact"/>
        <w:rPr>
          <w:rFonts w:ascii="Arial" w:cs="Arial" w:eastAsia="Arial" w:hAnsi="Arial"/>
          <w:sz w:val="18"/>
          <w:szCs w:val="18"/>
          <w:color w:val="auto"/>
        </w:rPr>
      </w:pPr>
    </w:p>
    <w:p>
      <w:pPr>
        <w:ind w:left="380" w:hanging="376"/>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converted €6.0 million of denominated debt into pound sterling debt, paying $7.5 million in euro debt and borrowing $8.5 million in pound sterling debt, resulting in a net increase in USD borrowings of $1.0 million;</w:t>
      </w:r>
    </w:p>
    <w:p>
      <w:pPr>
        <w:spacing w:after="0" w:line="129" w:lineRule="exact"/>
        <w:rPr>
          <w:rFonts w:ascii="Arial" w:cs="Arial" w:eastAsia="Arial" w:hAnsi="Arial"/>
          <w:sz w:val="18"/>
          <w:szCs w:val="18"/>
          <w:color w:val="auto"/>
        </w:rPr>
      </w:pPr>
    </w:p>
    <w:p>
      <w:pPr>
        <w:ind w:left="380" w:hanging="376"/>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borrowed $11.0 million for the purchase of SEACOR 88 and SEACOR 888;</w:t>
      </w:r>
    </w:p>
    <w:p>
      <w:pPr>
        <w:spacing w:after="0" w:line="184" w:lineRule="exact"/>
        <w:rPr>
          <w:rFonts w:ascii="Arial" w:cs="Arial" w:eastAsia="Arial" w:hAnsi="Arial"/>
          <w:sz w:val="18"/>
          <w:szCs w:val="18"/>
          <w:color w:val="auto"/>
        </w:rPr>
      </w:pPr>
    </w:p>
    <w:p>
      <w:pPr>
        <w:ind w:left="380" w:hanging="376"/>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refinanced $99.9 million in debt encumbering eight vessels through the SMFH Loan Facility and borrowed an additional $30.1 million under the same syndicated loan facility;</w:t>
      </w:r>
    </w:p>
    <w:p>
      <w:pPr>
        <w:spacing w:after="0" w:line="1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125" w:right="239" w:bottom="1440" w:gutter="0" w:footer="0" w:header="0"/>
        </w:sectPr>
      </w:pPr>
    </w:p>
    <w:bookmarkStart w:id="64" w:name="page65"/>
    <w:bookmarkEnd w:id="64"/>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$2.6 million;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Common Stock for proceeds of $1.8 million in a private placement;</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Common Stock for proceeds of $41.2 million and Warrants to purchase Common Stock for proceeds of $12.8 million in a private placement; and</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received $0.8 million from the exercise of stock options.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2017, net cash used by financing activities was $11.7 million. In the period, the Company:</w:t>
      </w:r>
    </w:p>
    <w:p>
      <w:pPr>
        <w:spacing w:after="0" w:line="198" w:lineRule="exact"/>
        <w:rPr>
          <w:sz w:val="20"/>
          <w:szCs w:val="20"/>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made scheduled payments on long-term debt of $11.9 million;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borrowed $7.1 million under the Sea-Cat Crewzer III Term Loan Facility;</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incurred issuance costs on various debt facilities of $0.5 million;</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purchased subsidiary shares from noncontrolling interest for $3.7 million;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paid SEACOR Holdings $2.7 million for the distribution of SEACOR Marine restricted stock to Company personnel.</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Short and Long-Term Liquidity Requirements</w:t>
      </w:r>
    </w:p>
    <w:p>
      <w:pPr>
        <w:spacing w:after="0" w:line="189"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The Company’s principal liquidity requirements over the next twelve months are for working capital, to meet debt service obligations and to meet capital expenditure needs, principally payments related to the construction of new vessels. In addition, financial covenants under certain of the Company’s debt facilities require the Company to maintain minimum available liquidity (as defined in the agreements) of an aggregate of $35.0 million. The Company’s principal sources of liquidity are cash flows from operations and borrowing capacity under its subsidiaries credit facilities. The Company’s sources of liquidity may be impacted by the general condition of the markets in which it operates and the broader economy as a whole, which may affect its results of operations and thereby its cash flow from operations, as well as, limit its access to the debt and equity capital markets on acceptable terms, or at all. 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for the next twelve months.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On occasion, the Company will guarantee certain obligations or provide other direct or indirect credit support for these obligations on behalf of its 50% or less owned companies. As of December 31, 2019, the Company had the following guarantee in place:</w:t>
      </w:r>
    </w:p>
    <w:p>
      <w:pPr>
        <w:spacing w:after="0" w:line="130" w:lineRule="exact"/>
        <w:rPr>
          <w:sz w:val="20"/>
          <w:szCs w:val="20"/>
          <w:color w:val="auto"/>
        </w:rPr>
      </w:pPr>
    </w:p>
    <w:p>
      <w:pPr>
        <w:jc w:val="both"/>
        <w:ind w:left="1140" w:hanging="376"/>
        <w:spacing w:after="0" w:line="259"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guarantees certain of the outstanding charter receivables of one of its managed 50% or less owned companies if a customer defaults in payment and the Company either fails to take enforcement action against the defaulting customer or fails to assign its right of recovery against the defaulting customer. As of December 31, 2019, the Company’s contingent guarantee for the outstanding charter receivables was $0.2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left="76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02"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Prior to the Spin-Off, in the ordinary course of business, SEACOR Holdings issued guarantees in respect of certain of the Company’s obligations, including obligations under debt instruments and credit facilities, sale-leaseback transactions, letters of credit and certain invoiced amounts for funding deficits of a multi-employer defined benefit pension plan. As of December 31, 2019, the aggregate amount of obligations that SEACOR Holdings had guaranteed on the Company’s behalf was $40.6 million. Pursuant to the Distribution Agreement entered into with SEACOR Holdings in connection with the Spin-off, the Company is required to use commercially reasonable efforts to cause SEACOR Holdings to be released from these guarantees in favor of a guarantee issued by the Company. To the extent the Company is unable to cause SEACOR Holdings to be released from any of these guarantees under reasonable terms, the Company pays SEACOR Holdings a guarantee fee equal to 0.5% per annum of the amount of outstanding guarantees, which declines as the guarantee obligations are settled by the Company. The Company recognized guarantee fees in connection with sale-leaseback arrangements of $0.2 million, $0.3 million, and $0.3 million during 2019, 2018, and 2017, respectively, as additional leased-in equipment operating expenses. Guarantee fees paid to SEACOR Holdings for all other obligations are recognized as SEACOR Holdings guarantee fees. The Company indemnifies SEACOR Holdings in respect of any payments that SEACOR Holdings is required to make under any of these guarantees.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the Company’s contractual obligations and other commercial commitments and their aggregate maturities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b w:val="1"/>
                <w:bCs w:val="1"/>
                <w:color w:val="auto"/>
                <w:w w:val="90"/>
              </w:rPr>
              <w:t>Payments Due By Period</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9"/>
              </w:rPr>
              <w:t>After</w:t>
            </w:r>
          </w:p>
        </w:tc>
        <w:tc>
          <w:tcPr>
            <w:tcW w:w="100" w:type="dxa"/>
            <w:vAlign w:val="bottom"/>
          </w:tcPr>
          <w:p>
            <w:pPr>
              <w:spacing w:after="0"/>
              <w:rPr>
                <w:sz w:val="17"/>
                <w:szCs w:val="17"/>
                <w:color w:val="auto"/>
              </w:rPr>
            </w:pPr>
          </w:p>
        </w:tc>
      </w:tr>
      <w:tr>
        <w:trPr>
          <w:trHeight w:val="234"/>
        </w:trPr>
        <w:tc>
          <w:tcPr>
            <w:tcW w:w="15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1-3 Years</w:t>
            </w: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Contractual Obligations: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15"/>
                <w:szCs w:val="15"/>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506,296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39,204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115,651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338,823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12,618</w:t>
            </w:r>
          </w:p>
        </w:tc>
        <w:tc>
          <w:tcPr>
            <w:tcW w:w="10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Capital Purchase Obligations </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15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576,431</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95,789</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123,447</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340,140</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Commercial Commitments: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Letters of Credit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1"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interest payments of the Company’s borrowings are based on contractual terms and maturities, using current rates for variable instruments.</w:t>
      </w:r>
    </w:p>
    <w:p>
      <w:pPr>
        <w:ind w:left="760" w:hanging="752"/>
        <w:spacing w:after="0" w:line="221"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Capital purchase obligations represent commitments for the purchase of property and equipment. These commitments are not recorded as liabilities on the Company’s consolidated balance sheet as of December 31, 2019 as the Company has not yet received the goods or taken title to the property.</w:t>
      </w:r>
    </w:p>
    <w:p>
      <w:pPr>
        <w:ind w:left="760" w:hanging="752"/>
        <w:spacing w:after="0" w:line="221"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Capital leases primarily include leases of vessels and other property that have a remaining term in excess of one year.</w:t>
      </w:r>
    </w:p>
    <w:p>
      <w:pPr>
        <w:ind w:left="760" w:hanging="752"/>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commitments are for goods and services to be acquired in the ordinary course of business and are fulfilled by the Company’s vendors within a short period of time.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and Credit Agreements</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For a discussion of the Company’s debt securities and credit agreements, see “Note 8. Long-Term Debt” in the audited consolidated financial statements included elsewhere in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Company’s operations expose it to the effects of inflation. In the event that inflation becomes a significant factor in the world economy, inflationary pressures could result in increased operating and financing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MNOPF and MNRPF</w:t>
      </w:r>
      <w:r>
        <w:rPr>
          <w:rFonts w:ascii="Arial" w:cs="Arial" w:eastAsia="Arial" w:hAnsi="Arial"/>
          <w:sz w:val="18"/>
          <w:szCs w:val="18"/>
          <w:color w:val="auto"/>
        </w:rPr>
        <w:t>. Certain of the Company’s subsidiaries are participating employers in two industry-wide, multi-employer, defined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funds in the United Kingdom: the MNOPF and the MNRPF.</w:t>
      </w:r>
    </w:p>
    <w:p>
      <w:pPr>
        <w:spacing w:after="0" w:line="13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66" w:name="page67"/>
    <w:bookmarkEnd w:id="66"/>
    <w:p>
      <w:pPr>
        <w:jc w:val="both"/>
        <w:ind w:firstLine="761"/>
        <w:spacing w:after="0" w:line="255"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 The amounts invoiced have been re-paid in full, other than with respect to $2.6 million invoiced in 2013, for which the Company has a repayment plan with the trustees of the MNOPF to repay such invoice in full by December 31, 2023. As of December 31, 2019, the remaining current liability and long-term liability due to the MNOPF was $0.3 million and $0.7 million, respectively.</w:t>
      </w:r>
    </w:p>
    <w:p>
      <w:pPr>
        <w:spacing w:after="0" w:line="16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November 7, 2018, the Company received notice from MNOPF that a deficit of £9 million existed but noted that the trustee did not propose to collect any additional funds in respect of such deficit. Depending on the results of future valuations, it is possible that the MNOPF will experience further funding deficits requiring the Company to recognize payroll related expenses in the periods the notice is received.</w:t>
      </w:r>
    </w:p>
    <w:p>
      <w:pPr>
        <w:spacing w:after="0" w:line="141"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In 2015, the Company was invoiced and expensed $6.9 million for its share of a funding deficit in the MNRPF. The Company had a repayment plan with the trustees of the MNRPF, for the amount to be repaid in four installments, commencing in 2015, and the amount was repaid in full during 2018. On July 20, 2018, the Company was notified of additional contributions due and recognized in the second quarter of 2018 payroll related expenses of $1.2 million (£0.9 million) for its allocated share of the cumulative funding deficit including portions deemed uncollectible due to the non-existence or liquidation of certain former employers. These additional contributions were invoiced in September 2018 and are payable in four annual installments beginning in October 2018. As of December 31, 2019, all invoices related to the MNRPF have been settled in full. Depending upon the results of future actuarial valuations it is possible that the plan could experience further funding deficits that will require the Company to recognize payroll related operating expenses for those periods.</w:t>
      </w:r>
    </w:p>
    <w:p>
      <w:pPr>
        <w:spacing w:after="0" w:line="14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In the normal course of its business, the Company becomes involved in various litigation matters including, among other things, claims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third-parties for alleged property damages and personal injuries. Management has used estimates in determining its potential exposure to these matters and has recorded reserves in the Company’s financial statements related thereto as appropriate. It is possible that a change in the Company’s estimates related to these exposures could occur, but the Company does not expect such changes in estimated costs would have a material effect on its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For a discussion of the Company’s transactions with related parties, see “Note 17. Related Party Transactions” in the audited consolidated financial statements included elsewhere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deemed to exist if the Company has greater than 50% of the voting rights of a subsidiary. All significant intercompany accounts and transactions are eliminated in consolidation.</w:t>
      </w:r>
    </w:p>
    <w:p>
      <w:pPr>
        <w:spacing w:after="0" w:line="141"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13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7" w:name="page68"/>
    <w:bookmarkEnd w:id="67"/>
    <w:p>
      <w:pPr>
        <w:jc w:val="both"/>
        <w:ind w:firstLine="761"/>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146"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 is recognized when (or as) the Company transfers promised goods or services to its customers in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 the consideration to which the Company expects to be entitled to in exchange for those goods or services, which occurs when (or as) the Company satisfies its contractual obligations and transfers control of the promised goods or services to its customers. Costs to obtain or fulfill a contract are expensed as incurred.</w:t>
      </w:r>
    </w:p>
    <w:p>
      <w:pPr>
        <w:spacing w:after="0" w:line="146"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Company’s lease revenues are primarily from time charters and bareboat charters that are recognized ratably over the lease term as services are provided, typically on a per day basis. Under a time charter, the Company provides a vessel to a customer for a set term and is responsible for all operating expenses, typically excluding fuel. Under a bareboat charter, the Company provides a vessel to a customer for a set term and the customer assumes responsibility.</w:t>
      </w:r>
    </w:p>
    <w:p>
      <w:pPr>
        <w:spacing w:after="0" w:line="146"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contract while related costs are expensed as incurred.</w:t>
      </w:r>
    </w:p>
    <w:p>
      <w:pPr>
        <w:spacing w:after="0" w:line="13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and large independent oil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exploration and production companies. Customers are granted credit on a short-term basis and related credit risks are minimal. Other receivables consist primarily of operating expenses incurred by the Company related to vessels it manages for others and insurance and income tax receivables. The Company routinely reviews its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spacing w:after="0" w:line="13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2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8" w:name="page69"/>
    <w:bookmarkEnd w:id="68"/>
    <w:p>
      <w:pPr>
        <w:jc w:val="both"/>
        <w:ind w:firstLine="761"/>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its useful life policy, in which case the Company depreciates such vessels based on its best estimate of remaining useful life, typically the next regulatory survey or certification date.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2019,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348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Crew transfer vessels</w:t>
            </w:r>
          </w:p>
        </w:tc>
        <w:tc>
          <w:tcPr>
            <w:tcW w:w="34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All other offshore support vessels (excluding crew transfer utility)</w:t>
            </w:r>
          </w:p>
        </w:tc>
        <w:tc>
          <w:tcPr>
            <w:tcW w:w="3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Certain interest costs incurred during the construction of vessels are capitalized as part of the vessels’ carrying values and are amortized over such vessels’ estimated useful lives.</w:t>
      </w:r>
    </w:p>
    <w:p>
      <w:pPr>
        <w:spacing w:after="0" w:line="130"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Company performs an impairment analysis of long-lived assets used in operations, including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 See “Certain Components of Revenues and Expenses-Impairments” above for a discussion of impairments.</w:t>
      </w:r>
    </w:p>
    <w:p>
      <w:pPr>
        <w:spacing w:after="0" w:line="15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other-than-temporary decline in the fair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w:t>
      </w:r>
    </w:p>
    <w:p>
      <w:pPr>
        <w:spacing w:after="0" w:line="138"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The Company recognizes 100% of the fair value of assets acquired, liabilities assumed, and noncontrolling interests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w:t>
      </w:r>
    </w:p>
    <w:p>
      <w:pPr>
        <w:spacing w:after="0" w:line="124"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have been provided in recognition of the income tax effect attributable to the book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9" w:name="page70"/>
    <w:bookmarkEnd w:id="69"/>
    <w:p>
      <w:pPr>
        <w:jc w:val="both"/>
        <w:ind w:firstLine="761"/>
        <w:spacing w:after="0" w:line="286" w:lineRule="auto"/>
        <w:rPr>
          <w:sz w:val="20"/>
          <w:szCs w:val="20"/>
          <w:color w:val="auto"/>
        </w:rPr>
      </w:pPr>
      <w:r>
        <w:rPr>
          <w:rFonts w:ascii="Arial" w:cs="Arial" w:eastAsia="Arial" w:hAnsi="Arial"/>
          <w:sz w:val="17"/>
          <w:szCs w:val="17"/>
          <w:color w:val="auto"/>
        </w:rPr>
        <w:t>Prior to the Spin-off,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3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5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i w:val="1"/>
          <w:iCs w:val="1"/>
          <w:color w:val="auto"/>
        </w:rPr>
        <w:t xml:space="preserve">Deferred Gains - Vessel Sale-Leaseback Transactions and Financed Vessel Sales. </w:t>
      </w:r>
      <w:r>
        <w:rPr>
          <w:rFonts w:ascii="Arial" w:cs="Arial" w:eastAsia="Arial" w:hAnsi="Arial"/>
          <w:sz w:val="17"/>
          <w:szCs w:val="17"/>
          <w:color w:val="auto"/>
        </w:rPr>
        <w:t>From time to time, the Company enters into vessel sale-leaseback transactions with finance companies or provide seller financing on sales of its vessels to third-parties or to 50% or less owned companies. As per accounting guidance for sale-leaseback transactions, a portion of the gains realized from these transactions is not immediately recognized in income and has been recorded in the accompanying consolidated balance sheets in deferred gains and other liabilities. In sale-leaseback transactions, gains are deferred to the extent of the present value of future minimum lease payments and are amortized as reductions to rental expense over the applicable lease terms. In financed vessel sales, gains are deferred to the extent that the repayment of purchase notes is dependent on the future operations of the sold vessels and are amortized based on cash received from the buyers.</w:t>
      </w:r>
    </w:p>
    <w:p>
      <w:pPr>
        <w:spacing w:after="0" w:line="137"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On January 1, 2019 unamortized deferred gains of $8.7 million, net of tax related to a sale-leaseback transaction, were fully recognized as an adjustment to the opening balance of retained earnings upon the adoption of the new lease accounting pronouncement (ASC 842).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70" w:name="page71"/>
    <w:bookmarkEnd w:id="70"/>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On occasion, the Company enters and settles forward currency exchange, option and future contracts with respect to various foreign currencies that are not designated as fair value hedges. These contracts enable the Company to buy currencies in the future at fixed exchange rates, which could offset possible consequences of changes in foreign exchange rates with respect to the Company’s business conducted in Europe, Africa, Latin America, the Middle East and Asia. The Company generally does not enter into contracts with forward settlement dates beyond twelve to eighteen months. As of December 31, 2019, the Company had no currency contracts outstanding.</w:t>
      </w:r>
    </w:p>
    <w:p>
      <w:pPr>
        <w:spacing w:after="0" w:line="16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of December 31, 2019, a subsidiary of the Company whose functional currency is the pound sterling had long-term debt of €15.0 million (£12.8 million). A 10% strengthening in the exchange rate of the euro against the pound sterling as of December 31, 2019 would result in foreign currency losses of $1.8 million.</w:t>
      </w:r>
    </w:p>
    <w:p>
      <w:pPr>
        <w:spacing w:after="0" w:line="14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of December 31, 2019, a subsidiary of the Company whose functional currency is the pound sterling had long-term debt of £6.0 million ($7.9 million). A 10% strengthening in the exchange rate of the pound sterling against the U.S. dollar as of December 31, 2019 would result in foreign currency losses of $0.8 million.</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 has foreign currency exchange risks related to its operations where its functional currency is the pound sterling, primarily related to vessel operations that are conducted from ports located in the United Kingdom. Net consolidated assets of £35.6 million ($48.3 million) are included in the Company’s consolidated balance sheets as of December 31, 2019. A 10% weakening in the exchange rate of the pound sterling against the U.S. dollar as of December 31, 2019 would increase other comprehensive loss by $4.8 million due to translation.</w:t>
      </w:r>
    </w:p>
    <w:p>
      <w:pPr>
        <w:spacing w:after="0" w:line="160"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Company’s outstanding debt is primarily in fixed interest rate instruments or variable interest rate instruments that have been fixed through corresponding interest rate swaps. As a result, the Company’s operations are not significantly affected by interest rate fluctuations. As of December 31, 2019, the Company had outstanding variable rate debt instruments (due 2019 through 2024) subject to interest rate fluctuations totaling $187.2 million that call for the Company to pay interest based on LIBOR plus applicable margins. The interest rates reset either monthly or quarterly. As of December 31, 2019, the average interest rate on these variable rate borrowings was 6.0%. For each 1% increase in the applicable LIBOR rate, the Company’s annual interest payments on the non-hedged portion of the facility would increase by approximately $1.9 million.</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consolidated financial statements and related notes are included in Part IV of this Annual Report on Form 10-K and incorporated herein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December 31, 2019. Based on their evaluation, the Company’s principal executive officer and principal financial officer concluded that the Company’s disclosure controls and procedures were effective as of December 31, 2019.</w:t>
      </w:r>
    </w:p>
    <w:p>
      <w:pPr>
        <w:spacing w:after="0" w:line="131"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The Company’s disclosure controls and procedures have been designed to ensure that information required to be disclosed by the Company in the reports it files or furnishes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 13a-15(f) and 15d-15(f) under the Exchange Act).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Internal control over financial reporting is designed to provide reasonable assurance to the Company’s management and board of directors regarding the preparation of reliable financial statements for external purposes in accordance with generally accepted accounting principles in the U.S. Because of the inherent limitations in any internal control system, no matter how well designed, misstatements may occur and not be prevented or detected. Accordingly, even effective internal control over financial reporting can provide only reasonable assurance with respect to financial statement preparation.</w:t>
      </w:r>
    </w:p>
    <w:p>
      <w:pPr>
        <w:spacing w:after="0" w:line="114"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Management conducted an evaluation of the effectiveness of the Company’s system of internal control over financial reporting as of December 31, 2019 based on the updated framework set forth in “Internal Control-Integrated Framework” issued by the Committee of Sponsoring Organizations of the Treadway Commission (2013 framework). Based on its evaluation, management concluded that, as of December 31, 2019, the Company’s internal control over financial reporting was effective.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December 31, 2019 that have materially affected, or are reasonably likely to materially affect, the Company’s internal control over financial reporting.</w:t>
      </w:r>
    </w:p>
    <w:p>
      <w:pPr>
        <w:spacing w:after="0" w:line="1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89" w:lineRule="exact"/>
        <w:rPr>
          <w:sz w:val="20"/>
          <w:szCs w:val="20"/>
          <w:color w:val="auto"/>
        </w:rPr>
      </w:pPr>
    </w:p>
    <w:p>
      <w:pPr>
        <w:jc w:val="both"/>
        <w:ind w:right="20" w:firstLine="761"/>
        <w:spacing w:after="0" w:line="308" w:lineRule="auto"/>
        <w:rPr>
          <w:sz w:val="20"/>
          <w:szCs w:val="20"/>
          <w:color w:val="auto"/>
        </w:rPr>
      </w:pPr>
      <w:r>
        <w:rPr>
          <w:rFonts w:ascii="Arial" w:cs="Arial" w:eastAsia="Arial" w:hAnsi="Arial"/>
          <w:sz w:val="17"/>
          <w:szCs w:val="17"/>
          <w:color w:val="auto"/>
        </w:rPr>
        <w:t>The information required to be disclosed pursuant to this Item 10 is incorporated in its entirety herein by reference to the Company’s definitive proxy statement to be filed with the Commission pursuant to Regulation 14A within 120 days after the end of the Company’s last fiscal year.</w:t>
      </w:r>
    </w:p>
    <w:p>
      <w:pPr>
        <w:spacing w:after="0" w:line="12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b w:val="1"/>
          <w:bCs w:val="1"/>
          <w:i w:val="1"/>
          <w:iCs w:val="1"/>
          <w:color w:val="auto"/>
        </w:rPr>
        <w:t xml:space="preserve">NYSE Annual Certification. </w:t>
      </w:r>
      <w:r>
        <w:rPr>
          <w:rFonts w:ascii="Arial" w:cs="Arial" w:eastAsia="Arial" w:hAnsi="Arial"/>
          <w:sz w:val="18"/>
          <w:szCs w:val="18"/>
          <w:color w:val="auto"/>
        </w:rPr>
        <w:t>The Chief Executive Officer of the Company has previously submitted to the NYSE the annual certification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Section 303A.12(a) of the NYSE Listed Company Manual, and there were no qualifications to such certification. SEACOR Marine Holdings Inc. has filed the certifications of its Chief Executive Officer and Chief Financial Officer required by Section 302 of the Sarbanes-Oxley Act of 2002 with the SEC as exhibits to this Form 10-K.</w:t>
      </w:r>
    </w:p>
    <w:p>
      <w:pPr>
        <w:spacing w:after="0" w:line="1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information required to be disclosed pursuant to this Item 11 is incorporated in its entirety herein by reference to the “Compensation Disclosure and Analysis” and “Information Relating to the Board of Directors and Committees Thereof” portions of the Company’s definitive proxy statement to be filed with the Commission pursuant to Regulation 14A within 120 days after the end of the Company’s last fiscal year.</w:t>
      </w:r>
    </w:p>
    <w:p>
      <w:pPr>
        <w:spacing w:after="0" w:line="121" w:lineRule="exact"/>
        <w:rPr>
          <w:sz w:val="20"/>
          <w:szCs w:val="20"/>
          <w:color w:val="auto"/>
        </w:rPr>
      </w:pPr>
    </w:p>
    <w:p>
      <w:pPr>
        <w:jc w:val="both"/>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information required to be disclosed pursuant to this Item 12 is incorporated in its entirety herein by reference to the “Security Ownership of Certain Beneficial Owners and Management” portion of the Company’s definitive proxy statement to be filed with the Commission pursuant to Regulation 14A within 120 days after the end of the Company’s last fiscal year.</w:t>
      </w:r>
    </w:p>
    <w:p>
      <w:pPr>
        <w:spacing w:after="0" w:line="1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information required to be disclosed pursuant to this Item 13 is incorporated in its entirety herein by reference to the “Certain Relationships and Related Transactions” portion of the Company’s definitive proxy statement to be filed with the Commission pursuant to Regulation 14A within 120 days after the end of the Company’s last fiscal year.</w:t>
      </w:r>
    </w:p>
    <w:p>
      <w:pPr>
        <w:spacing w:after="0" w:line="1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8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information required to be disclosed pursuant to this Item 14 is incorporated in its entirety herein by reference to the “Ratification or Appointment of Independent Auditors” portion of the Company’s definitive proxy statement to be filed with the Commission pursuant to Regulation 14A within 120 days after the end of the Company’s last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89"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84" w:lineRule="exact"/>
        <w:rPr>
          <w:rFonts w:ascii="Arial" w:cs="Arial" w:eastAsia="Arial" w:hAnsi="Arial"/>
          <w:sz w:val="18"/>
          <w:szCs w:val="18"/>
          <w:color w:val="auto"/>
        </w:rPr>
      </w:pPr>
    </w:p>
    <w:p>
      <w:pPr>
        <w:ind w:left="940" w:hanging="171"/>
        <w:spacing w:after="0"/>
        <w:tabs>
          <w:tab w:leader="none" w:pos="940" w:val="left"/>
        </w:tabs>
        <w:numPr>
          <w:ilvl w:val="1"/>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and Financial Statement Schedules </w:t>
      </w:r>
      <w:r>
        <w:rPr>
          <w:rFonts w:ascii="Arial" w:cs="Arial" w:eastAsia="Arial" w:hAnsi="Arial"/>
          <w:sz w:val="17"/>
          <w:szCs w:val="17"/>
          <w:color w:val="auto"/>
        </w:rPr>
        <w:t>- See Index to Financial Statements of this Annual Report on Form 10-K.</w:t>
      </w:r>
    </w:p>
    <w:p>
      <w:pPr>
        <w:spacing w:after="0" w:line="209" w:lineRule="exact"/>
        <w:rPr>
          <w:rFonts w:ascii="Arial" w:cs="Arial" w:eastAsia="Arial" w:hAnsi="Arial"/>
          <w:sz w:val="17"/>
          <w:szCs w:val="17"/>
          <w:color w:val="auto"/>
        </w:rPr>
      </w:pPr>
    </w:p>
    <w:p>
      <w:pPr>
        <w:ind w:left="940" w:hanging="171"/>
        <w:spacing w:after="0"/>
        <w:tabs>
          <w:tab w:leader="none" w:pos="940" w:val="left"/>
        </w:tabs>
        <w:numPr>
          <w:ilvl w:val="1"/>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280" w:type="dxa"/>
            <w:vAlign w:val="bottom"/>
            <w:gridSpan w:val="10"/>
          </w:tcPr>
          <w:p>
            <w:pPr>
              <w:ind w:left="66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91"/>
        </w:trPr>
        <w:tc>
          <w:tcPr>
            <w:tcW w:w="104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9"/>
              </w:rPr>
              <w:t>2.1*</w:t>
            </w: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320" w:type="dxa"/>
            <w:vAlign w:val="bottom"/>
            <w:tcBorders>
              <w:top w:val="single" w:sz="8" w:color="auto"/>
            </w:tcBorders>
            <w:gridSpan w:val="13"/>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Distribution Agreement, dated as of May 10, 2017, by and between SEACOR Holdings Inc. and SEACOR Marine Holdings Inc. (incorporated</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herein by reference to Exhibit 10.1 of SEACOR Holdings Inc.’s Current Report on Form 8-K filed with the Commission on May 12, 2017</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(File No. 001-12289)).</w:t>
              </w:r>
            </w:hyperlink>
          </w:p>
        </w:tc>
        <w:tc>
          <w:tcPr>
            <w:tcW w:w="86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Joint Venture Contribution and Formation Agreement, dated August 10, 2017, by and between SEACOR LB Holdings LLC and Montco</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Offshore, Inc. (incorporated herein by reference to Exhibit 2.1 of SEACOR Marine Holdings Inc.'s Periodic Report on Form 8-K filed with the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Commission on August 11, 2017 (File No. 001-37966)).</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First Amendment to Joint Venture Contribution and Formation Agreement, dated January 8, 2018, by and between SEACOR LB Holdings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LLC and Montco Offshore, Inc. (incorporated herein by reference to Exhibit 2.1 of SEACOR Marine Holdings Inc.’s Periodic Report on Form</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8-K filed with the Commission on January 9, 2018 (File No. 001-37966)).</w:t>
              </w:r>
            </w:hyperlink>
          </w:p>
        </w:tc>
        <w:tc>
          <w:tcPr>
            <w:tcW w:w="49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Third Amended and Restated Articles of Incorporation of SEACOR Marine Holdings Inc. (incorporated herein by reference to Exhibit 10.1 of</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SEACOR Marine Holdings Inc.’s Quarterly Report on Form 10-Q filed with the Commission on August 7, 2019 (File No. 001-37966)).</w:t>
              </w:r>
            </w:hyperlink>
          </w:p>
        </w:tc>
        <w:tc>
          <w:tcPr>
            <w:tcW w:w="5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Third Amended and Restated Bylaws of SEACOR Marine Holdings Inc. (incorporated herein by reference to Exhibit 3.1 of SEACOR Marine</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Holdings Inc.’s Current Report on Form 8-K filed with the Commission on March 19, 2019 (File No. 001-37966).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Note Purchase Agreement dated as of November 30, 2015, by and among SEACOR Marine Holdings Inc. and the Purchasers identified on</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Schedule A thereto (including therein the form of SEACOR Marine Holdings Inc. 3.75% Convertible Senior Notes due 2022 (the “3.75%</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Convertible Senior Notes”)) (incorporated herein by reference to Exhibit 4.4 of SEACOR Holdings Inc.’s Annual Report on Form 10-K for the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fiscal year ended December 31, 2015 filed with the Commission on February 29, 2016 (File No. 001-112289)).</w:t>
              </w:r>
            </w:hyperlink>
          </w:p>
        </w:tc>
        <w:tc>
          <w:tcPr>
            <w:tcW w:w="23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4.2*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Amendment No. 1 dated March 3, 2017 to the Note Purchase Agreement dated as of November 30, 2015, by and among SEACOR Marine</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Holdings Inc. and the Purchasers of the 3.75% Subsidiary Convertible Senior Notes (incorporated herein by reference to Exhibit 10.1 of</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SEACOR Holdings Inc.’s Current Report on Form 8-K filed with the Commission on March 3, 2017 (File No. 001-112289)).</w:t>
              </w:r>
            </w:hyperlink>
          </w:p>
        </w:tc>
        <w:tc>
          <w:tcPr>
            <w:tcW w:w="12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Investment Agreement dated November 30, 2015, by and among SEACOR Holdings Inc., SEACOR Marine Holdings Inc. and the Investors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named therein (the “Investment Agreement”) (incorporated herein by reference to Exhibit 4.5 of SEACOR Holdings Inc.’s Annual Report on</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Form 10-K for the fiscal year ended December 31, 2015 filed with the Commission on February 29, 2016 (File No. 001-112289)).</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4.4*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6"/>
              </w:rPr>
            </w:pPr>
            <w:hyperlink r:id="rId111">
              <w:r>
                <w:rPr>
                  <w:rFonts w:ascii="Arial" w:cs="Arial" w:eastAsia="Arial" w:hAnsi="Arial"/>
                  <w:sz w:val="18"/>
                  <w:szCs w:val="18"/>
                  <w:color w:val="0000EE"/>
                  <w:w w:val="96"/>
                </w:rPr>
                <w:t>Registration Rights Agreement dated November 30, 2015, by and among SEACOR Marine Holdings Inc. and the holders of the 3.75%</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Convertible Senior Notes from time-to-time party thereto (incorporated herein by reference to Exhibit 4.7 of SEACOR Holdings Inc.’s Annual</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Report on Form 10-K for the fiscal year ended December 31, 2015 filed with the Commission on February 29, 2016 (File No. 001-112289)).</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426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4.5*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3"/>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Registration Rights Agreement, dated as of January 9, 2019 by and among SEACOR Marine Holdings, Inc., McCall Properties, LLC and the</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Members of the Sellers listed therein (incorporated herein by reference to Exhibit 4.1 of SEACOR Marine Holdings Inc.’s Current Report on</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Form 8-K filed with the Commission on January 11, 2010 (File No. 001-37966)).</w:t>
              </w:r>
            </w:hyperlink>
          </w:p>
        </w:tc>
        <w:tc>
          <w:tcPr>
            <w:tcW w:w="44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9"/>
              </w:rPr>
              <w:t>4.6*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3"/>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Warrant, originally issued by SEACOR Marine Holdings Inc., to CEOF II Coinvestment B (DE), L.P., on May 2, 2018, (incorporated herein</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58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by reference to Exhibit 4.10 of SEACOR Marine Holdings Inc.’s Shelf Registration on Form S-3 filed with the Commission on June 15, 2018</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(File No. 333-225686)).</w:t>
              </w:r>
            </w:hyperlink>
          </w:p>
        </w:tc>
        <w:tc>
          <w:tcPr>
            <w:tcW w:w="20" w:type="dxa"/>
            <w:vAlign w:val="bottom"/>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Borders>
              <w:top w:val="single" w:sz="8" w:color="0000EE"/>
            </w:tcBorders>
            <w:gridSpan w:val="2"/>
          </w:tcPr>
          <w:p>
            <w:pPr>
              <w:spacing w:after="0"/>
              <w:rPr>
                <w:sz w:val="24"/>
                <w:szCs w:val="24"/>
                <w:color w:val="auto"/>
              </w:rPr>
            </w:pPr>
          </w:p>
        </w:tc>
        <w:tc>
          <w:tcPr>
            <w:tcW w:w="3620" w:type="dxa"/>
            <w:vAlign w:val="bottom"/>
            <w:gridSpan w:val="2"/>
          </w:tcPr>
          <w:p>
            <w:pPr>
              <w:jc w:val="right"/>
              <w:ind w:right="550"/>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gridSpan w:val="5"/>
          </w:tcPr>
          <w:p>
            <w:pPr>
              <w:ind w:left="5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91"/>
        </w:trPr>
        <w:tc>
          <w:tcPr>
            <w:tcW w:w="10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320" w:type="dxa"/>
            <w:vAlign w:val="bottom"/>
            <w:tcBorders>
              <w:top w:val="single" w:sz="8" w:color="auto"/>
            </w:tcBorders>
            <w:gridSpan w:val="17"/>
          </w:tcPr>
          <w:p>
            <w:pPr>
              <w:spacing w:after="0"/>
              <w:rPr>
                <w:rFonts w:ascii="Arial" w:cs="Arial" w:eastAsia="Arial" w:hAnsi="Arial"/>
                <w:sz w:val="18"/>
                <w:szCs w:val="18"/>
                <w:color w:val="0000EE"/>
                <w:w w:val="93"/>
              </w:rPr>
            </w:pPr>
            <w:hyperlink r:id="rId116">
              <w:r>
                <w:rPr>
                  <w:rFonts w:ascii="Arial" w:cs="Arial" w:eastAsia="Arial" w:hAnsi="Arial"/>
                  <w:sz w:val="18"/>
                  <w:szCs w:val="18"/>
                  <w:color w:val="0000EE"/>
                  <w:w w:val="93"/>
                </w:rPr>
                <w:t>Warrant, originally issued by SEACOR Marine Holdings Inc., to Proyectos Globales De Energia y Servicios CME, S.A. de C.V., on April 26,</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2018, (incorporated herein by reference to Exhibit 4.11 of SEACOR Marine Holdings Inc.’s Shelf Registration on Form S-3 filed with the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Commission on June 15, 2018 (File No. 333-225686)).</w:t>
              </w:r>
            </w:hyperlink>
          </w:p>
        </w:tc>
        <w:tc>
          <w:tcPr>
            <w:tcW w:w="63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7"/>
          </w:tcPr>
          <w:p>
            <w:pPr>
              <w:spacing w:after="0"/>
              <w:rPr>
                <w:rFonts w:ascii="Arial" w:cs="Arial" w:eastAsia="Arial" w:hAnsi="Arial"/>
                <w:sz w:val="18"/>
                <w:szCs w:val="18"/>
                <w:color w:val="0000EE"/>
                <w:w w:val="93"/>
              </w:rPr>
            </w:pPr>
            <w:hyperlink r:id="rId117">
              <w:r>
                <w:rPr>
                  <w:rFonts w:ascii="Arial" w:cs="Arial" w:eastAsia="Arial" w:hAnsi="Arial"/>
                  <w:sz w:val="18"/>
                  <w:szCs w:val="18"/>
                  <w:color w:val="0000EE"/>
                  <w:w w:val="93"/>
                </w:rPr>
                <w:t>Warrant, originally issued by SEACOR Marine Holdings Inc., to CEOF II DE I AIV, L.P., on May 2, 2018, (incorporated herein by reference</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to Exhibit 4.8 of SEACOR Marine Holdings Inc.’s Shelf Registration on Form S-3 filed with the Commission on June 15, 2018 (File No. 333-</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20"/>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225686)</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7"/>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Warrant, originally issued by SEACOR Marine Holdings Inc., to CEOF II Coinvestement (DE), L.P., on May 2, 2018, (incorporated herein by</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reference to Exhibit 4.9 of SEACOR Marine Holdings Inc.’s Shelf Registration on Form S-3 filed with the Commission on June 15, 2018 (File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No. 333-225686)).</w:t>
              </w:r>
            </w:hyperlink>
          </w:p>
        </w:tc>
        <w:tc>
          <w:tcPr>
            <w:tcW w:w="896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39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7"/>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Registration Rights Agreement, dated as of April 26, 2018, by and among SEACOR Marine Holdings Inc. and the Purchasers, (incorporated</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herein by reference to Exhibit 10.6 of SEACOR Marine Holdings Inc.’s Quarterly Report on Form 10-Q filed with the Commission on May</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10, 2018 (File No. 1-37966)).</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4.11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Description of Registrant’s Securities.</w:t>
              </w:r>
            </w:hyperlink>
          </w:p>
        </w:tc>
        <w:tc>
          <w:tcPr>
            <w:tcW w:w="75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Transition Services Agreement, dated as of May 10, 2017, by and between SEACOR Holdings Inc. and SEACOR Marine Holdings Inc.</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herein by reference to Exhibit 10.2 of SEACOR Holdings Inc.’s Current Report on Form 8-K filed with the Commission on May</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12, 2017 (File No. 001-12289)).</w:t>
              </w:r>
            </w:hyperlink>
          </w:p>
        </w:tc>
        <w:tc>
          <w:tcPr>
            <w:tcW w:w="80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6"/>
              </w:rPr>
            </w:pPr>
            <w:hyperlink r:id="rId121">
              <w:r>
                <w:rPr>
                  <w:rFonts w:ascii="Arial" w:cs="Arial" w:eastAsia="Arial" w:hAnsi="Arial"/>
                  <w:sz w:val="18"/>
                  <w:szCs w:val="18"/>
                  <w:color w:val="0000EE"/>
                  <w:w w:val="96"/>
                </w:rPr>
                <w:t>Transition Services Agreement, dated as of May 10, 2017, by and between SEACOR Marine Holdings Inc. and SEACOR Holdings Inc.</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(incorporated herein by reference to Exhibit 10.3 of SEACOR Holdings Inc.’s Current Report on Form 8-K filed with the Commission on May</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12, 2017 (File No. 001-12289)).</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7"/>
          </w:tcPr>
          <w:p>
            <w:pPr>
              <w:spacing w:after="0"/>
              <w:rPr>
                <w:rFonts w:ascii="Arial" w:cs="Arial" w:eastAsia="Arial" w:hAnsi="Arial"/>
                <w:sz w:val="18"/>
                <w:szCs w:val="18"/>
                <w:color w:val="0000EE"/>
                <w:w w:val="96"/>
              </w:rPr>
            </w:pPr>
            <w:hyperlink r:id="rId122">
              <w:r>
                <w:rPr>
                  <w:rFonts w:ascii="Arial" w:cs="Arial" w:eastAsia="Arial" w:hAnsi="Arial"/>
                  <w:sz w:val="18"/>
                  <w:szCs w:val="18"/>
                  <w:color w:val="0000EE"/>
                  <w:w w:val="96"/>
                </w:rPr>
                <w:t>Employee Matters Agreement, dated as of May 10, 2017, by and between SEACOR Holdings Inc. and SEACOR Marine Holdings Inc.</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(incorporated herein by reference to Exhibit 10.4 of SEACOR Holdings Inc.’s Current Report on Form 8-K filed with the Commission on May</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12, 2017 (File No. 001-12289)).</w:t>
              </w:r>
            </w:hyperlink>
          </w:p>
        </w:tc>
        <w:tc>
          <w:tcPr>
            <w:tcW w:w="80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7"/>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Tax Matters Agreement, dated as of May 10, 2017, by and between SEACOR Holdings Inc. and SEACOR Marine Holdings Inc. (incorporated</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herein by reference to Exhibit 10.5 of SEACOR Holdings Inc.’s Current Report on Form 8-K filed with the Commission on May 12, 2017</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(File No. 001-12289)).</w:t>
              </w:r>
            </w:hyperlink>
          </w:p>
        </w:tc>
        <w:tc>
          <w:tcPr>
            <w:tcW w:w="868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7"/>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SEACOR Marine Holdings Inc. 2017 Equity Incentive Plan. (incorporated herein by reference to Exhibit 10.6 of SEACOR Marine Holdings</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Inc.’s Periodic Report on Form 8-K filed with the Commission on May 12, 2017 (File No. 001-37966)).</w:t>
              </w:r>
            </w:hyperlink>
          </w:p>
        </w:tc>
        <w:tc>
          <w:tcPr>
            <w:tcW w:w="28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39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SEACOR Marine Holdings Inc. 2017 Employee Stock Purchase Plan. (incorporated herein by reference to Exhibit 10.7 of SEACOR Marine</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Holdings Inc.’s Periodic Report on Form 8-K filed with the Commission on May 12, 2017 (File No. 001-37966)).</w:t>
              </w:r>
            </w:hyperlink>
          </w:p>
        </w:tc>
        <w:tc>
          <w:tcPr>
            <w:tcW w:w="21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39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Form of Indemnification Agreement between SEACOR Marine Holdings Inc. and individual officers and directors. (incorporated herein by</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9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reference to Exhibit 10.7 of SEACOR Marine Holdings Inc.’s Amendment No. 1 to its Registration Statement on Form 10 filed with the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Commission on February 10, 2017 (File No. 001-37966)).</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49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7"/>
              </w:rPr>
            </w:pPr>
            <w:hyperlink r:id="rId127">
              <w:r>
                <w:rPr>
                  <w:rFonts w:ascii="Arial" w:cs="Arial" w:eastAsia="Arial" w:hAnsi="Arial"/>
                  <w:sz w:val="18"/>
                  <w:szCs w:val="18"/>
                  <w:color w:val="0000EE"/>
                  <w:w w:val="97"/>
                </w:rPr>
                <w:t>Letter Agreement related to the Investment Agreement dated November 30, 2015 (incorporated herein by reference to Exhibit 10.8 of</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SEACOR Marine Holdings Inc.’s Amendment No. 3 to its Registration Statement on Form 10 filed with the Commission on May 4, 2017 (File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No. 001-37966)).</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Form of Stock Option Grant Agreement under the SEACOR Marine Holdings Inc. 2017 Equity Incentive Plan (incorporated herein by</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reference to Exhibit 99.2 of SEACOR Marine Holdings Inc.’s S-8 filed with the Commission on November 20, 2017 (File No. 001-37966)).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290"/>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5"/>
              </w:rPr>
            </w:pPr>
            <w:hyperlink r:id="rId129">
              <w:r>
                <w:rPr>
                  <w:rFonts w:ascii="Arial" w:cs="Arial" w:eastAsia="Arial" w:hAnsi="Arial"/>
                  <w:sz w:val="18"/>
                  <w:szCs w:val="18"/>
                  <w:color w:val="0000EE"/>
                  <w:w w:val="95"/>
                </w:rPr>
                <w:t>Form of Restricted Stock Grant Agreement under the SEACOR Marine Holdings Inc. 2017 Equity Incentive Plan (incorporated herein by</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reference to Exhibit 99.3 of SEACOR Marine Holdings Inc.’s S-8 filed with the Commission on November 20, 2017 (File No. 001-37966)).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310"/>
              <w:spacing w:after="0"/>
              <w:rPr>
                <w:sz w:val="20"/>
                <w:szCs w:val="20"/>
                <w:color w:val="auto"/>
              </w:rPr>
            </w:pPr>
            <w:r>
              <w:rPr>
                <w:rFonts w:ascii="Arial" w:cs="Arial" w:eastAsia="Arial" w:hAnsi="Arial"/>
                <w:sz w:val="18"/>
                <w:szCs w:val="18"/>
                <w:color w:val="auto"/>
                <w:w w:val="99"/>
              </w:rPr>
              <w:t>10.11*+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Form of Performance Restricted Stock Unit Grant Agreement under the SEACOR Marine Holdings Inc. 2017 Equity Incentive Plan</w:t>
              </w:r>
            </w:hyperlink>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(incorporated herein by reference to Exhibit 10.1 of SEACOR Marine Holdings Inc.’s Quarterly Report on Form 10-Q filed with the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Commission on May 10, 2019 (File No. 001-37966)).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jc w:val="right"/>
              <w:ind w:right="390"/>
              <w:spacing w:after="0"/>
              <w:rPr>
                <w:sz w:val="20"/>
                <w:szCs w:val="20"/>
                <w:color w:val="auto"/>
              </w:rPr>
            </w:pPr>
            <w:r>
              <w:rPr>
                <w:rFonts w:ascii="Arial" w:cs="Arial" w:eastAsia="Arial" w:hAnsi="Arial"/>
                <w:sz w:val="18"/>
                <w:szCs w:val="18"/>
                <w:color w:val="auto"/>
                <w:w w:val="97"/>
              </w:rPr>
              <w:t>10.12+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top w:val="single" w:sz="8" w:color="0000EE"/>
            </w:tcBorders>
            <w:gridSpan w:val="1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Compensation of Non-Employee Directors</w:t>
              </w:r>
            </w:hyperlink>
          </w:p>
        </w:tc>
        <w:tc>
          <w:tcPr>
            <w:tcW w:w="64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EE"/>
            </w:tcBorders>
            <w:gridSpan w:val="9"/>
          </w:tcPr>
          <w:p>
            <w:pPr>
              <w:spacing w:after="0"/>
              <w:rPr>
                <w:sz w:val="24"/>
                <w:szCs w:val="24"/>
                <w:color w:val="auto"/>
              </w:rPr>
            </w:pPr>
          </w:p>
        </w:tc>
        <w:tc>
          <w:tcPr>
            <w:tcW w:w="4400" w:type="dxa"/>
            <w:vAlign w:val="bottom"/>
            <w:gridSpan w:val="4"/>
          </w:tcPr>
          <w:p>
            <w:pPr>
              <w:jc w:val="right"/>
              <w:ind w:right="2690"/>
              <w:spacing w:after="0"/>
              <w:rPr>
                <w:sz w:val="20"/>
                <w:szCs w:val="20"/>
                <w:color w:val="auto"/>
              </w:rPr>
            </w:pPr>
            <w:r>
              <w:rPr>
                <w:rFonts w:ascii="Arial" w:cs="Arial" w:eastAsia="Arial" w:hAnsi="Arial"/>
                <w:sz w:val="18"/>
                <w:szCs w:val="18"/>
                <w:color w:val="auto"/>
              </w:rPr>
              <w:t>73</w:t>
            </w: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6515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72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31750</wp:posOffset>
            </wp:positionV>
            <wp:extent cx="65601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060" w:space="720"/>
            <w:col w:w="5620"/>
          </w:cols>
          <w:pgMar w:left="260" w:top="121" w:right="239" w:bottom="1440" w:gutter="0" w:footer="0" w:header="0"/>
        </w:sectPr>
      </w:pPr>
    </w:p>
    <w:p>
      <w:pPr>
        <w:ind w:left="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35">
        <w:r>
          <w:rPr>
            <w:rFonts w:ascii="Arial" w:cs="Arial" w:eastAsia="Arial" w:hAnsi="Arial"/>
            <w:sz w:val="16"/>
            <w:szCs w:val="16"/>
            <w:u w:val="single" w:color="auto"/>
            <w:color w:val="0000EE"/>
          </w:rPr>
          <w:t>Credit Agreement dated as of February 8, 2018 by and among Falcon Global USA LLC, Falcon Global Offshore LLC, Falcon Global Offshore</w:t>
        </w:r>
      </w:hyperlink>
    </w:p>
    <w:p>
      <w:pPr>
        <w:spacing w:after="0" w:line="23" w:lineRule="exact"/>
        <w:rPr>
          <w:sz w:val="20"/>
          <w:szCs w:val="20"/>
          <w:color w:val="auto"/>
        </w:rPr>
      </w:pPr>
    </w:p>
    <w:p>
      <w:pPr>
        <w:jc w:val="both"/>
        <w:ind w:left="1080" w:hanging="7"/>
        <w:spacing w:after="0" w:line="255" w:lineRule="auto"/>
        <w:tabs>
          <w:tab w:leader="none" w:pos="1257" w:val="left"/>
        </w:tabs>
        <w:numPr>
          <w:ilvl w:val="0"/>
          <w:numId w:val="37"/>
        </w:numPr>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LLC, Falcon Global Jill LLC, Falcon Global Robert LLC, Falcon Global LLC, the lenders party thereto and JPMorgan Chase Bank, N.A.</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(incorporated herein by reference to Exhibit 10.2 of SEACOR Marine Holdings Inc.’s Periodic Filing on Form 8-K filed with the Commission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on February 9, 2018. (File No. 001-37966)).</w:t>
        </w:r>
      </w:hyperlink>
    </w:p>
    <w:p>
      <w:pPr>
        <w:spacing w:after="0" w:line="96" w:lineRule="exact"/>
        <w:rPr>
          <w:rFonts w:ascii="Arial" w:cs="Arial" w:eastAsia="Arial" w:hAnsi="Arial"/>
          <w:sz w:val="18"/>
          <w:szCs w:val="18"/>
          <w:u w:val="single" w:color="auto"/>
          <w:color w:val="0000EE"/>
        </w:rPr>
      </w:pPr>
    </w:p>
    <w:p>
      <w:pPr>
        <w:jc w:val="both"/>
        <w:ind w:left="1080" w:hanging="1034"/>
        <w:spacing w:after="0" w:line="286"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36">
        <w:r>
          <w:rPr>
            <w:rFonts w:ascii="Arial" w:cs="Arial" w:eastAsia="Arial" w:hAnsi="Arial"/>
            <w:sz w:val="17"/>
            <w:szCs w:val="17"/>
            <w:u w:val="single" w:color="auto"/>
            <w:color w:val="0000EE"/>
          </w:rPr>
          <w:t>Pledge and Security Agreement, dated as of February 8, 2018, by and among Falcon Global USA LLC, the additional grantors listed on the</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signature pages thereto and JPMorgan Chase Bank, N.A. (incorporated herein by reference to Exhibit 10.4 of SEACOR Marine Holdings</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Inc.’s Periodic Filing on Form 8-K filed with the Commission on February 9, 2018. (File No. 001-37966)).</w:t>
        </w:r>
      </w:hyperlink>
    </w:p>
    <w:p>
      <w:pPr>
        <w:spacing w:after="0" w:line="71" w:lineRule="exact"/>
        <w:rPr>
          <w:rFonts w:ascii="Arial" w:cs="Arial" w:eastAsia="Arial" w:hAnsi="Arial"/>
          <w:sz w:val="17"/>
          <w:szCs w:val="17"/>
          <w:u w:val="single" w:color="auto"/>
          <w:color w:val="0000EE"/>
        </w:rPr>
      </w:pPr>
    </w:p>
    <w:p>
      <w:pPr>
        <w:ind w:left="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7">
        <w:r>
          <w:rPr>
            <w:rFonts w:ascii="Arial" w:cs="Arial" w:eastAsia="Arial" w:hAnsi="Arial"/>
            <w:sz w:val="16"/>
            <w:szCs w:val="16"/>
            <w:u w:val="single" w:color="auto"/>
            <w:color w:val="0000EE"/>
          </w:rPr>
          <w:t>Obligation Guaranty Agreement, dated as of February 8, 2018, by SEACOR Marine Holdings Inc. (incorporated herein by reference to Exhibit</w:t>
        </w:r>
      </w:hyperlink>
    </w:p>
    <w:p>
      <w:pPr>
        <w:spacing w:after="0" w:line="23" w:lineRule="exact"/>
        <w:rPr>
          <w:rFonts w:ascii="Arial" w:cs="Arial" w:eastAsia="Arial" w:hAnsi="Arial"/>
          <w:sz w:val="17"/>
          <w:szCs w:val="17"/>
          <w:u w:val="single" w:color="auto"/>
          <w:color w:val="0000EE"/>
        </w:rPr>
      </w:pPr>
    </w:p>
    <w:p>
      <w:pPr>
        <w:ind w:left="1080"/>
        <w:spacing w:after="0"/>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10.3 of SEACOR Marine Holdings Inc.’s Periodic Filing on Form 8-K filed with the Commission on February 9, 2018. (File No. 001-37966)).</w:t>
        </w:r>
      </w:hyperlink>
    </w:p>
    <w:p>
      <w:pPr>
        <w:spacing w:after="0" w:line="139" w:lineRule="exact"/>
        <w:rPr>
          <w:rFonts w:ascii="Arial" w:cs="Arial" w:eastAsia="Arial" w:hAnsi="Arial"/>
          <w:sz w:val="17"/>
          <w:szCs w:val="17"/>
          <w:u w:val="single" w:color="auto"/>
          <w:color w:val="0000EE"/>
        </w:rPr>
      </w:pPr>
    </w:p>
    <w:p>
      <w:pPr>
        <w:jc w:val="both"/>
        <w:ind w:left="1080" w:right="2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8">
        <w:r>
          <w:rPr>
            <w:rFonts w:ascii="Arial" w:cs="Arial" w:eastAsia="Arial" w:hAnsi="Arial"/>
            <w:sz w:val="18"/>
            <w:szCs w:val="18"/>
            <w:u w:val="single" w:color="auto"/>
            <w:color w:val="0000EE"/>
          </w:rPr>
          <w:t>Amended and Restated Limited Liability Company Agreement of Falcon Global Holdings LLC, dated as of February 8, 2018 (incorporated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herein by reference to Exhibit 10.1 of SEACOR Marine Holdings Inc.’s Periodic Filing on Form 8-K filed with the Commission on February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9, 2018. (File No. 001-37966)).</w:t>
        </w:r>
      </w:hyperlink>
    </w:p>
    <w:p>
      <w:pPr>
        <w:spacing w:after="0" w:line="87" w:lineRule="exact"/>
        <w:rPr>
          <w:rFonts w:ascii="Arial" w:cs="Arial" w:eastAsia="Arial" w:hAnsi="Arial"/>
          <w:sz w:val="18"/>
          <w:szCs w:val="18"/>
          <w:u w:val="single" w:color="auto"/>
          <w:color w:val="0000EE"/>
        </w:rPr>
      </w:pPr>
    </w:p>
    <w:p>
      <w:pPr>
        <w:jc w:val="both"/>
        <w:ind w:left="1080" w:hanging="1034"/>
        <w:spacing w:after="0" w:line="302" w:lineRule="auto"/>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39">
        <w:r>
          <w:rPr>
            <w:rFonts w:ascii="Arial" w:cs="Arial" w:eastAsia="Arial" w:hAnsi="Arial"/>
            <w:sz w:val="16"/>
            <w:szCs w:val="16"/>
            <w:u w:val="single" w:color="auto"/>
            <w:color w:val="0000EE"/>
          </w:rPr>
          <w:t>Credit Agreement, dated September 26, 2018, by and among SEACOR Marine Foreign Holdings Inc., SEACOR Marine Holdings Inc., the</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Entities Identified on Schedule 1-A thereto, DNB Bank ASA, New York Branch, the Financial Institutions identified on Schedule 1b, DNB</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Markets, Inc., Clifford Capital Pte. Ltd. And NIBC Bank N.V. and DNB Markets, Inc., (incorporated herein by reference to Exhibit 10.1 of</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SEACOR Marine Holdings Inc.’s Quarterly Report on Form 10-Q filed with the Commission on November 13, 2018 (File No. 1-37966)).</w:t>
        </w:r>
      </w:hyperlink>
    </w:p>
    <w:p>
      <w:pPr>
        <w:spacing w:after="0" w:line="60" w:lineRule="exact"/>
        <w:rPr>
          <w:rFonts w:ascii="Arial" w:cs="Arial" w:eastAsia="Arial" w:hAnsi="Arial"/>
          <w:sz w:val="16"/>
          <w:szCs w:val="16"/>
          <w:u w:val="single" w:color="auto"/>
          <w:color w:val="0000EE"/>
        </w:rPr>
      </w:pPr>
    </w:p>
    <w:p>
      <w:pPr>
        <w:jc w:val="both"/>
        <w:ind w:left="1080" w:right="2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0">
        <w:r>
          <w:rPr>
            <w:rFonts w:ascii="Arial" w:cs="Arial" w:eastAsia="Arial" w:hAnsi="Arial"/>
            <w:sz w:val="18"/>
            <w:szCs w:val="18"/>
            <w:u w:val="single" w:color="auto"/>
            <w:color w:val="0000EE"/>
          </w:rPr>
          <w:t>Guaranty, dated September 26, 2018, by and among SEACOR Marine Holdings Inc. in favor of DNB Bank ASA, New York Branch</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(incorporated herein by reference to Exhibit 10.2 of SEACOR Marine Holdings Inc.’s Quarterly Report on Form 10-Q filed with the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Commission on November 13, 2018 (File No. 1-37966)).</w:t>
        </w:r>
      </w:hyperlink>
    </w:p>
    <w:p>
      <w:pPr>
        <w:spacing w:after="0" w:line="87" w:lineRule="exact"/>
        <w:rPr>
          <w:rFonts w:ascii="Arial" w:cs="Arial" w:eastAsia="Arial" w:hAnsi="Arial"/>
          <w:sz w:val="18"/>
          <w:szCs w:val="18"/>
          <w:u w:val="single" w:color="auto"/>
          <w:color w:val="0000EE"/>
        </w:rPr>
      </w:pPr>
    </w:p>
    <w:p>
      <w:pPr>
        <w:jc w:val="both"/>
        <w:ind w:left="1080" w:hanging="1034"/>
        <w:spacing w:after="0" w:line="286"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41">
        <w:r>
          <w:rPr>
            <w:rFonts w:ascii="Arial" w:cs="Arial" w:eastAsia="Arial" w:hAnsi="Arial"/>
            <w:sz w:val="17"/>
            <w:szCs w:val="17"/>
            <w:u w:val="single" w:color="auto"/>
            <w:color w:val="0000EE"/>
          </w:rPr>
          <w:t>Form of Director Stock Option Grant Agreement Pursuant to the SEACOR Marine Holdings Inc. 2017 Equity Incentive Plan, between</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SEACOR Marine Holdings Inc., and the non-employee director specified therein, (incorporated herein by reference to Exhibit 10.4 of</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SEACOR Marine Holdings Inc.’s Quarterly Report on Form 10-Q filed with the Commission on August 9, 2018 (File No. 1-37966)).</w:t>
        </w:r>
      </w:hyperlink>
    </w:p>
    <w:p>
      <w:pPr>
        <w:spacing w:after="0" w:line="71" w:lineRule="exact"/>
        <w:rPr>
          <w:rFonts w:ascii="Arial" w:cs="Arial" w:eastAsia="Arial" w:hAnsi="Arial"/>
          <w:sz w:val="17"/>
          <w:szCs w:val="17"/>
          <w:u w:val="single" w:color="auto"/>
          <w:color w:val="0000EE"/>
        </w:rPr>
      </w:pPr>
    </w:p>
    <w:p>
      <w:pPr>
        <w:jc w:val="both"/>
        <w:ind w:left="108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42">
        <w:r>
          <w:rPr>
            <w:rFonts w:ascii="Arial" w:cs="Arial" w:eastAsia="Arial" w:hAnsi="Arial"/>
            <w:sz w:val="18"/>
            <w:szCs w:val="18"/>
            <w:u w:val="single" w:color="auto"/>
            <w:color w:val="0000EE"/>
          </w:rPr>
          <w:t>Subscription Agreement, dated as of April 20, 2018, by and among SEACOR Marine Holdings Inc., the Purchasers named on Schedule A</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thereto, (incorporated herein by reference to Exhibit 10.5 of SEACOR Marine Holdings Inc.’s Quarterly Report on Form 10-Q filed with the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Commission on May 10, 2018 (File No. 1-37966)).</w:t>
        </w:r>
      </w:hyperlink>
    </w:p>
    <w:p>
      <w:pPr>
        <w:spacing w:after="0" w:line="87" w:lineRule="exact"/>
        <w:rPr>
          <w:rFonts w:ascii="Arial" w:cs="Arial" w:eastAsia="Arial" w:hAnsi="Arial"/>
          <w:sz w:val="18"/>
          <w:szCs w:val="18"/>
          <w:u w:val="single" w:color="auto"/>
          <w:color w:val="0000EE"/>
        </w:rPr>
      </w:pPr>
    </w:p>
    <w:p>
      <w:pPr>
        <w:jc w:val="both"/>
        <w:ind w:left="1080" w:hanging="1034"/>
        <w:spacing w:after="0" w:line="286"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hyperlink r:id="rId143">
        <w:r>
          <w:rPr>
            <w:rFonts w:ascii="Arial" w:cs="Arial" w:eastAsia="Arial" w:hAnsi="Arial"/>
            <w:sz w:val="17"/>
            <w:szCs w:val="17"/>
            <w:u w:val="single" w:color="auto"/>
            <w:color w:val="0000EE"/>
          </w:rPr>
          <w:t>Amendment and Exchange Agreement, dated as of May 2, 2018, by and among SEACOR Marine Holdings Inc., CEOF II DE I AIV, L.P.,</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CEOF II COINVESTMENT (DE), L.P. and CEOF II COINVESTMENT B (DE), L.P., (incorporated herein by reference to Exhibit 10.1 of</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SEACOR Marine Holdings Inc.’s Current Report on Form 8-K filed with the Commission on May 2, 2018 (File No. 001-37966)).</w:t>
        </w:r>
      </w:hyperlink>
    </w:p>
    <w:p>
      <w:pPr>
        <w:spacing w:after="0" w:line="71" w:lineRule="exact"/>
        <w:rPr>
          <w:rFonts w:ascii="Arial" w:cs="Arial" w:eastAsia="Arial" w:hAnsi="Arial"/>
          <w:sz w:val="17"/>
          <w:szCs w:val="17"/>
          <w:u w:val="single" w:color="auto"/>
          <w:color w:val="0000EE"/>
        </w:rPr>
      </w:pPr>
    </w:p>
    <w:p>
      <w:pPr>
        <w:jc w:val="both"/>
        <w:ind w:left="1080" w:right="2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44">
        <w:r>
          <w:rPr>
            <w:rFonts w:ascii="Arial" w:cs="Arial" w:eastAsia="Arial" w:hAnsi="Arial"/>
            <w:sz w:val="18"/>
            <w:szCs w:val="18"/>
            <w:u w:val="single" w:color="auto"/>
            <w:color w:val="0000EE"/>
          </w:rPr>
          <w:t>Separation and Consulting Agreement, dated July 12, 2019, by and between Robert Clemons and SEACOR Marine Holdings Inc.</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(incorporated herein by reference to Exhibit 10.2 of SEACOR Marine Holdings Inc.’s Quarterly Report on Form 10-Q filed with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Commission on August 7, 2019 (File No. 001-37966)).</w:t>
        </w:r>
      </w:hyperlink>
    </w:p>
    <w:p>
      <w:pPr>
        <w:spacing w:after="0" w:line="87" w:lineRule="exact"/>
        <w:rPr>
          <w:rFonts w:ascii="Arial" w:cs="Arial" w:eastAsia="Arial" w:hAnsi="Arial"/>
          <w:sz w:val="18"/>
          <w:szCs w:val="18"/>
          <w:u w:val="single" w:color="auto"/>
          <w:color w:val="0000EE"/>
        </w:rPr>
      </w:pPr>
    </w:p>
    <w:p>
      <w:pPr>
        <w:jc w:val="both"/>
        <w:ind w:left="108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45">
        <w:r>
          <w:rPr>
            <w:rFonts w:ascii="Arial" w:cs="Arial" w:eastAsia="Arial" w:hAnsi="Arial"/>
            <w:sz w:val="18"/>
            <w:szCs w:val="18"/>
            <w:u w:val="single" w:color="auto"/>
            <w:color w:val="0000EE"/>
          </w:rPr>
          <w:t>Employment Agreement, dated November 5, 2019, between SEACOR Marine Holdings Inc. and John Gellert (incorporated herein by</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reference to Exhibit 10.2 of SEACOR Marine Holdings Inc.’s Quarterly Report on Form 10-Q filed with the Commission on November 12,</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2019 (File No. 001-37966)).</w:t>
        </w:r>
      </w:hyperlink>
    </w:p>
    <w:p>
      <w:pPr>
        <w:spacing w:after="0" w:line="87" w:lineRule="exact"/>
        <w:rPr>
          <w:rFonts w:ascii="Arial" w:cs="Arial" w:eastAsia="Arial" w:hAnsi="Arial"/>
          <w:sz w:val="18"/>
          <w:szCs w:val="18"/>
          <w:u w:val="single" w:color="auto"/>
          <w:color w:val="0000EE"/>
        </w:rPr>
      </w:pPr>
    </w:p>
    <w:p>
      <w:pPr>
        <w:jc w:val="both"/>
        <w:ind w:left="108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46">
        <w:r>
          <w:rPr>
            <w:rFonts w:ascii="Arial" w:cs="Arial" w:eastAsia="Arial" w:hAnsi="Arial"/>
            <w:sz w:val="18"/>
            <w:szCs w:val="18"/>
            <w:u w:val="single" w:color="auto"/>
            <w:color w:val="0000EE"/>
          </w:rPr>
          <w:t>Employment Agreement, dated November 5, 2019, between SEACOR Marine Holdings Inc. and Jesús Llorca (incorporated herein by</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reference to Exhibit 10.3 of SEACOR Marine Holdings Inc.’s Quarterly Report on Form 10-Q filed with the Commission on November 12,</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2019 (File No. 001-37966)).</w:t>
        </w:r>
      </w:hyperlink>
    </w:p>
    <w:p>
      <w:pPr>
        <w:spacing w:after="0" w:line="87" w:lineRule="exact"/>
        <w:rPr>
          <w:rFonts w:ascii="Arial" w:cs="Arial" w:eastAsia="Arial" w:hAnsi="Arial"/>
          <w:sz w:val="18"/>
          <w:szCs w:val="18"/>
          <w:u w:val="single" w:color="auto"/>
          <w:color w:val="0000EE"/>
        </w:rPr>
      </w:pPr>
    </w:p>
    <w:p>
      <w:pPr>
        <w:jc w:val="both"/>
        <w:ind w:left="1080" w:hanging="1034"/>
        <w:spacing w:after="0" w:line="264"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47">
        <w:r>
          <w:rPr>
            <w:rFonts w:ascii="Arial" w:cs="Arial" w:eastAsia="Arial" w:hAnsi="Arial"/>
            <w:sz w:val="18"/>
            <w:szCs w:val="18"/>
            <w:u w:val="single" w:color="auto"/>
            <w:color w:val="0000EE"/>
          </w:rPr>
          <w:t>Employment Agreement, dated November 5, 2019, between SEACOR Marine Holdings Inc. and Gregory Rossmiller (incorporated herein by</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reference to Exhibit 10.4 of SEACOR Marine Holdings Inc.’s Quarterly Report on Form 10-Q filed with the Commission on November 12,</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2019 (File No. 001-37966)).</w:t>
        </w:r>
      </w:hyperlink>
    </w:p>
    <w:p>
      <w:pPr>
        <w:spacing w:after="0" w:line="18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21"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gridSpan w:val="8"/>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10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32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Employment Agreement, dated November 5, 2019, between SEACOR Marine Holdings Inc. and Andrew H. Everett II (incorporated herein by</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1"/>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reference to Exhibit 10.5 of SEACOR Marine Holdings Inc.’s Quarterly Report on Form 10-Q filed with the Commission on November 12,</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2019 (File No. 001-37966)).</w:t>
              </w:r>
            </w:hyperlink>
          </w:p>
        </w:tc>
        <w:tc>
          <w:tcPr>
            <w:tcW w:w="82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1"/>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Amendment No. 1 to Credit Agreement and Parent Guaranty, dated as of August 6, 2019, by and among SEACOR Marine Foreign Holdings</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Inc., SEACOR Marine Holdings Inc., DNB Bank ASA, New York Branch, DNB Markets Inc., Clifford Capital Pte. Ltd, NIBC Bank N.V. and</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entities identified on schedules to the Amendment No. 1. (incorporated herein by reference to Exhibit 10.3 of SEACOR Marine Holdings</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Inc.’s Quarterly Report on Form 10-Q filed with the Commission on August 7, 2019 (File No. 001-37966)).</w:t>
              </w:r>
            </w:hyperlink>
          </w:p>
        </w:tc>
        <w:tc>
          <w:tcPr>
            <w:tcW w:w="2560" w:type="dxa"/>
            <w:vAlign w:val="bottom"/>
            <w:gridSpan w:val="6"/>
          </w:tcPr>
          <w:p>
            <w:pPr>
              <w:spacing w:after="0"/>
              <w:rPr>
                <w:sz w:val="17"/>
                <w:szCs w:val="17"/>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EE"/>
            </w:tcBorders>
            <w:gridSpan w:val="11"/>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Agreement for the Sale and Purchase of the Share Capital of Boston Putford Offshore Safety Limited, dated as of November 1, 2019, by and</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among SEACOR Capital (UK) Limited, SEACOR Marine (Guernsey) Limited, Putford Phoenix Limited, Putford Defender Limited, Stirling</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150">
              <w:r>
                <w:rPr>
                  <w:rFonts w:ascii="Arial" w:cs="Arial" w:eastAsia="Arial" w:hAnsi="Arial"/>
                  <w:sz w:val="18"/>
                  <w:szCs w:val="18"/>
                  <w:color w:val="0000EE"/>
                  <w:w w:val="98"/>
                </w:rPr>
                <w:t>Offshore Limited, North Star Holdco Limited and SEACOR Marine Holdings Inc. (incorporated herein by reference to Exhibit 10.1 of</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SEACOR Marine Holdings Inc.’s Quarterly Report on Form 10-Q filed with the Commission on November 12, 2019 (File No. 001-37966)).</w:t>
              </w:r>
            </w:hyperlink>
          </w:p>
        </w:tc>
        <w:tc>
          <w:tcPr>
            <w:tcW w:w="200" w:type="dxa"/>
            <w:vAlign w:val="bottom"/>
            <w:gridSpan w:val="2"/>
          </w:tcPr>
          <w:p>
            <w:pPr>
              <w:spacing w:after="0"/>
              <w:rPr>
                <w:sz w:val="17"/>
                <w:szCs w:val="17"/>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10.29*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1"/>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Amendment No. 2 to Credit Agreement, dated as of November 26, 2019, by and among SEACOR Marine Foreign Holdings Inc., SEACOR</w:t>
              </w:r>
            </w:hyperlink>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Marine Holdings Inc., DNB Bank ASA, New York Branch, DNB Markets Inc., Clifford Capital Pte, Ltd, NIBC Bank N.V. and entities</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identified on schedules to the Amendment No. 2. (incorporated herein by reference to Exhibit 10.1 of SEACOR Marine Holdings Inc.’s</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1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Current Report on Form 8-K filed with the Commission on December 3, 2019 (File No. 001-37966)).</w:t>
              </w:r>
            </w:hyperlink>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1"/>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Consent, Agreement and Omnibus Amendments, dated as of February 7, 2020, by and among Falcon Global USA LLC, the other loan parties</w:t>
              </w:r>
            </w:hyperlink>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52">
              <w:r>
                <w:rPr>
                  <w:rFonts w:ascii="Arial" w:cs="Arial" w:eastAsia="Arial" w:hAnsi="Arial"/>
                  <w:sz w:val="18"/>
                  <w:szCs w:val="18"/>
                  <w:color w:val="0000EE"/>
                  <w:w w:val="95"/>
                </w:rPr>
                <w:t>thereto, SEACOR Marine Holdings Inc., JPMorgan Chase Bank, N.A. and the lenders party thereto (incorporated herein by reference to</w:t>
              </w:r>
            </w:hyperlink>
          </w:p>
        </w:tc>
      </w:tr>
      <w:tr>
        <w:trPr>
          <w:trHeight w:val="196"/>
        </w:trPr>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Exhibit 10.1 of SEACOR Marine Holdings Inc.’s Form 8-K filed with the Commission on February 11, 2020 (File No. 001-37966)).</w:t>
              </w:r>
            </w:hyperlink>
          </w:p>
        </w:tc>
        <w:tc>
          <w:tcPr>
            <w:tcW w:w="780" w:type="dxa"/>
            <w:vAlign w:val="bottom"/>
            <w:gridSpan w:val="5"/>
          </w:tcPr>
          <w:p>
            <w:pPr>
              <w:spacing w:after="0"/>
              <w:rPr>
                <w:sz w:val="17"/>
                <w:szCs w:val="17"/>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1"/>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List of subsidiaries of SEACOR Marine Holdings Inc.</w:t>
              </w:r>
            </w:hyperlink>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33">
              <w:r>
                <w:rPr>
                  <w:rFonts w:ascii="Arial" w:cs="Arial" w:eastAsia="Arial" w:hAnsi="Arial"/>
                  <w:sz w:val="18"/>
                  <w:szCs w:val="18"/>
                  <w:color w:val="0000EE"/>
                  <w:w w:val="91"/>
                </w:rPr>
                <w:t>Consent of Grant Thornton LLP</w:t>
              </w:r>
            </w:hyperlink>
          </w:p>
        </w:tc>
        <w:tc>
          <w:tcPr>
            <w:tcW w:w="1580" w:type="dxa"/>
            <w:vAlign w:val="bottom"/>
            <w:tcBorders>
              <w:top w:val="single" w:sz="8" w:color="0000EE"/>
            </w:tcBorders>
          </w:tcPr>
          <w:p>
            <w:pPr>
              <w:spacing w:after="0"/>
              <w:rPr>
                <w:sz w:val="24"/>
                <w:szCs w:val="24"/>
                <w:color w:val="auto"/>
              </w:rPr>
            </w:pPr>
          </w:p>
        </w:tc>
        <w:tc>
          <w:tcPr>
            <w:tcW w:w="6420" w:type="dxa"/>
            <w:vAlign w:val="bottom"/>
            <w:gridSpan w:val="8"/>
          </w:tcPr>
          <w:p>
            <w:pPr>
              <w:spacing w:after="0"/>
              <w:rPr>
                <w:sz w:val="24"/>
                <w:szCs w:val="24"/>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Certification by the Principal Executive Officer pursuant to Rule 13a-14(a) and Rule 15d-14(a) of the Securities Exchange Act, as amended.</w:t>
              </w:r>
            </w:hyperlink>
          </w:p>
        </w:tc>
        <w:tc>
          <w:tcPr>
            <w:tcW w:w="220" w:type="dxa"/>
            <w:vAlign w:val="bottom"/>
            <w:gridSpan w:val="3"/>
          </w:tcPr>
          <w:p>
            <w:pPr>
              <w:spacing w:after="0"/>
              <w:rPr>
                <w:sz w:val="24"/>
                <w:szCs w:val="24"/>
                <w:color w:val="auto"/>
              </w:rPr>
            </w:pPr>
          </w:p>
        </w:tc>
      </w:tr>
      <w:tr>
        <w:trPr>
          <w:trHeight w:val="318"/>
        </w:trPr>
        <w:tc>
          <w:tcPr>
            <w:tcW w:w="1040" w:type="dxa"/>
            <w:vAlign w:val="bottom"/>
          </w:tcPr>
          <w:p>
            <w:pPr>
              <w:ind w:left="6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1"/>
          </w:tcPr>
          <w:p>
            <w:pPr>
              <w:spacing w:after="0"/>
              <w:rPr>
                <w:rFonts w:ascii="Arial" w:cs="Arial" w:eastAsia="Arial" w:hAnsi="Arial"/>
                <w:sz w:val="18"/>
                <w:szCs w:val="18"/>
                <w:color w:val="0000EE"/>
                <w:w w:val="93"/>
              </w:rPr>
            </w:pPr>
            <w:hyperlink w:anchor="page135">
              <w:r>
                <w:rPr>
                  <w:rFonts w:ascii="Arial" w:cs="Arial" w:eastAsia="Arial" w:hAnsi="Arial"/>
                  <w:sz w:val="18"/>
                  <w:szCs w:val="18"/>
                  <w:color w:val="0000EE"/>
                  <w:w w:val="93"/>
                </w:rPr>
                <w:t>Certification by the Principal Financial Officer pursuant to Rule 13a-14(a) and Rule 15d-14(a) of the Securities Exchange Act, as amended.</w:t>
              </w:r>
            </w:hyperlink>
          </w:p>
        </w:tc>
      </w:tr>
      <w:tr>
        <w:trPr>
          <w:trHeight w:val="20"/>
        </w:trPr>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00" w:hanging="1043"/>
        <w:spacing w:after="0" w:line="277" w:lineRule="auto"/>
        <w:tabs>
          <w:tab w:leader="none" w:pos="1100" w:val="left"/>
        </w:tabs>
        <w:numPr>
          <w:ilvl w:val="0"/>
          <w:numId w:val="38"/>
        </w:numPr>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Certification by the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136">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420"/>
          </w:cols>
          <w:pgMar w:left="240" w:top="121" w:right="239" w:bottom="1440" w:gutter="0" w:footer="0" w:header="0"/>
        </w:sectPr>
      </w:pPr>
    </w:p>
    <w:p>
      <w:pPr>
        <w:spacing w:after="0" w:line="76"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5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53" w:lineRule="exact"/>
        <w:rPr>
          <w:rFonts w:ascii="Arial" w:cs="Arial" w:eastAsia="Arial" w:hAnsi="Arial"/>
          <w:sz w:val="18"/>
          <w:szCs w:val="18"/>
          <w:color w:val="auto"/>
        </w:rPr>
      </w:pPr>
    </w:p>
    <w:p>
      <w:pPr>
        <w:sectPr>
          <w:pgSz w:w="11900" w:h="16838" w:orient="portrait"/>
          <w:cols w:equalWidth="0" w:num="2">
            <w:col w:w="800" w:space="300"/>
            <w:col w:w="1032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53" w:lineRule="exact"/>
        <w:rPr>
          <w:rFonts w:ascii="Arial" w:cs="Arial" w:eastAsia="Arial" w:hAnsi="Arial"/>
          <w:sz w:val="18"/>
          <w:szCs w:val="18"/>
          <w:color w:val="auto"/>
        </w:rPr>
      </w:pPr>
    </w:p>
    <w:p>
      <w:pPr>
        <w:sectPr>
          <w:pgSz w:w="11900" w:h="16838" w:orient="portrait"/>
          <w:cols w:equalWidth="0" w:num="2">
            <w:col w:w="860" w:space="240"/>
            <w:col w:w="1032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53" w:lineRule="exact"/>
        <w:rPr>
          <w:rFonts w:ascii="Arial" w:cs="Arial" w:eastAsia="Arial" w:hAnsi="Arial"/>
          <w:sz w:val="18"/>
          <w:szCs w:val="18"/>
          <w:color w:val="auto"/>
        </w:rPr>
      </w:pPr>
    </w:p>
    <w:p>
      <w:pPr>
        <w:sectPr>
          <w:pgSz w:w="11900" w:h="16838" w:orient="portrait"/>
          <w:cols w:equalWidth="0" w:num="2">
            <w:col w:w="860" w:space="240"/>
            <w:col w:w="1032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153" w:lineRule="exact"/>
        <w:rPr>
          <w:rFonts w:ascii="Arial" w:cs="Arial" w:eastAsia="Arial" w:hAnsi="Arial"/>
          <w:sz w:val="18"/>
          <w:szCs w:val="18"/>
          <w:color w:val="auto"/>
        </w:rPr>
      </w:pPr>
    </w:p>
    <w:p>
      <w:pPr>
        <w:sectPr>
          <w:pgSz w:w="11900" w:h="16838" w:orient="portrait"/>
          <w:cols w:equalWidth="0" w:num="2">
            <w:col w:w="840" w:space="260"/>
            <w:col w:w="1032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53" w:lineRule="exact"/>
        <w:rPr>
          <w:rFonts w:ascii="Arial" w:cs="Arial" w:eastAsia="Arial" w:hAnsi="Arial"/>
          <w:sz w:val="18"/>
          <w:szCs w:val="18"/>
          <w:color w:val="auto"/>
        </w:rPr>
      </w:pPr>
    </w:p>
    <w:p>
      <w:pPr>
        <w:sectPr>
          <w:pgSz w:w="11900" w:h="16838" w:orient="portrait"/>
          <w:cols w:equalWidth="0" w:num="2">
            <w:col w:w="860" w:space="240"/>
            <w:col w:w="1032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9690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11" w:lineRule="exact"/>
        <w:rPr>
          <w:rFonts w:ascii="Arial" w:cs="Arial" w:eastAsia="Arial" w:hAnsi="Arial"/>
          <w:sz w:val="18"/>
          <w:szCs w:val="18"/>
          <w:color w:val="auto"/>
        </w:rPr>
      </w:pPr>
    </w:p>
    <w:p>
      <w:pPr>
        <w:sectPr>
          <w:pgSz w:w="11900" w:h="16838" w:orient="portrait"/>
          <w:cols w:equalWidth="0" w:num="2">
            <w:col w:w="840" w:space="260"/>
            <w:col w:w="10320"/>
          </w:cols>
          <w:pgMar w:left="240" w:top="121" w:right="239" w:bottom="1440" w:gutter="0" w:footer="0" w:header="0"/>
          <w:type w:val="continuous"/>
        </w:sectPr>
      </w:pPr>
    </w:p>
    <w:p>
      <w:pPr>
        <w:spacing w:after="0" w:line="5" w:lineRule="exact"/>
        <w:rPr>
          <w:rFonts w:ascii="Arial" w:cs="Arial" w:eastAsia="Arial" w:hAnsi="Arial"/>
          <w:sz w:val="18"/>
          <w:szCs w:val="18"/>
          <w:color w:val="auto"/>
        </w:rPr>
      </w:pPr>
    </w:p>
    <w:p>
      <w:pPr>
        <w:ind w:left="760" w:hanging="752"/>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Incorporated by reference.</w:t>
      </w:r>
    </w:p>
    <w:p>
      <w:pPr>
        <w:ind w:left="760" w:hanging="752"/>
        <w:spacing w:after="0" w:line="221"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ind w:left="760" w:hanging="752"/>
        <w:spacing w:after="0" w:line="237"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 w:firstLine="761"/>
        <w:spacing w:after="0" w:line="342" w:lineRule="auto"/>
        <w:rPr>
          <w:sz w:val="20"/>
          <w:szCs w:val="20"/>
          <w:color w:val="auto"/>
        </w:rPr>
      </w:pPr>
      <w:r>
        <w:rPr>
          <w:rFonts w:ascii="Arial" w:cs="Arial" w:eastAsia="Arial" w:hAnsi="Arial"/>
          <w:sz w:val="16"/>
          <w:szCs w:val="16"/>
          <w:color w:val="auto"/>
        </w:rPr>
        <w:t>Pursuant to the requirements of Section 13 of the Securities Exchange Act of 1934, the registrant has duly caused this Annual Report on Form 10-K for the fiscal year ended December 31, 2019, to be signed on its behalf by the undersigned, and in the capacities indicated, thereunto duly authorized.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 (Registrant)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Jesús Llorca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Jesús Llorca, </w:t>
      </w:r>
      <w:r>
        <w:rPr>
          <w:rFonts w:ascii="Arial" w:cs="Arial" w:eastAsia="Arial" w:hAnsi="Arial"/>
          <w:sz w:val="18"/>
          <w:szCs w:val="18"/>
          <w:i w:val="1"/>
          <w:iCs w:val="1"/>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28130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25"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Signer</w:t>
            </w:r>
          </w:p>
        </w:tc>
        <w:tc>
          <w:tcPr>
            <w:tcW w:w="120" w:type="dxa"/>
            <w:vAlign w:val="bottom"/>
          </w:tcPr>
          <w:p>
            <w:pPr>
              <w:spacing w:after="0"/>
              <w:rPr>
                <w:sz w:val="20"/>
                <w:szCs w:val="20"/>
                <w:color w:val="auto"/>
              </w:rPr>
            </w:pPr>
          </w:p>
        </w:tc>
        <w:tc>
          <w:tcPr>
            <w:tcW w:w="478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0"/>
                <w:szCs w:val="20"/>
                <w:color w:val="auto"/>
              </w:rPr>
            </w:pPr>
          </w:p>
        </w:tc>
      </w:tr>
      <w:tr>
        <w:trPr>
          <w:trHeight w:val="33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Gellert</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0"/>
              </w:rPr>
              <w:t>John Gellert</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Jesús Llorca</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Jesús Llorca</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Gregory S. Rossmiller</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Accounting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Gregory S. Rossmiller</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Fabrikant</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Non-Executive Chairman of the Board</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0"/>
              </w:rPr>
              <w:t>Charles Fabrikant</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Andrew R. Morse</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3"/>
              </w:rPr>
              <w:t>Andrew R. Morse</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 Christopher Regan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R. Christopher Regan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Alfredo Miguel Bejos</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5"/>
              </w:rPr>
              <w:t>Alfredo Miguel Bejos</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D. Abendschein</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1"/>
              </w:rPr>
              <w:t>Robert D. Abendschein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Julie Persily</w:t>
            </w: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March 4, 2020</w:t>
            </w:r>
          </w:p>
        </w:tc>
        <w:tc>
          <w:tcPr>
            <w:tcW w:w="20" w:type="dxa"/>
            <w:vAlign w:val="bottom"/>
          </w:tcPr>
          <w:p>
            <w:pPr>
              <w:spacing w:after="0"/>
              <w:rPr>
                <w:sz w:val="24"/>
                <w:szCs w:val="24"/>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1"/>
              </w:rPr>
              <w:t>Julie Persily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0"/>
        </w:trPr>
        <w:tc>
          <w:tcPr>
            <w:tcW w:w="3900" w:type="dxa"/>
            <w:vAlign w:val="bottom"/>
          </w:tcPr>
          <w:p>
            <w:pPr>
              <w:spacing w:after="0"/>
              <w:rPr>
                <w:sz w:val="24"/>
                <w:szCs w:val="24"/>
                <w:color w:val="auto"/>
              </w:rPr>
            </w:pPr>
          </w:p>
        </w:tc>
        <w:tc>
          <w:tcPr>
            <w:tcW w:w="4900" w:type="dxa"/>
            <w:vAlign w:val="bottom"/>
            <w:gridSpan w:val="2"/>
          </w:tcPr>
          <w:p>
            <w:pPr>
              <w:ind w:left="17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180" w:type="dxa"/>
            <w:vAlign w:val="bottom"/>
            <w:gridSpan w:val="8"/>
          </w:tcPr>
          <w:p>
            <w:pPr>
              <w:ind w:left="640"/>
              <w:spacing w:after="0"/>
              <w:rPr>
                <w:sz w:val="20"/>
                <w:szCs w:val="20"/>
                <w:color w:val="auto"/>
              </w:rPr>
            </w:pPr>
            <w:r>
              <w:rPr>
                <w:rFonts w:ascii="Arial" w:cs="Arial" w:eastAsia="Arial" w:hAnsi="Arial"/>
                <w:sz w:val="18"/>
                <w:szCs w:val="18"/>
                <w:b w:val="1"/>
                <w:bCs w:val="1"/>
                <w:color w:val="auto"/>
              </w:rPr>
              <w:t>INDEX TO FINANCIAL STATEMENTS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7180" w:type="dxa"/>
            <w:vAlign w:val="bottom"/>
            <w:gridSpan w:val="8"/>
            <w:vMerge w:val="restart"/>
          </w:tcPr>
          <w:p>
            <w:pPr>
              <w:ind w:left="380"/>
              <w:spacing w:after="0"/>
              <w:rPr>
                <w:sz w:val="20"/>
                <w:szCs w:val="20"/>
                <w:color w:val="auto"/>
              </w:rPr>
            </w:pPr>
            <w:r>
              <w:rPr>
                <w:rFonts w:ascii="Arial" w:cs="Arial" w:eastAsia="Arial" w:hAnsi="Arial"/>
                <w:sz w:val="18"/>
                <w:szCs w:val="18"/>
                <w:b w:val="1"/>
                <w:bCs w:val="1"/>
                <w:color w:val="auto"/>
              </w:rPr>
              <w:t>SEACOR MARINE HOLDINGS INC</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7180" w:type="dxa"/>
            <w:vAlign w:val="bottom"/>
            <w:gridSpan w:val="8"/>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0660" w:type="dxa"/>
            <w:vAlign w:val="bottom"/>
            <w:gridSpan w:val="9"/>
          </w:tcPr>
          <w:p>
            <w:pPr>
              <w:spacing w:after="0"/>
              <w:rPr>
                <w:sz w:val="20"/>
                <w:szCs w:val="20"/>
                <w:color w:val="auto"/>
              </w:rPr>
            </w:pPr>
            <w:r>
              <w:rPr>
                <w:rFonts w:ascii="Arial" w:cs="Arial" w:eastAsia="Arial" w:hAnsi="Arial"/>
                <w:sz w:val="18"/>
                <w:szCs w:val="18"/>
                <w:color w:val="auto"/>
              </w:rPr>
              <w:t>AUDITED CONSOLIDATED FINANCIAL STATEMENTS AND SCHEDULE: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60" w:type="dxa"/>
            <w:vAlign w:val="bottom"/>
            <w:gridSpan w:val="9"/>
          </w:tcPr>
          <w:p>
            <w:pPr>
              <w:spacing w:after="0" w:line="206" w:lineRule="exact"/>
              <w:rPr>
                <w:rFonts w:ascii="Arial" w:cs="Arial" w:eastAsia="Arial" w:hAnsi="Arial"/>
                <w:sz w:val="20"/>
                <w:szCs w:val="20"/>
                <w:color w:val="0000EE"/>
              </w:rPr>
            </w:pPr>
            <w:hyperlink w:anchor="page80">
              <w:r>
                <w:rPr>
                  <w:rFonts w:ascii="Arial" w:cs="Arial" w:eastAsia="Arial" w:hAnsi="Arial"/>
                  <w:sz w:val="20"/>
                  <w:szCs w:val="20"/>
                  <w:color w:val="0000EE"/>
                </w:rPr>
                <w:t>Report of Grant Thornton LLP, Independent Registered Public Accounting Firm</w:t>
              </w:r>
            </w:hyperlink>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49"/>
        </w:trPr>
        <w:tc>
          <w:tcPr>
            <w:tcW w:w="63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and Audited Financial Statements:</w:t>
            </w:r>
          </w:p>
        </w:tc>
        <w:tc>
          <w:tcPr>
            <w:tcW w:w="430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60" w:type="dxa"/>
            <w:vAlign w:val="bottom"/>
            <w:tcBorders>
              <w:bottom w:val="single" w:sz="8" w:color="0000EE"/>
            </w:tcBorders>
            <w:gridSpan w:val="2"/>
          </w:tcPr>
          <w:p>
            <w:pPr>
              <w:spacing w:after="0" w:line="206" w:lineRule="exact"/>
              <w:rPr>
                <w:rFonts w:ascii="Arial" w:cs="Arial" w:eastAsia="Arial" w:hAnsi="Arial"/>
                <w:sz w:val="20"/>
                <w:szCs w:val="20"/>
                <w:color w:val="0000EE"/>
                <w:w w:val="87"/>
              </w:rPr>
            </w:pPr>
            <w:hyperlink w:anchor="page81">
              <w:r>
                <w:rPr>
                  <w:rFonts w:ascii="Arial" w:cs="Arial" w:eastAsia="Arial" w:hAnsi="Arial"/>
                  <w:sz w:val="20"/>
                  <w:szCs w:val="20"/>
                  <w:color w:val="0000EE"/>
                  <w:w w:val="87"/>
                </w:rPr>
                <w:t>Consolidated Balance Sheets for the years ended December 31, 2019 and 2018</w:t>
              </w:r>
            </w:hyperlink>
          </w:p>
        </w:tc>
        <w:tc>
          <w:tcPr>
            <w:tcW w:w="4400" w:type="dxa"/>
            <w:vAlign w:val="bottom"/>
            <w:gridSpan w:val="7"/>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0000EE"/>
            </w:tcBorders>
            <w:gridSpan w:val="4"/>
          </w:tcPr>
          <w:p>
            <w:pPr>
              <w:spacing w:after="0" w:line="209" w:lineRule="exact"/>
              <w:rPr>
                <w:rFonts w:ascii="Arial" w:cs="Arial" w:eastAsia="Arial" w:hAnsi="Arial"/>
                <w:sz w:val="20"/>
                <w:szCs w:val="20"/>
                <w:color w:val="0000EE"/>
                <w:w w:val="88"/>
              </w:rPr>
            </w:pPr>
            <w:hyperlink w:anchor="page82">
              <w:r>
                <w:rPr>
                  <w:rFonts w:ascii="Arial" w:cs="Arial" w:eastAsia="Arial" w:hAnsi="Arial"/>
                  <w:sz w:val="20"/>
                  <w:szCs w:val="20"/>
                  <w:color w:val="0000EE"/>
                  <w:w w:val="88"/>
                </w:rPr>
                <w:t>Consolidated Statements of Loss for the years ended December 31, 2019, 2018, and 2017</w:t>
              </w:r>
            </w:hyperlink>
          </w:p>
        </w:tc>
        <w:tc>
          <w:tcPr>
            <w:tcW w:w="356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0000EE"/>
            </w:tcBorders>
            <w:gridSpan w:val="8"/>
          </w:tcPr>
          <w:p>
            <w:pPr>
              <w:spacing w:after="0" w:line="209" w:lineRule="exact"/>
              <w:rPr>
                <w:rFonts w:ascii="Arial" w:cs="Arial" w:eastAsia="Arial" w:hAnsi="Arial"/>
                <w:sz w:val="20"/>
                <w:szCs w:val="20"/>
                <w:color w:val="0000EE"/>
                <w:w w:val="88"/>
              </w:rPr>
            </w:pPr>
            <w:hyperlink w:anchor="page83">
              <w:r>
                <w:rPr>
                  <w:rFonts w:ascii="Arial" w:cs="Arial" w:eastAsia="Arial" w:hAnsi="Arial"/>
                  <w:sz w:val="20"/>
                  <w:szCs w:val="20"/>
                  <w:color w:val="0000EE"/>
                  <w:w w:val="88"/>
                </w:rPr>
                <w:t>Consolidated Statements of Comprehensive Loss for the years ended December 31, 2019, 2018, and 2017</w:t>
              </w:r>
            </w:hyperlink>
          </w:p>
        </w:tc>
        <w:tc>
          <w:tcPr>
            <w:tcW w:w="2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10660" w:type="dxa"/>
            <w:vAlign w:val="bottom"/>
            <w:gridSpan w:val="9"/>
          </w:tcPr>
          <w:p>
            <w:pPr>
              <w:spacing w:after="0" w:line="209" w:lineRule="exact"/>
              <w:rPr>
                <w:rFonts w:ascii="Arial" w:cs="Arial" w:eastAsia="Arial" w:hAnsi="Arial"/>
                <w:sz w:val="20"/>
                <w:szCs w:val="20"/>
                <w:color w:val="0000EE"/>
              </w:rPr>
            </w:pPr>
            <w:hyperlink w:anchor="page84">
              <w:r>
                <w:rPr>
                  <w:rFonts w:ascii="Arial" w:cs="Arial" w:eastAsia="Arial" w:hAnsi="Arial"/>
                  <w:sz w:val="20"/>
                  <w:szCs w:val="20"/>
                  <w:color w:val="0000EE"/>
                </w:rPr>
                <w:t>Consolidated Statements of Changes in Equity for the years ended December 31, 2019, 2018, and 2017</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7660" w:type="dxa"/>
            <w:vAlign w:val="bottom"/>
            <w:tcBorders>
              <w:top w:val="single" w:sz="8" w:color="0000EE"/>
              <w:bottom w:val="single" w:sz="8" w:color="0000EE"/>
            </w:tcBorders>
            <w:gridSpan w:val="5"/>
          </w:tcPr>
          <w:p>
            <w:pPr>
              <w:spacing w:after="0" w:line="209" w:lineRule="exact"/>
              <w:rPr>
                <w:rFonts w:ascii="Arial" w:cs="Arial" w:eastAsia="Arial" w:hAnsi="Arial"/>
                <w:sz w:val="20"/>
                <w:szCs w:val="20"/>
                <w:color w:val="0000EE"/>
                <w:w w:val="88"/>
              </w:rPr>
            </w:pPr>
            <w:hyperlink w:anchor="page85">
              <w:r>
                <w:rPr>
                  <w:rFonts w:ascii="Arial" w:cs="Arial" w:eastAsia="Arial" w:hAnsi="Arial"/>
                  <w:sz w:val="20"/>
                  <w:szCs w:val="20"/>
                  <w:color w:val="0000EE"/>
                  <w:w w:val="88"/>
                </w:rPr>
                <w:t>Consolidated Statements of Cash Flows for the years ended December 31, 2019, 2018, and 2017</w:t>
              </w:r>
            </w:hyperlink>
          </w:p>
        </w:tc>
        <w:tc>
          <w:tcPr>
            <w:tcW w:w="520" w:type="dxa"/>
            <w:vAlign w:val="bottom"/>
            <w:tcBorders>
              <w:top w:val="single" w:sz="8" w:color="0000EE"/>
            </w:tcBorders>
          </w:tcPr>
          <w:p>
            <w:pPr>
              <w:spacing w:after="0"/>
              <w:rPr>
                <w:sz w:val="18"/>
                <w:szCs w:val="18"/>
                <w:color w:val="auto"/>
              </w:rPr>
            </w:pPr>
          </w:p>
        </w:tc>
        <w:tc>
          <w:tcPr>
            <w:tcW w:w="248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0000EE"/>
            </w:tcBorders>
          </w:tcPr>
          <w:p>
            <w:pPr>
              <w:spacing w:after="0" w:line="209" w:lineRule="exact"/>
              <w:rPr>
                <w:rFonts w:ascii="Arial" w:cs="Arial" w:eastAsia="Arial" w:hAnsi="Arial"/>
                <w:sz w:val="20"/>
                <w:szCs w:val="20"/>
                <w:color w:val="0000EE"/>
                <w:w w:val="88"/>
              </w:rPr>
            </w:pPr>
            <w:hyperlink w:anchor="page86">
              <w:r>
                <w:rPr>
                  <w:rFonts w:ascii="Arial" w:cs="Arial" w:eastAsia="Arial" w:hAnsi="Arial"/>
                  <w:sz w:val="20"/>
                  <w:szCs w:val="20"/>
                  <w:color w:val="0000EE"/>
                  <w:w w:val="88"/>
                </w:rPr>
                <w:t>Notes to Consolidated Financial Statements</w:t>
              </w:r>
            </w:hyperlink>
          </w:p>
        </w:tc>
        <w:tc>
          <w:tcPr>
            <w:tcW w:w="7180" w:type="dxa"/>
            <w:vAlign w:val="bottom"/>
            <w:gridSpan w:val="8"/>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0"/>
        </w:trPr>
        <w:tc>
          <w:tcPr>
            <w:tcW w:w="10660" w:type="dxa"/>
            <w:vAlign w:val="bottom"/>
            <w:gridSpan w:val="9"/>
          </w:tcPr>
          <w:p>
            <w:pPr>
              <w:spacing w:after="0"/>
              <w:rPr>
                <w:sz w:val="20"/>
                <w:szCs w:val="20"/>
                <w:color w:val="auto"/>
              </w:rPr>
            </w:pPr>
            <w:r>
              <w:rPr>
                <w:rFonts w:ascii="Arial" w:cs="Arial" w:eastAsia="Arial" w:hAnsi="Arial"/>
                <w:sz w:val="18"/>
                <w:szCs w:val="18"/>
                <w:color w:val="auto"/>
              </w:rPr>
              <w:t>Financial Statement Schedule:</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660" w:type="dxa"/>
            <w:vAlign w:val="bottom"/>
            <w:gridSpan w:val="9"/>
          </w:tcPr>
          <w:p>
            <w:pPr>
              <w:spacing w:after="0" w:line="206" w:lineRule="exact"/>
              <w:rPr>
                <w:rFonts w:ascii="Arial" w:cs="Arial" w:eastAsia="Arial" w:hAnsi="Arial"/>
                <w:sz w:val="20"/>
                <w:szCs w:val="20"/>
                <w:color w:val="0000EE"/>
              </w:rPr>
            </w:pPr>
            <w:hyperlink w:anchor="page124">
              <w:r>
                <w:rPr>
                  <w:rFonts w:ascii="Arial" w:cs="Arial" w:eastAsia="Arial" w:hAnsi="Arial"/>
                  <w:sz w:val="20"/>
                  <w:szCs w:val="20"/>
                  <w:color w:val="0000EE"/>
                </w:rPr>
                <w:t>Schedule II - Valuation and Qualifying Accounts for the years ended December 31, 2019, 2018, and 2017</w:t>
              </w:r>
            </w:hyperlink>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4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Financial Statement Schedule set forth above, all other required schedules have been omitted since the information is either included in the consolidated financial statements, not applicable or not required.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Marine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SEACOR Marine Holdings Inc. (a Delaware corporation) and subsidiaries (the “Company”) as of December 31, 2019 and 2018, the related consolidated statements of loss, comprehensive loss, changes in equity, and cash flows for each of the three years in the period ended December 31, 2019, and the related notes and schedule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7 to the consolidated financial statements, the Company has changed its method of accounting for leases as of January 1, 2019 due to the adoption of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ind w:left="3880"/>
              <w:spacing w:after="0" w:line="155" w:lineRule="exact"/>
              <w:rPr>
                <w:sz w:val="20"/>
                <w:szCs w:val="20"/>
                <w:color w:val="auto"/>
              </w:rPr>
            </w:pPr>
            <w:r>
              <w:rPr>
                <w:rFonts w:ascii="Arial" w:cs="Arial" w:eastAsia="Arial" w:hAnsi="Arial"/>
                <w:sz w:val="14"/>
                <w:szCs w:val="14"/>
                <w:b w:val="1"/>
                <w:bCs w:val="1"/>
                <w:color w:val="auto"/>
              </w:rPr>
              <w:t>ASSETS</w:t>
            </w:r>
          </w:p>
        </w:tc>
        <w:tc>
          <w:tcPr>
            <w:tcW w:w="1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Current Assets: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56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83,943</w:t>
            </w:r>
          </w:p>
        </w:tc>
        <w:tc>
          <w:tcPr>
            <w:tcW w:w="3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Restricted cash</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3,104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Receivables: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500"/>
              <w:spacing w:after="0"/>
              <w:rPr>
                <w:sz w:val="20"/>
                <w:szCs w:val="20"/>
                <w:color w:val="auto"/>
              </w:rPr>
            </w:pPr>
            <w:r>
              <w:rPr>
                <w:rFonts w:ascii="Arial" w:cs="Arial" w:eastAsia="Arial" w:hAnsi="Arial"/>
                <w:sz w:val="14"/>
                <w:szCs w:val="14"/>
                <w:color w:val="auto"/>
              </w:rPr>
              <w:t>Trade, net of allowance for doubtful accounts of $455 and $860 in 2019 and 2018, respectively</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49,128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55,048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18,531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Assets held for sale</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1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158,546</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179,032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tcPr>
          <w:p>
            <w:pPr>
              <w:spacing w:after="0" w:line="155" w:lineRule="exact"/>
              <w:rPr>
                <w:sz w:val="20"/>
                <w:szCs w:val="20"/>
                <w:color w:val="auto"/>
              </w:rPr>
            </w:pPr>
            <w:r>
              <w:rPr>
                <w:rFonts w:ascii="Arial" w:cs="Arial" w:eastAsia="Arial" w:hAnsi="Arial"/>
                <w:sz w:val="14"/>
                <w:szCs w:val="14"/>
                <w:color w:val="auto"/>
              </w:rPr>
              <w:t>Property and Equipment:</w:t>
            </w: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Historical cost</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976,978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1,116,583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Accumulated depreciation</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(358,962)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(461,399)</w:t>
            </w:r>
          </w:p>
        </w:tc>
        <w:tc>
          <w:tcPr>
            <w:tcW w:w="0" w:type="dxa"/>
            <w:vAlign w:val="bottom"/>
          </w:tcPr>
          <w:p>
            <w:pPr>
              <w:spacing w:after="0"/>
              <w:rPr>
                <w:sz w:val="1"/>
                <w:szCs w:val="1"/>
                <w:color w:val="auto"/>
              </w:rPr>
            </w:pPr>
          </w:p>
        </w:tc>
      </w:tr>
      <w:tr>
        <w:trPr>
          <w:trHeight w:val="156"/>
        </w:trPr>
        <w:tc>
          <w:tcPr>
            <w:tcW w:w="722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618,016</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655,184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Construction in progress</w:t>
            </w:r>
          </w:p>
        </w:tc>
        <w:tc>
          <w:tcPr>
            <w:tcW w:w="1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74,344</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Net property and equipment</w:t>
            </w:r>
          </w:p>
        </w:tc>
        <w:tc>
          <w:tcPr>
            <w:tcW w:w="1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692,360</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744,102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tcPr>
          <w:p>
            <w:pPr>
              <w:spacing w:after="0" w:line="155" w:lineRule="exact"/>
              <w:rPr>
                <w:sz w:val="20"/>
                <w:szCs w:val="20"/>
                <w:color w:val="auto"/>
              </w:rPr>
            </w:pPr>
            <w:r>
              <w:rPr>
                <w:rFonts w:ascii="Arial" w:cs="Arial" w:eastAsia="Arial" w:hAnsi="Arial"/>
                <w:sz w:val="14"/>
                <w:szCs w:val="14"/>
                <w:color w:val="auto"/>
              </w:rPr>
              <w:t>Right-of-Use Asset - Operating Leases</w:t>
            </w: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17,313</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Investments, at Equity, and Advances to 50% or Less Owned Companies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124,680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Construction Reserve Funds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12,893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Assets Held for Sale</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26,280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tcBorders>
              <w:top w:val="single" w:sz="8" w:color="CFF0FC"/>
              <w:bottom w:val="single" w:sz="8" w:color="CFF0FC"/>
            </w:tcBorders>
            <w:shd w:val="clear" w:color="auto" w:fill="CFF0FC"/>
          </w:tcPr>
          <w:p>
            <w:pPr>
              <w:spacing w:after="0"/>
              <w:rPr>
                <w:sz w:val="13"/>
                <w:szCs w:val="13"/>
                <w:color w:val="auto"/>
              </w:rPr>
            </w:pPr>
          </w:p>
        </w:tc>
        <w:tc>
          <w:tcPr>
            <w:tcW w:w="126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1,009,193</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1,102,938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LIABILITIES AND EQUITY</w:t>
            </w: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15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15,099</w:t>
            </w:r>
          </w:p>
        </w:tc>
        <w:tc>
          <w:tcPr>
            <w:tcW w:w="300" w:type="dxa"/>
            <w:vAlign w:val="bottom"/>
          </w:tcPr>
          <w:p>
            <w:pPr>
              <w:spacing w:after="0"/>
              <w:rPr>
                <w:sz w:val="14"/>
                <w:szCs w:val="1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17,802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25,691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Due to SEACOR Holdings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Accrued wages and benefits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interest</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Accrued income taxes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capital, repair and maintenance expenditures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15,997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Deferred and Unearned revenues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insurance deductibles and premiums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Accrued professional fees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Derivatives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3,009</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Other current liabilities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4,820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Liabilities associated with assets held for sale</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1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94,817</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83,617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Long-Term Operating Lease Liabilities</w:t>
            </w:r>
          </w:p>
        </w:tc>
        <w:tc>
          <w:tcPr>
            <w:tcW w:w="1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9,822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Long-Term Debt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380,251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387,854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Conversion Option Liability on Convertible Senior Notes</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33,905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44,685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Deferred Gains and Other Liabilities</w:t>
            </w:r>
          </w:p>
        </w:tc>
        <w:tc>
          <w:tcPr>
            <w:tcW w:w="1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6,269</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530,269</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548,003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Equity:</w:t>
            </w:r>
          </w:p>
        </w:tc>
        <w:tc>
          <w:tcPr>
            <w:tcW w:w="1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60"/>
              <w:spacing w:after="0"/>
              <w:rPr>
                <w:sz w:val="20"/>
                <w:szCs w:val="20"/>
                <w:color w:val="auto"/>
              </w:rPr>
            </w:pPr>
            <w:r>
              <w:rPr>
                <w:rFonts w:ascii="Arial" w:cs="Arial" w:eastAsia="Arial" w:hAnsi="Arial"/>
                <w:sz w:val="14"/>
                <w:szCs w:val="14"/>
                <w:color w:val="auto"/>
              </w:rPr>
              <w:t>SEACOR Marine Holdings Inc. stockholders' equity:</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Preferred stock, $.01 par value, 10,000,000 shares authorized; none issued nor outstanding</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220" w:type="dxa"/>
            <w:vAlign w:val="bottom"/>
          </w:tcPr>
          <w:p>
            <w:pPr>
              <w:ind w:left="500"/>
              <w:spacing w:after="0" w:line="143" w:lineRule="exact"/>
              <w:rPr>
                <w:sz w:val="20"/>
                <w:szCs w:val="20"/>
                <w:color w:val="auto"/>
              </w:rPr>
            </w:pPr>
            <w:r>
              <w:rPr>
                <w:rFonts w:ascii="Arial" w:cs="Arial" w:eastAsia="Arial" w:hAnsi="Arial"/>
                <w:sz w:val="14"/>
                <w:szCs w:val="14"/>
                <w:color w:val="auto"/>
              </w:rPr>
              <w:t>Common stock, $.01 par value, 60,000,000 shares authorized; 21,928,674</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20" w:type="dxa"/>
            <w:vAlign w:val="bottom"/>
          </w:tcPr>
          <w:p>
            <w:pPr>
              <w:ind w:left="600"/>
              <w:spacing w:after="0"/>
              <w:rPr>
                <w:sz w:val="20"/>
                <w:szCs w:val="20"/>
                <w:color w:val="auto"/>
              </w:rPr>
            </w:pPr>
            <w:r>
              <w:rPr>
                <w:rFonts w:ascii="Arial" w:cs="Arial" w:eastAsia="Arial" w:hAnsi="Arial"/>
                <w:sz w:val="14"/>
                <w:szCs w:val="14"/>
                <w:color w:val="auto"/>
              </w:rPr>
              <w:t>and 20,443,215 shares issued in 2019 and 2018, respectively</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429,318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415,372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27,076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126,834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Shares held in treasury of 47,185 and 4,007 in 2019 and 2018, respectively, at cost</w:t>
            </w:r>
          </w:p>
        </w:tc>
        <w:tc>
          <w:tcPr>
            <w:tcW w:w="1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(669)</w:t>
            </w: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7220" w:type="dxa"/>
            <w:vAlign w:val="bottom"/>
          </w:tcPr>
          <w:p>
            <w:pPr>
              <w:ind w:left="500"/>
              <w:spacing w:after="0"/>
              <w:rPr>
                <w:sz w:val="20"/>
                <w:szCs w:val="20"/>
                <w:color w:val="auto"/>
              </w:rPr>
            </w:pPr>
            <w:r>
              <w:rPr>
                <w:rFonts w:ascii="Arial" w:cs="Arial" w:eastAsia="Arial" w:hAnsi="Arial"/>
                <w:sz w:val="14"/>
                <w:szCs w:val="14"/>
                <w:color w:val="auto"/>
              </w:rPr>
              <w:t>Accumulated other comprehensive loss, net of tax</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(16,788)</w:t>
            </w:r>
          </w:p>
        </w:tc>
        <w:tc>
          <w:tcPr>
            <w:tcW w:w="0" w:type="dxa"/>
            <w:vAlign w:val="bottom"/>
          </w:tcPr>
          <w:p>
            <w:pPr>
              <w:spacing w:after="0"/>
              <w:rPr>
                <w:sz w:val="1"/>
                <w:szCs w:val="1"/>
                <w:color w:val="auto"/>
              </w:rPr>
            </w:pPr>
          </w:p>
        </w:tc>
      </w:tr>
      <w:tr>
        <w:trPr>
          <w:trHeight w:val="156"/>
        </w:trPr>
        <w:tc>
          <w:tcPr>
            <w:tcW w:w="722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457,492</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525,531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Noncontrolling interests in subsidiaries</w:t>
            </w:r>
          </w:p>
        </w:tc>
        <w:tc>
          <w:tcPr>
            <w:tcW w:w="1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21,432</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29,404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equity</w:t>
            </w:r>
          </w:p>
        </w:tc>
        <w:tc>
          <w:tcPr>
            <w:tcW w:w="1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478,924</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554,935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1,009,193</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1,102,938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Administrative and general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expense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Losses on Asset Dispositions and Impairments, Net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(52,526)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(68,509)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SEACOR Holdings management fees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SEACOR Holdings guarantee fees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Debt Extinguishment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Marketable security gains (losses), net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 gains, net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Foreign currency losses, net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Tax Benefit and Equity in</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Earnings (Losses) of 50% or Less Owned Companies</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(82,836)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(93,224)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(117,790)</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Deferred</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(22,737)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Loss Before Equity in (Losses) Earnings of 50% or Less Owned Companies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Earnings of 50% or Less Owned Companies, Net of Tax</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(14,304)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(Loss) Income on Discontinued Operations, Net of Tax (including</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on disposal of $9,106)</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(9,467)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 in Subsidiaries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63"/>
        </w:trPr>
        <w:tc>
          <w:tcPr>
            <w:tcW w:w="6140" w:type="dxa"/>
            <w:vAlign w:val="bottom"/>
            <w:gridSpan w:val="2"/>
          </w:tcPr>
          <w:p>
            <w:pPr>
              <w:spacing w:after="0"/>
              <w:rPr>
                <w:sz w:val="20"/>
                <w:szCs w:val="20"/>
                <w:color w:val="auto"/>
              </w:rPr>
            </w:pPr>
            <w:r>
              <w:rPr>
                <w:rFonts w:ascii="Arial" w:cs="Arial" w:eastAsia="Arial" w:hAnsi="Arial"/>
                <w:sz w:val="18"/>
                <w:szCs w:val="18"/>
                <w:color w:val="auto"/>
              </w:rPr>
              <w:t>Net Loss attributable to SEACOR Marine Holdings Inc.</w:t>
            </w:r>
          </w:p>
        </w:tc>
        <w:tc>
          <w:tcPr>
            <w:tcW w:w="6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(92,837)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Basic and Diluted Income (Loss) Per Common Share and Warrants of</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SEACOR Marine Holdings Inc.</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9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(3.55)</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(3.77)</w:t>
            </w:r>
          </w:p>
        </w:tc>
        <w:tc>
          <w:tcPr>
            <w:tcW w:w="52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and Warrants Outstanding:</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Basic and diluted shares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23,513,925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20,926,307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17,601,244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7240" w:type="dxa"/>
            <w:vAlign w:val="bottom"/>
            <w:gridSpan w:val="3"/>
          </w:tcPr>
          <w:p>
            <w:pPr>
              <w:jc w:val="center"/>
              <w:ind w:left="4090"/>
              <w:spacing w:after="0"/>
              <w:rPr>
                <w:sz w:val="20"/>
                <w:szCs w:val="20"/>
                <w:color w:val="auto"/>
              </w:rPr>
            </w:pPr>
            <w:r>
              <w:rPr>
                <w:rFonts w:ascii="Arial" w:cs="Arial" w:eastAsia="Arial" w:hAnsi="Arial"/>
                <w:sz w:val="18"/>
                <w:szCs w:val="18"/>
                <w:b w:val="1"/>
                <w:bCs w:val="1"/>
                <w:color w:val="auto"/>
              </w:rPr>
              <w:t>SEACOR MARINE HOLDINGS INC.</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gridSpan w:val="5"/>
          </w:tcPr>
          <w:p>
            <w:pPr>
              <w:jc w:val="center"/>
              <w:ind w:left="299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20" w:type="dxa"/>
            <w:vAlign w:val="bottom"/>
          </w:tcPr>
          <w:p>
            <w:pPr>
              <w:jc w:val="center"/>
              <w:ind w:left="481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5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(98,695)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(38,540)</w:t>
            </w:r>
          </w:p>
        </w:tc>
        <w:tc>
          <w:tcPr>
            <w:tcW w:w="100" w:type="dxa"/>
            <w:vAlign w:val="bottom"/>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(losses) gains, net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FF0FC"/>
          </w:tcPr>
          <w:p>
            <w:pPr>
              <w:spacing w:after="0"/>
              <w:rPr>
                <w:sz w:val="19"/>
                <w:szCs w:val="19"/>
                <w:color w:val="auto"/>
              </w:rPr>
            </w:pPr>
          </w:p>
        </w:tc>
      </w:tr>
      <w:tr>
        <w:trPr>
          <w:trHeight w:val="215"/>
        </w:trPr>
        <w:tc>
          <w:tcPr>
            <w:tcW w:w="6520" w:type="dxa"/>
            <w:vAlign w:val="bottom"/>
          </w:tcPr>
          <w:p>
            <w:pPr>
              <w:ind w:left="260"/>
              <w:spacing w:after="0"/>
              <w:rPr>
                <w:sz w:val="20"/>
                <w:szCs w:val="20"/>
                <w:color w:val="auto"/>
              </w:rPr>
            </w:pPr>
            <w:r>
              <w:rPr>
                <w:rFonts w:ascii="Arial" w:cs="Arial" w:eastAsia="Arial" w:hAnsi="Arial"/>
                <w:sz w:val="18"/>
                <w:szCs w:val="18"/>
                <w:color w:val="auto"/>
              </w:rPr>
              <w:t>Reclassification of foreign currency translation losses to foreign</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20" w:type="dxa"/>
            <w:vAlign w:val="bottom"/>
          </w:tcPr>
          <w:p>
            <w:pPr>
              <w:ind w:left="380"/>
              <w:spacing w:after="0"/>
              <w:rPr>
                <w:sz w:val="20"/>
                <w:szCs w:val="20"/>
                <w:color w:val="auto"/>
              </w:rPr>
            </w:pPr>
            <w:r>
              <w:rPr>
                <w:rFonts w:ascii="Arial" w:cs="Arial" w:eastAsia="Arial" w:hAnsi="Arial"/>
                <w:sz w:val="18"/>
                <w:szCs w:val="18"/>
                <w:color w:val="auto"/>
              </w:rPr>
              <w:t>currency losses, net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(losses) gains on cash flow hedges</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(1,901)</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r>
      <w:tr>
        <w:trPr>
          <w:trHeight w:val="215"/>
        </w:trPr>
        <w:tc>
          <w:tcPr>
            <w:tcW w:w="6520" w:type="dxa"/>
            <w:vAlign w:val="bottom"/>
          </w:tcPr>
          <w:p>
            <w:pPr>
              <w:ind w:left="260"/>
              <w:spacing w:after="0"/>
              <w:rPr>
                <w:sz w:val="20"/>
                <w:szCs w:val="20"/>
                <w:color w:val="auto"/>
              </w:rPr>
            </w:pPr>
            <w:r>
              <w:rPr>
                <w:rFonts w:ascii="Arial" w:cs="Arial" w:eastAsia="Arial" w:hAnsi="Arial"/>
                <w:sz w:val="18"/>
                <w:szCs w:val="18"/>
                <w:color w:val="auto"/>
              </w:rPr>
              <w:t>Reclassification of derivative losses on cash flow hedges to interest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20" w:type="dxa"/>
            <w:vAlign w:val="bottom"/>
          </w:tcPr>
          <w:p>
            <w:pPr>
              <w:ind w:left="38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derivative losses on cash flow hedges to equity in</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 earnings of 50% or less owned companies</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(645)</w:t>
            </w: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(6,256)</w:t>
            </w:r>
          </w:p>
        </w:tc>
      </w:tr>
      <w:tr>
        <w:trPr>
          <w:trHeight w:val="223"/>
        </w:trPr>
        <w:tc>
          <w:tcPr>
            <w:tcW w:w="65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18,336</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(80,359)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(39,421)</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 in Subsidiaries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(5,858)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(5,364)</w:t>
            </w: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attributable to SEACOR Marine Holdings Inc.</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3"/>
                <w:szCs w:val="13"/>
                <w:b w:val="1"/>
                <w:bCs w:val="1"/>
                <w:color w:val="auto"/>
                <w:w w:val="98"/>
              </w:rPr>
              <w:t>SEACOR Marine Holdings Inc. Stockholders' Equity</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0"/>
              </w:rPr>
              <w:t>Non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3"/>
              <w:spacing w:after="0" w:line="124"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Shares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w w:val="97"/>
              </w:rPr>
              <w:t>Additional</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w w:val="96"/>
              </w:rPr>
              <w:t>Paid-in</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1"/>
                <w:szCs w:val="11"/>
                <w:color w:val="auto"/>
              </w:rPr>
            </w:pPr>
          </w:p>
        </w:tc>
        <w:tc>
          <w:tcPr>
            <w:tcW w:w="102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Interests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Stock</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Capital</w:t>
            </w:r>
          </w:p>
        </w:tc>
        <w:tc>
          <w:tcPr>
            <w:tcW w:w="2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Stock</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86"/>
              </w:rPr>
              <w:t>Earnings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Subsidiaries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Year Ended December 31, 2017</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17,675,356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303,996</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216,511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(12,493)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14,975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523,166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60"/>
              <w:spacing w:after="0" w:line="151" w:lineRule="exact"/>
              <w:rPr>
                <w:sz w:val="20"/>
                <w:szCs w:val="20"/>
                <w:color w:val="auto"/>
              </w:rPr>
            </w:pPr>
            <w:r>
              <w:rPr>
                <w:rFonts w:ascii="Arial" w:cs="Arial" w:eastAsia="Arial" w:hAnsi="Arial"/>
                <w:sz w:val="14"/>
                <w:szCs w:val="14"/>
                <w:color w:val="auto"/>
              </w:rPr>
              <w:t>Impact of adoption of accounting</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20" w:type="dxa"/>
            <w:vAlign w:val="bottom"/>
          </w:tcPr>
          <w:p>
            <w:pPr>
              <w:ind w:left="360"/>
              <w:spacing w:after="0" w:line="159" w:lineRule="exact"/>
              <w:rPr>
                <w:sz w:val="20"/>
                <w:szCs w:val="20"/>
                <w:color w:val="auto"/>
              </w:rPr>
            </w:pPr>
            <w:r>
              <w:rPr>
                <w:rFonts w:ascii="Arial" w:cs="Arial" w:eastAsia="Arial" w:hAnsi="Arial"/>
                <w:sz w:val="14"/>
                <w:szCs w:val="14"/>
                <w:color w:val="auto"/>
              </w:rPr>
              <w:t>principle</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(12,069)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(12,069)</w:t>
            </w:r>
          </w:p>
        </w:tc>
        <w:tc>
          <w:tcPr>
            <w:tcW w:w="0" w:type="dxa"/>
            <w:vAlign w:val="bottom"/>
          </w:tcPr>
          <w:p>
            <w:pPr>
              <w:spacing w:after="0"/>
              <w:rPr>
                <w:sz w:val="1"/>
                <w:szCs w:val="1"/>
                <w:color w:val="auto"/>
              </w:rPr>
            </w:pPr>
          </w:p>
        </w:tc>
      </w:tr>
      <w:tr>
        <w:trPr>
          <w:trHeight w:val="143"/>
        </w:trPr>
        <w:tc>
          <w:tcPr>
            <w:tcW w:w="29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Year Ended December 31, 2017,</w:t>
            </w: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as adjusted</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17,675,356</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303,996</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204,442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(12,493)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14,975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511,097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4"/>
                <w:szCs w:val="14"/>
                <w:color w:val="auto"/>
              </w:rPr>
              <w:t>2,291,084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42,973</w:t>
            </w:r>
          </w:p>
        </w:tc>
        <w:tc>
          <w:tcPr>
            <w:tcW w:w="2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42,996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Warrants</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62,809</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60"/>
              <w:spacing w:after="0" w:line="151" w:lineRule="exact"/>
              <w:rPr>
                <w:sz w:val="20"/>
                <w:szCs w:val="20"/>
                <w:color w:val="auto"/>
              </w:rPr>
            </w:pPr>
            <w:r>
              <w:rPr>
                <w:rFonts w:ascii="Arial" w:cs="Arial" w:eastAsia="Arial" w:hAnsi="Arial"/>
                <w:sz w:val="14"/>
                <w:szCs w:val="14"/>
                <w:color w:val="auto"/>
              </w:rPr>
              <w:t>Amortization of employee share</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20" w:type="dxa"/>
            <w:vAlign w:val="bottom"/>
          </w:tcPr>
          <w:p>
            <w:pPr>
              <w:ind w:left="360"/>
              <w:spacing w:after="0" w:line="159" w:lineRule="exact"/>
              <w:rPr>
                <w:sz w:val="20"/>
                <w:szCs w:val="20"/>
                <w:color w:val="auto"/>
              </w:rPr>
            </w:pPr>
            <w:r>
              <w:rPr>
                <w:rFonts w:ascii="Arial" w:cs="Arial" w:eastAsia="Arial" w:hAnsi="Arial"/>
                <w:sz w:val="14"/>
                <w:szCs w:val="14"/>
                <w:color w:val="auto"/>
              </w:rPr>
              <w:t>awards</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3,494</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3,494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options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66,625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Exercise of Warrants</w:t>
            </w:r>
          </w:p>
        </w:tc>
        <w:tc>
          <w:tcPr>
            <w:tcW w:w="720" w:type="dxa"/>
            <w:vAlign w:val="bottom"/>
          </w:tcPr>
          <w:p>
            <w:pPr>
              <w:jc w:val="right"/>
              <w:spacing w:after="0"/>
              <w:rPr>
                <w:sz w:val="20"/>
                <w:szCs w:val="20"/>
                <w:color w:val="auto"/>
              </w:rPr>
            </w:pPr>
            <w:r>
              <w:rPr>
                <w:rFonts w:ascii="Arial" w:cs="Arial" w:eastAsia="Arial" w:hAnsi="Arial"/>
                <w:sz w:val="14"/>
                <w:szCs w:val="14"/>
                <w:color w:val="auto"/>
              </w:rPr>
              <w:t>289,442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stock vesting</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116,701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(88)</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Director share awards</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893</w:t>
            </w:r>
          </w:p>
        </w:tc>
        <w:tc>
          <w:tcPr>
            <w:tcW w:w="2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2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Acquisition of consolidated joint</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2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venture</w:t>
            </w:r>
          </w:p>
        </w:tc>
        <w:tc>
          <w:tcPr>
            <w:tcW w:w="96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(12,037)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(12,037)</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Issuance of noncontrolling interests</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375</w:t>
            </w:r>
          </w:p>
        </w:tc>
        <w:tc>
          <w:tcPr>
            <w:tcW w:w="2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31,385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(77,608)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(4,444)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(82,052)</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Other comprehensive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(4,295)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Year Ended December 31, 2018</w:t>
            </w: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2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20,439,208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415,372</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4,007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(91)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126,834</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(16,788)</w:t>
            </w:r>
          </w:p>
        </w:tc>
        <w:tc>
          <w:tcPr>
            <w:tcW w:w="240" w:type="dxa"/>
            <w:vAlign w:val="bottom"/>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29,404</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554,935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60"/>
              <w:spacing w:after="0" w:line="151" w:lineRule="exact"/>
              <w:rPr>
                <w:sz w:val="20"/>
                <w:szCs w:val="20"/>
                <w:color w:val="auto"/>
              </w:rPr>
            </w:pPr>
            <w:r>
              <w:rPr>
                <w:rFonts w:ascii="Arial" w:cs="Arial" w:eastAsia="Arial" w:hAnsi="Arial"/>
                <w:sz w:val="14"/>
                <w:szCs w:val="14"/>
                <w:color w:val="auto"/>
              </w:rPr>
              <w:t>Impact of adoption of accounting</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20" w:type="dxa"/>
            <w:vAlign w:val="bottom"/>
          </w:tcPr>
          <w:p>
            <w:pPr>
              <w:ind w:left="360"/>
              <w:spacing w:after="0" w:line="159" w:lineRule="exact"/>
              <w:rPr>
                <w:sz w:val="20"/>
                <w:szCs w:val="20"/>
                <w:color w:val="auto"/>
              </w:rPr>
            </w:pPr>
            <w:r>
              <w:rPr>
                <w:rFonts w:ascii="Arial" w:cs="Arial" w:eastAsia="Arial" w:hAnsi="Arial"/>
                <w:sz w:val="14"/>
                <w:szCs w:val="14"/>
                <w:color w:val="auto"/>
              </w:rPr>
              <w:t>principle</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10,416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10,416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9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Year Ended December 31, 2018,</w:t>
            </w: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as adjusted</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20,439,208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415,372</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137,250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(16,788)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4"/>
                <w:szCs w:val="14"/>
                <w:color w:val="auto"/>
              </w:rPr>
              <w:t>653,872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6,589</w:t>
            </w:r>
          </w:p>
        </w:tc>
        <w:tc>
          <w:tcPr>
            <w:tcW w:w="2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stock grants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245,400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Cancellation of restricted stock grants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(2,200)</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2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Amortization of employee share</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2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awards</w:t>
            </w:r>
          </w:p>
        </w:tc>
        <w:tc>
          <w:tcPr>
            <w:tcW w:w="96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5,046</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5,046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Exercise of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113,750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1,420</w:t>
            </w:r>
          </w:p>
        </w:tc>
        <w:tc>
          <w:tcPr>
            <w:tcW w:w="2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444,391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Restricted stock vesting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(43,129)</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700" w:type="dxa"/>
            <w:vAlign w:val="bottom"/>
          </w:tcPr>
          <w:p>
            <w:pPr>
              <w:jc w:val="right"/>
              <w:spacing w:after="0"/>
              <w:rPr>
                <w:sz w:val="20"/>
                <w:szCs w:val="20"/>
                <w:color w:val="auto"/>
              </w:rPr>
            </w:pPr>
            <w:r>
              <w:rPr>
                <w:rFonts w:ascii="Arial" w:cs="Arial" w:eastAsia="Arial" w:hAnsi="Arial"/>
                <w:sz w:val="14"/>
                <w:szCs w:val="14"/>
                <w:color w:val="auto"/>
              </w:rPr>
              <w:t>43,129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Director share awards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30,197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60"/>
              <w:spacing w:after="0" w:line="151" w:lineRule="exact"/>
              <w:rPr>
                <w:sz w:val="20"/>
                <w:szCs w:val="20"/>
                <w:color w:val="auto"/>
              </w:rPr>
            </w:pPr>
            <w:r>
              <w:rPr>
                <w:rFonts w:ascii="Arial" w:cs="Arial" w:eastAsia="Arial" w:hAnsi="Arial"/>
                <w:sz w:val="14"/>
                <w:szCs w:val="14"/>
                <w:color w:val="auto"/>
              </w:rPr>
              <w:t>Acquisition of consolidated joint</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20" w:type="dxa"/>
            <w:vAlign w:val="bottom"/>
          </w:tcPr>
          <w:p>
            <w:pPr>
              <w:ind w:left="360"/>
              <w:spacing w:after="0" w:line="159" w:lineRule="exact"/>
              <w:rPr>
                <w:sz w:val="20"/>
                <w:szCs w:val="20"/>
                <w:color w:val="auto"/>
              </w:rPr>
            </w:pPr>
            <w:r>
              <w:rPr>
                <w:rFonts w:ascii="Arial" w:cs="Arial" w:eastAsia="Arial" w:hAnsi="Arial"/>
                <w:sz w:val="14"/>
                <w:szCs w:val="14"/>
                <w:color w:val="auto"/>
              </w:rPr>
              <w:t>venture</w:t>
            </w:r>
          </w:p>
        </w:tc>
        <w:tc>
          <w:tcPr>
            <w:tcW w:w="9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Sale of Standby Safety Fleet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(17,399)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(17,399)</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Dissolution of Entity</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(92,837)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(5,858)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(98,695)</w:t>
            </w:r>
          </w:p>
        </w:tc>
        <w:tc>
          <w:tcPr>
            <w:tcW w:w="0" w:type="dxa"/>
            <w:vAlign w:val="bottom"/>
          </w:tcPr>
          <w:p>
            <w:pPr>
              <w:spacing w:after="0"/>
              <w:rPr>
                <w:sz w:val="1"/>
                <w:szCs w:val="1"/>
                <w:color w:val="auto"/>
              </w:rPr>
            </w:pPr>
          </w:p>
        </w:tc>
      </w:tr>
      <w:tr>
        <w:trPr>
          <w:trHeight w:val="162"/>
        </w:trPr>
        <w:tc>
          <w:tcPr>
            <w:tcW w:w="29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Year Ended December 31, 2019</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21,881,489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429,318</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47,185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(669)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27,076</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1,548</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21,432</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478,924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w w:val="85"/>
              </w:rPr>
              <w:t>For the years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3"/>
              <w:spacing w:after="0" w:line="143"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3"/>
              <w:spacing w:after="0" w:line="143"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Continuing Operating Activities:</w:t>
            </w: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540" w:type="dxa"/>
            <w:vAlign w:val="bottom"/>
            <w:gridSpan w:val="2"/>
          </w:tcPr>
          <w:p>
            <w:pPr>
              <w:jc w:val="right"/>
              <w:ind w:right="717"/>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w w:val="95"/>
              </w:rPr>
              <w:t>(98,334)</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(83,422)</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(39,529)</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68,841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60,307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financing cost amortization</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Amortization of deferred gains against charter expense</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(8,037)</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(8,118)</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Debt discount and issue cost amortization, net</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5,348</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Director share awards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Restricted stock amortization</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3,494</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Restricted stock vesting</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(88)</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Bad debt (recoveries) expense</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(880)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Losses on asset dispositions and impairments, net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sale of Emergency Response Rescue Vessels ("ERRV")</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Gain from other sales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(428)</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Marketable security (gains) losses, net</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(10,931)</w:t>
            </w: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Purchases of marketable securities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Proceeds from sale of marketable securities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Derivative gains, net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(2,854)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(20,256)</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Cash settlements on derivative transactions, net</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1,372</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Foreign currency losses, net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income tax benefit</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w w:val="95"/>
              </w:rPr>
              <w:t>(12,867)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(22,737)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(61,006)</w:t>
            </w: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Equity in (earnings) losses of 50% or less owned companies, net of tax</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(3,851)</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Dividends received from 50% or less owned companies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Decrease (increase) in receivables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8,487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(18,621)</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Decrease in prepaid expenses and other assets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Decrease (Increase) in accounts payable, accrued expenses and other liabilities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(23,239)</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000"/>
              <w:spacing w:after="0"/>
              <w:rPr>
                <w:sz w:val="20"/>
                <w:szCs w:val="20"/>
                <w:color w:val="auto"/>
              </w:rPr>
            </w:pPr>
            <w:r>
              <w:rPr>
                <w:rFonts w:ascii="Arial" w:cs="Arial" w:eastAsia="Arial" w:hAnsi="Arial"/>
                <w:sz w:val="14"/>
                <w:szCs w:val="14"/>
                <w:color w:val="auto"/>
              </w:rPr>
              <w:t>Net cash provided by (used in) operating activities</w:t>
            </w: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9,447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(59,345)</w:t>
            </w: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37,636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w w:val="95"/>
              </w:rPr>
              <w:t>(55,456)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(51,578)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(68,983)</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settlements on derivative transactions, net</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Proceeds from disposition of property and equipment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56,183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20,140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ERRV fleet</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27,390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Cash impact of sale of ERRV fleet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rPr>
              <w:t>(5,140)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Sale of subsidiary to joint venture</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8,017</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Investments in and advances to 50% or less owned companies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w w:val="95"/>
              </w:rPr>
              <w:t>(17,417)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(43,725)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(5,469)</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Return of investments and advances from 50% or less owned companies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16,263</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Net decrease in construction reserve funds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15,168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on notes due from equity investees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Cash assumed on consolidation of 50% or less owned companies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Business acquisitions, net of cash acquired</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(9,751)</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500"/>
              <w:spacing w:after="0"/>
              <w:rPr>
                <w:sz w:val="20"/>
                <w:szCs w:val="20"/>
                <w:color w:val="auto"/>
              </w:rPr>
            </w:pPr>
            <w:r>
              <w:rPr>
                <w:rFonts w:ascii="Arial" w:cs="Arial" w:eastAsia="Arial" w:hAnsi="Arial"/>
                <w:sz w:val="14"/>
                <w:szCs w:val="14"/>
                <w:color w:val="auto"/>
              </w:rPr>
              <w:t>Net cash provided by (used in) investing activities</w:t>
            </w: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21,211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(33,467)</w:t>
            </w: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(31,527)</w:t>
            </w:r>
          </w:p>
        </w:tc>
        <w:tc>
          <w:tcPr>
            <w:tcW w:w="0" w:type="dxa"/>
            <w:vAlign w:val="bottom"/>
          </w:tcPr>
          <w:p>
            <w:pPr>
              <w:spacing w:after="0"/>
              <w:rPr>
                <w:sz w:val="1"/>
                <w:szCs w:val="1"/>
                <w:color w:val="auto"/>
              </w:rPr>
            </w:pPr>
          </w:p>
        </w:tc>
      </w:tr>
      <w:tr>
        <w:trPr>
          <w:trHeight w:val="156"/>
        </w:trPr>
        <w:tc>
          <w:tcPr>
            <w:tcW w:w="61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Payments on long-term debt</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w w:val="95"/>
              </w:rPr>
              <w:t>(23,974)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(49,405)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(11,926)</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long-term debt, net of issue costs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62,017</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 and warrants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 of SEACOR Marine restricted stock to Company personnel by SEACOR Holdings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Issuance of stock</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42,996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warrants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97"/>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12,809</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Purchase of subsidiary shares from noncontrolling interests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rPr>
              <w:t>(3,392)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20"/>
        </w:trPr>
        <w:tc>
          <w:tcPr>
            <w:tcW w:w="6100" w:type="dxa"/>
            <w:vAlign w:val="bottom"/>
            <w:vMerge w:val="restart"/>
            <w:shd w:val="clear" w:color="auto" w:fill="CFF0FC"/>
          </w:tcPr>
          <w:p>
            <w:pPr>
              <w:ind w:left="500"/>
              <w:spacing w:after="0"/>
              <w:rPr>
                <w:sz w:val="20"/>
                <w:szCs w:val="20"/>
                <w:color w:val="auto"/>
              </w:rPr>
            </w:pPr>
            <w:r>
              <w:rPr>
                <w:rFonts w:ascii="Arial" w:cs="Arial" w:eastAsia="Arial" w:hAnsi="Arial"/>
                <w:sz w:val="14"/>
                <w:szCs w:val="14"/>
                <w:color w:val="auto"/>
              </w:rPr>
              <w:t>Net cash provided by (used in) financing activities</w:t>
            </w:r>
          </w:p>
        </w:tc>
        <w:tc>
          <w:tcPr>
            <w:tcW w:w="6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57"/>
              <w:spacing w:after="0" w:line="155" w:lineRule="exact"/>
              <w:rPr>
                <w:sz w:val="20"/>
                <w:szCs w:val="20"/>
                <w:color w:val="auto"/>
              </w:rPr>
            </w:pPr>
            <w:r>
              <w:rPr>
                <w:rFonts w:ascii="Arial" w:cs="Arial" w:eastAsia="Arial" w:hAnsi="Arial"/>
                <w:sz w:val="14"/>
                <w:szCs w:val="14"/>
                <w:color w:val="auto"/>
                <w:w w:val="95"/>
              </w:rPr>
              <w:t>(25,942)</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69,250</w:t>
            </w:r>
          </w:p>
        </w:tc>
        <w:tc>
          <w:tcPr>
            <w:tcW w:w="26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(11,730)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4"/>
                <w:szCs w:val="14"/>
                <w:color w:val="auto"/>
              </w:rPr>
              <w:t>Effects of Exchange Rate Changes on Cash, Cash Equivalents and Restricted Cash</w:t>
            </w: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gridSpan w:val="2"/>
          </w:tcPr>
          <w:p>
            <w:pPr>
              <w:jc w:val="right"/>
              <w:ind w:right="57"/>
              <w:spacing w:after="0" w:line="155" w:lineRule="exact"/>
              <w:rPr>
                <w:sz w:val="20"/>
                <w:szCs w:val="20"/>
                <w:color w:val="auto"/>
              </w:rPr>
            </w:pPr>
            <w:r>
              <w:rPr>
                <w:rFonts w:ascii="Arial" w:cs="Arial" w:eastAsia="Arial" w:hAnsi="Arial"/>
                <w:sz w:val="14"/>
                <w:szCs w:val="14"/>
                <w:color w:val="auto"/>
                <w:w w:val="95"/>
              </w:rPr>
              <w:t>(17,642)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(699)</w:t>
            </w: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20"/>
        </w:trPr>
        <w:tc>
          <w:tcPr>
            <w:tcW w:w="6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Net (Decrease) in Cash, Cash Equivalents and Restricted Cash, Continuing Operations</w:t>
            </w:r>
          </w:p>
        </w:tc>
        <w:tc>
          <w:tcPr>
            <w:tcW w:w="6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57"/>
              <w:spacing w:after="0" w:line="155" w:lineRule="exact"/>
              <w:rPr>
                <w:sz w:val="20"/>
                <w:szCs w:val="20"/>
                <w:color w:val="auto"/>
              </w:rPr>
            </w:pPr>
            <w:r>
              <w:rPr>
                <w:rFonts w:ascii="Arial" w:cs="Arial" w:eastAsia="Arial" w:hAnsi="Arial"/>
                <w:sz w:val="14"/>
                <w:szCs w:val="14"/>
                <w:color w:val="auto"/>
                <w:w w:val="95"/>
              </w:rPr>
              <w:t>(12,926)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tcBorders>
              <w:right w:val="single" w:sz="8" w:color="CFF0FC"/>
            </w:tcBorders>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(24,261)</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(6,857)</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Cash Flows from Discontinued Operations: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Activities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6,320</w:t>
            </w:r>
          </w:p>
        </w:tc>
        <w:tc>
          <w:tcPr>
            <w:tcW w:w="26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62"/>
        </w:trPr>
        <w:tc>
          <w:tcPr>
            <w:tcW w:w="6100" w:type="dxa"/>
            <w:vAlign w:val="bottom"/>
          </w:tcPr>
          <w:p>
            <w:pPr>
              <w:ind w:left="260"/>
              <w:spacing w:after="0"/>
              <w:rPr>
                <w:sz w:val="20"/>
                <w:szCs w:val="20"/>
                <w:color w:val="auto"/>
              </w:rPr>
            </w:pPr>
            <w:r>
              <w:rPr>
                <w:rFonts w:ascii="Arial" w:cs="Arial" w:eastAsia="Arial" w:hAnsi="Arial"/>
                <w:sz w:val="14"/>
                <w:szCs w:val="14"/>
                <w:color w:val="auto"/>
              </w:rPr>
              <w:t>Investing Activities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4"/>
                <w:szCs w:val="14"/>
                <w:color w:val="auto"/>
              </w:rPr>
              <w:t>(5,569)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2,318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Effects of Exchange Rate Changes on Cash, Restricted Cash and Cash Equivalents</w:t>
            </w: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(75)</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w w:val="99"/>
              </w:rPr>
              <w:t>Net Decrease in Cash, Restricted Cash and Cash Equivalents on Discontinued Operations</w:t>
            </w:r>
          </w:p>
        </w:tc>
        <w:tc>
          <w:tcPr>
            <w:tcW w:w="6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8,563</w:t>
            </w:r>
          </w:p>
        </w:tc>
        <w:tc>
          <w:tcPr>
            <w:tcW w:w="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57"/>
              <w:spacing w:after="0" w:line="155" w:lineRule="exact"/>
              <w:rPr>
                <w:sz w:val="20"/>
                <w:szCs w:val="20"/>
                <w:color w:val="auto"/>
              </w:rPr>
            </w:pPr>
            <w:r>
              <w:rPr>
                <w:rFonts w:ascii="Arial" w:cs="Arial" w:eastAsia="Arial" w:hAnsi="Arial"/>
                <w:sz w:val="14"/>
                <w:szCs w:val="14"/>
                <w:color w:val="auto"/>
              </w:rPr>
              <w:t>(9,805)</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tcBorders>
              <w:right w:val="single" w:sz="8" w:color="CFF0FC"/>
            </w:tcBorders>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(15,699)</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(6,220)</w:t>
            </w:r>
          </w:p>
        </w:tc>
        <w:tc>
          <w:tcPr>
            <w:tcW w:w="0" w:type="dxa"/>
            <w:vAlign w:val="bottom"/>
          </w:tcPr>
          <w:p>
            <w:pPr>
              <w:spacing w:after="0"/>
              <w:rPr>
                <w:sz w:val="1"/>
                <w:szCs w:val="1"/>
                <w:color w:val="auto"/>
              </w:rPr>
            </w:pPr>
          </w:p>
        </w:tc>
      </w:tr>
      <w:tr>
        <w:trPr>
          <w:trHeight w:val="162"/>
        </w:trPr>
        <w:tc>
          <w:tcPr>
            <w:tcW w:w="61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Beginning of Year</w:t>
            </w:r>
          </w:p>
        </w:tc>
        <w:tc>
          <w:tcPr>
            <w:tcW w:w="6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96,852</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112,551</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118,771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End of Year</w:t>
            </w:r>
          </w:p>
        </w:tc>
        <w:tc>
          <w:tcPr>
            <w:tcW w:w="1540" w:type="dxa"/>
            <w:vAlign w:val="bottom"/>
            <w:gridSpan w:val="2"/>
            <w:shd w:val="clear" w:color="auto" w:fill="CFF0FC"/>
          </w:tcPr>
          <w:p>
            <w:pPr>
              <w:jc w:val="right"/>
              <w:ind w:right="717"/>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87,047</w:t>
            </w:r>
          </w:p>
        </w:tc>
        <w:tc>
          <w:tcPr>
            <w:tcW w:w="1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96,852</w:t>
            </w:r>
          </w:p>
        </w:tc>
        <w:tc>
          <w:tcPr>
            <w:tcW w:w="26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112,551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ACCOUNTING POLICIES</w:t>
      </w:r>
    </w:p>
    <w:p>
      <w:pPr>
        <w:spacing w:after="0" w:line="189"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b w:val="1"/>
          <w:bCs w:val="1"/>
          <w:i w:val="1"/>
          <w:iCs w:val="1"/>
          <w:color w:val="auto"/>
        </w:rPr>
        <w:t xml:space="preserve">Nature of Operations and Segmentation. </w:t>
      </w:r>
      <w:r>
        <w:rPr>
          <w:rFonts w:ascii="Arial" w:cs="Arial" w:eastAsia="Arial" w:hAnsi="Arial"/>
          <w:sz w:val="18"/>
          <w:szCs w:val="18"/>
          <w:color w:val="auto"/>
        </w:rPr>
        <w:t>The consolidated financial statements include the accounts of SEACOR Marine and its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(collectively referred to as the “Company”). The Company provides global marine and support transportation services to offshore oil, natural gas and windfarm facilities worldwide. The Company and its joint ventures operate a diverse fleet of offshore support and specialty vessels that (i) deliver cargo and personnel to offshore installations, (ii) handle anchors and mooring equipment required to tether rigs to the seabed, (iii) tow rigs and assist in placing them on location and moving them between regions, (iv) provide construction, well work-over and decommissioning support and (v) carry and launch equipment used underwater in drilling and well installation, maintenance, inspection and repair. Additionally, the Company’s vessels provide accommodations for technicians and specialists, safety support and emergency response services. The Company’s fleet also features crew transfer vessels (“CTVs”) used primarily in windfarm operations.</w:t>
      </w:r>
    </w:p>
    <w:p>
      <w:pPr>
        <w:spacing w:after="0" w:line="16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Accounting standards require public business enterprises to report information about each of their operating business segments that exceed certain quantitative thresholds or meet certain other reporting requirements. Operating business segments have been defined as a component of an enterprise about which separate financial information is available and is evaluated regularly by the chief operating decision maker in assessing performance. On December 2, 2019, the Company completed the sale of its North Sea standby safety business. Unless the context indicates otherwise, the footnotes to these financial statements reflect continuing operations after the disposition. The Company has identified the following five principal geographic regions as its reporting segments:</w:t>
      </w:r>
    </w:p>
    <w:p>
      <w:pPr>
        <w:spacing w:after="0" w:line="149"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 xml:space="preserve">United States, primarily Gulf of Mexico. </w:t>
      </w:r>
      <w:r>
        <w:rPr>
          <w:rFonts w:ascii="Arial" w:cs="Arial" w:eastAsia="Arial" w:hAnsi="Arial"/>
          <w:sz w:val="18"/>
          <w:szCs w:val="18"/>
          <w:color w:val="auto"/>
        </w:rPr>
        <w:t>The Company’s vessels in this market support deepwater anchor handling, fast cargo transport,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cargo transport, well intervention, work-over, decommissioning, and diving support operations.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Africa, primarily West Africa. </w:t>
      </w:r>
      <w:r>
        <w:rPr>
          <w:rFonts w:ascii="Arial" w:cs="Arial" w:eastAsia="Arial" w:hAnsi="Arial"/>
          <w:sz w:val="16"/>
          <w:szCs w:val="16"/>
          <w:color w:val="auto"/>
        </w:rPr>
        <w:t>The Company’s vessels in this area generally support projects for major oil companies, primarily in Angola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180" w:lineRule="exact"/>
        <w:rPr>
          <w:sz w:val="20"/>
          <w:szCs w:val="20"/>
          <w:color w:val="auto"/>
        </w:rPr>
      </w:pPr>
    </w:p>
    <w:p>
      <w:pPr>
        <w:jc w:val="both"/>
        <w:ind w:firstLine="761"/>
        <w:spacing w:after="0" w:line="313" w:lineRule="auto"/>
        <w:rPr>
          <w:sz w:val="20"/>
          <w:szCs w:val="20"/>
          <w:color w:val="auto"/>
        </w:rPr>
      </w:pPr>
      <w:r>
        <w:rPr>
          <w:rFonts w:ascii="Arial" w:cs="Arial" w:eastAsia="Arial" w:hAnsi="Arial"/>
          <w:sz w:val="17"/>
          <w:szCs w:val="17"/>
          <w:b w:val="1"/>
          <w:bCs w:val="1"/>
          <w:color w:val="auto"/>
        </w:rPr>
        <w:t xml:space="preserve">Middle East and Asia. </w:t>
      </w:r>
      <w:r>
        <w:rPr>
          <w:rFonts w:ascii="Arial" w:cs="Arial" w:eastAsia="Arial" w:hAnsi="Arial"/>
          <w:sz w:val="17"/>
          <w:szCs w:val="17"/>
          <w:color w:val="auto"/>
        </w:rPr>
        <w:t>The Company’s vessels in this area generally support exploration, personnel transport and seasonal construction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in Egypt, Israel, Malaysia and countries along the Arabian Gulf and Arabian Sea, such as Saudi Arabia, the United Arab Emirates and Qatar.</w:t>
      </w:r>
    </w:p>
    <w:p>
      <w:pPr>
        <w:spacing w:after="0" w:line="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color w:val="auto"/>
        </w:rPr>
        <w:t xml:space="preserve">Latin America. </w:t>
      </w:r>
      <w:r>
        <w:rPr>
          <w:rFonts w:ascii="Arial" w:cs="Arial" w:eastAsia="Arial" w:hAnsi="Arial"/>
          <w:sz w:val="18"/>
          <w:szCs w:val="18"/>
          <w:color w:val="auto"/>
        </w:rPr>
        <w:t>As of December 31, 2019, 34 vessels were located in this region, including four owned and 30 joint-ventured. Of these joint-ventured vessels, (i) 16 are owned by Mantenimiento Express Maritimo, S.A.P.I. de C.V. (“MexMar”), a joint venture company that is 49% owned by SEACOR Marine International LLC (“SMI”), a wholly owned subsidiary of SEACOR Marine, and 51% owned by subsidiaries of Proyectos Globales de Energía y Servicios CME, S.A. de C.V. (“CME”), (ii) 13 of such vessels are owned by MEXMAR Offshore International LLC (“MEXMAR Offshore”), a joint venture company that is 49% owned by SMI and 51% owned by a subsidiary of CME and (iii) one is owned by SEACOSCO. These vessels, consisting of a fleet of FSVs, supply, specialty and liftboat vessels, provide support for exploration and production activities in Mexico, Brazil and Guyana. From time to time, the Company’s vessels also work in Trinidad and Tobago, and Colombia.</w:t>
      </w:r>
    </w:p>
    <w:p>
      <w:pPr>
        <w:spacing w:after="0" w:line="149"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 xml:space="preserve">Europe, primarily North Sea. </w:t>
      </w:r>
      <w:r>
        <w:rPr>
          <w:rFonts w:ascii="Arial" w:cs="Arial" w:eastAsia="Arial" w:hAnsi="Arial"/>
          <w:sz w:val="18"/>
          <w:szCs w:val="18"/>
          <w:color w:val="auto"/>
        </w:rPr>
        <w:t>As of December 31, 2019, 43 vessels were located in this region supporting the construction and maintenance of</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wind turbines, including 37 owned and six joint ventured. On December 2, 2019, the Company completed the sale of its North Sea standby safety business, comprised of 18 emergency response and rescue vessels (“ERRVs”) related vessels located in the North Sea providing standby safety and supply services.</w:t>
      </w:r>
    </w:p>
    <w:p>
      <w:pPr>
        <w:spacing w:after="0" w:line="15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The Spin-off. </w:t>
      </w:r>
      <w:r>
        <w:rPr>
          <w:rFonts w:ascii="Arial" w:cs="Arial" w:eastAsia="Arial" w:hAnsi="Arial"/>
          <w:sz w:val="18"/>
          <w:szCs w:val="18"/>
          <w:color w:val="auto"/>
        </w:rPr>
        <w:t>SEACOR Marine was previously a subsidiary of SEACOR Holdings Inc. (along with its consolidated subsidiaries,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SEACOR Marine, collectively referred to as “SEACOR Holdings”). On June 1, 2017, SEACOR Holdings completed a spin-off of SEACOR Marine by way of a pro rata dividend of SEACOR Marine’s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14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b w:val="1"/>
          <w:bCs w:val="1"/>
          <w:i w:val="1"/>
          <w:iCs w:val="1"/>
          <w:color w:val="auto"/>
        </w:rPr>
        <w:t xml:space="preserve">Basis of Consolidation. </w:t>
      </w:r>
      <w:r>
        <w:rPr>
          <w:rFonts w:ascii="Arial" w:cs="Arial" w:eastAsia="Arial" w:hAnsi="Arial"/>
          <w:sz w:val="18"/>
          <w:szCs w:val="18"/>
          <w:color w:val="auto"/>
        </w:rPr>
        <w:t>The consolidated financial statements include the accounts of SEACOR Marine and its controlled subsidiaries. Control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deemed to exist if the Company has greater than 50% of the voting rights of a subsidiary. All significant intercompany accounts and transactions are eliminated in the combination and consolidation.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both"/>
        <w:ind w:firstLine="761"/>
        <w:spacing w:after="0" w:line="273" w:lineRule="auto"/>
        <w:rPr>
          <w:sz w:val="20"/>
          <w:szCs w:val="20"/>
          <w:color w:val="auto"/>
        </w:rPr>
      </w:pPr>
      <w:r>
        <w:rPr>
          <w:rFonts w:ascii="Arial" w:cs="Arial" w:eastAsia="Arial" w:hAnsi="Arial"/>
          <w:sz w:val="17"/>
          <w:szCs w:val="17"/>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13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loss as equity in earnings (losses) of 50% or less owned companies, net of tax.</w:t>
      </w:r>
    </w:p>
    <w:p>
      <w:pPr>
        <w:spacing w:after="0" w:line="15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period presentation.</w:t>
      </w:r>
    </w:p>
    <w:p>
      <w:pPr>
        <w:spacing w:after="0" w:line="13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146"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contracts with various customers to carry out management services for vessels as agents for and on behalf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contract while related costs are expensed as incurred.</w:t>
      </w:r>
    </w:p>
    <w:p>
      <w:pPr>
        <w:spacing w:after="0" w:line="11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Revenue that does not meet these criteria is deferred until the criteria is met and such revenue is considered a contract liability. Contract liabilities, which are included in other current liabilities in the accompanying consolidated balance sheets, for the years ended December 31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0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Revenues deferred during the year</w:t>
            </w:r>
          </w:p>
        </w:tc>
        <w:tc>
          <w:tcPr>
            <w:tcW w:w="2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Revenues recognized during the year</w:t>
            </w:r>
          </w:p>
        </w:tc>
        <w:tc>
          <w:tcPr>
            <w:tcW w:w="2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1"/>
              </w:rPr>
              <w:t>(4,705)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(12,377)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(1,548)</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As of December 31, 2019, the Company deferred revenues of $4.8 million primarily related to $2.0 million of prepaid vessel management fees, and $1.8 million related to the time charter of offshore support vessels to customers from which collections were not reasonably assured.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jc w:val="both"/>
        <w:ind w:firstLine="761"/>
        <w:spacing w:after="0" w:line="290" w:lineRule="auto"/>
        <w:rPr>
          <w:sz w:val="20"/>
          <w:szCs w:val="20"/>
          <w:color w:val="auto"/>
        </w:rPr>
      </w:pPr>
      <w:r>
        <w:rPr>
          <w:rFonts w:ascii="Arial" w:cs="Arial" w:eastAsia="Arial" w:hAnsi="Arial"/>
          <w:sz w:val="16"/>
          <w:szCs w:val="16"/>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 On January 9, 2019, the only active pooling arrangement was terminated, and three FSV’s were purchased by the Company.</w:t>
      </w:r>
    </w:p>
    <w:p>
      <w:pPr>
        <w:spacing w:after="0" w:line="13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1"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The Company considers all highly liquid investments with an original maturity of three months or less, when purchased,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Cash equivalents consist of U.S. treasury securities, money market instruments, time deposits and overnight investments.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primarily relates to banking facility requirements.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7460" w:type="dxa"/>
            <w:vAlign w:val="bottom"/>
          </w:tcPr>
          <w:p>
            <w:pPr>
              <w:ind w:left="760"/>
              <w:spacing w:after="0"/>
              <w:rPr>
                <w:sz w:val="20"/>
                <w:szCs w:val="20"/>
                <w:color w:val="auto"/>
              </w:rPr>
            </w:pPr>
            <w:r>
              <w:rPr>
                <w:rFonts w:ascii="Arial" w:cs="Arial" w:eastAsia="Arial" w:hAnsi="Arial"/>
                <w:sz w:val="18"/>
                <w:szCs w:val="18"/>
                <w:color w:val="auto"/>
                <w:w w:val="94"/>
              </w:rPr>
              <w:t>For the year ended December 31, cash, cash equivalents and restricted cash consists of:</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74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r>
      <w:tr>
        <w:trPr>
          <w:trHeight w:val="223"/>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4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83,943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Cash equivalents</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87,047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93,254</w:t>
            </w:r>
          </w:p>
        </w:tc>
        <w:tc>
          <w:tcPr>
            <w:tcW w:w="12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Marketable equity securities with readily determinable fair values and debt securities are reported in the accompanying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sheets as marketable securities. These investments are stated at fair value, as determined by their market observable prices, with both realized and unrealized gains and losses reported in the accompanying consolidated statements of loss as marketable security losses, net. Short sales of marketable securities are stated at fair value in the accompanying consolidated balance sheets with both realized and unrealized losses reported in the accompanying consolidated statements of loss as marketable security gains (losses), net. Marketable securities are classified as trading securities for financial reporting purposes with gains and losses reported as operating activities in the accompanying consolidated statements of cash flows.</w:t>
      </w:r>
    </w:p>
    <w:p>
      <w:pPr>
        <w:spacing w:after="0" w:line="138"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b w:val="1"/>
          <w:bCs w:val="1"/>
          <w:i w:val="1"/>
          <w:iCs w:val="1"/>
          <w:color w:val="auto"/>
        </w:rPr>
        <w:t xml:space="preserve">Trade and Other Receivables. </w:t>
      </w:r>
      <w:r>
        <w:rPr>
          <w:rFonts w:ascii="Arial" w:cs="Arial" w:eastAsia="Arial" w:hAnsi="Arial"/>
          <w:sz w:val="17"/>
          <w:szCs w:val="17"/>
          <w:color w:val="auto"/>
        </w:rPr>
        <w:t>Customers are primarily major integrated national and international oil companies, large independent oil and natural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exploration and production companies, and offshore windfarm operations.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probable doubtful accounts; however, those provisions are estimates and actual results may materially differ from those estimates. Trade receivables are deemed uncollectible and are removed from accounts receivable and the allowance for doubtful accounts when collection efforts have been exhausted.</w:t>
      </w:r>
    </w:p>
    <w:p>
      <w:pPr>
        <w:spacing w:after="0" w:line="13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accounts for derivatives through the use of a fair value concept whereby all of the Company’s derivative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8" w:name="page89"/>
    <w:bookmarkEnd w:id="88"/>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62"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consist of fuel and supplies, are stated at the lower of cost (using the first-in, first-out method) or market.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records write-downs, as needed, to adjust the carrying amount of inventories to the lower of cost or market. In the year ended December 31, 2019, 2018 and 2017, there were no inventory reserves.</w:t>
      </w:r>
    </w:p>
    <w:p>
      <w:pPr>
        <w:spacing w:after="0" w:line="14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the Company’s useful life policy, in which case the Company depreciates such vessels based on its best estimate of remaining useful life, typically the next regulatory survey or certification date.</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2019, the estimated useful life (in years) of each of the Company’s major categories of new offshore support vessels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Crew transfer vessels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 offshore support vessels (excluding crew transfer)</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7640" w:type="dxa"/>
            <w:vAlign w:val="bottom"/>
            <w:gridSpan w:val="4"/>
          </w:tcPr>
          <w:p>
            <w:pPr>
              <w:ind w:left="760"/>
              <w:spacing w:after="0"/>
              <w:rPr>
                <w:sz w:val="20"/>
                <w:szCs w:val="20"/>
                <w:color w:val="auto"/>
              </w:rPr>
            </w:pPr>
            <w:r>
              <w:rPr>
                <w:rFonts w:ascii="Arial" w:cs="Arial" w:eastAsia="Arial" w:hAnsi="Arial"/>
                <w:sz w:val="18"/>
                <w:szCs w:val="18"/>
                <w:color w:val="auto"/>
                <w:w w:val="94"/>
              </w:rPr>
              <w:t>The Company’s property and equipment as of December 31 was as follows (in thousands):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Historical</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Cost </w:t>
            </w:r>
            <w:r>
              <w:rPr>
                <w:rFonts w:ascii="Arial" w:cs="Arial" w:eastAsia="Arial" w:hAnsi="Arial"/>
                <w:sz w:val="15"/>
                <w:szCs w:val="15"/>
                <w:b w:val="1"/>
                <w:bCs w:val="1"/>
                <w:color w:val="auto"/>
              </w:rPr>
              <w:t>(1)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Depreciation</w:t>
            </w:r>
          </w:p>
        </w:tc>
        <w:tc>
          <w:tcPr>
            <w:tcW w:w="20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14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16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AHTS</w:t>
            </w:r>
            <w:r>
              <w:rPr>
                <w:rFonts w:ascii="Arial" w:cs="Arial" w:eastAsia="Arial" w:hAnsi="Arial"/>
                <w:sz w:val="15"/>
                <w:szCs w:val="15"/>
                <w:color w:val="auto"/>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94,078</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(73,095)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FSV</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388,460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(101,295)</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Supply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(8,471)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Specialty</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(10,466)</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327,028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(93,166)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Crew transfer</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82,645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(54,358)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General machinery and spares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(7,648)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(10,463)</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976,978</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(358,962)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AHTS</w:t>
            </w:r>
            <w:r>
              <w:rPr>
                <w:rFonts w:ascii="Arial" w:cs="Arial" w:eastAsia="Arial" w:hAnsi="Arial"/>
                <w:sz w:val="15"/>
                <w:szCs w:val="15"/>
                <w:color w:val="auto"/>
              </w:rPr>
              <w:t>(2)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197,344</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(168,731)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FSV</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404,310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(98,580)</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Supply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(37,202)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Specialty</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(20,433)</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Liftboats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329,473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(71,887)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Crew transfer</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(46,614)</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General machinery and spares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(8,390)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(9,562)</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1,116,583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(461,399)</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property and equipment acquired in business acquisitions at acquisition date fair value, and net of the impact of recognized impairment charges.</w:t>
      </w:r>
    </w:p>
    <w:p>
      <w:pPr>
        <w:spacing w:after="0" w:line="13" w:lineRule="exact"/>
        <w:rPr>
          <w:rFonts w:ascii="Arial" w:cs="Arial" w:eastAsia="Arial" w:hAnsi="Arial"/>
          <w:sz w:val="14"/>
          <w:szCs w:val="14"/>
          <w:color w:val="auto"/>
        </w:rPr>
      </w:pPr>
    </w:p>
    <w:p>
      <w:pPr>
        <w:ind w:left="760" w:hanging="752"/>
        <w:spacing w:after="0" w:line="221"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Anchor Handling Towing Supply (“AHTS”)</w:t>
      </w:r>
    </w:p>
    <w:p>
      <w:pPr>
        <w:ind w:left="760" w:hanging="752"/>
        <w:spacing w:after="0" w:line="221" w:lineRule="auto"/>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Fast support vessels (“FSVs”).</w:t>
      </w:r>
    </w:p>
    <w:p>
      <w:pPr>
        <w:ind w:left="760" w:hanging="752"/>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land, buildings, leasehold improvements, vehicles and other property and equipment.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9" w:name="page90"/>
    <w:bookmarkEnd w:id="89"/>
    <w:p>
      <w:pPr>
        <w:jc w:val="both"/>
        <w:ind w:firstLine="761"/>
        <w:spacing w:after="0" w:line="277" w:lineRule="auto"/>
        <w:rPr>
          <w:sz w:val="20"/>
          <w:szCs w:val="20"/>
          <w:color w:val="auto"/>
        </w:rPr>
      </w:pPr>
      <w:r>
        <w:rPr>
          <w:rFonts w:ascii="Arial" w:cs="Arial" w:eastAsia="Arial" w:hAnsi="Arial"/>
          <w:sz w:val="18"/>
          <w:szCs w:val="18"/>
          <w:color w:val="auto"/>
        </w:rPr>
        <w:t>Depreciation and amortization expense from continuing operations totaled $64.0 million, $68.8 million and $60.3 million in 2019, 2018 and 2017, respectively.</w:t>
      </w:r>
    </w:p>
    <w:p>
      <w:pPr>
        <w:spacing w:after="0" w:line="143"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On December 2, 2019, the Company completed the sale of its North Sea standby business, comprised of 18 ERRVs with a net book value of $24.3 million. Depreciation and amortization expense totaled $3.5 million, $3.4 million and $2.5 million in 2019, 2018 and 2017, respectively.</w:t>
      </w:r>
    </w:p>
    <w:p>
      <w:pPr>
        <w:spacing w:after="0" w:line="10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141"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Certain interest costs incurred during the construction of vessels are capitalized as part of the vessels’ carrying values and are amortized over such vessels’ estimated useful lives. Capitalized interest totaled $1.5 million, $2.4 million and $3.6 million in 2019, 2018 and 2017, respectively.</w:t>
      </w:r>
    </w:p>
    <w:p>
      <w:pPr>
        <w:spacing w:after="0" w:line="12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4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As a result of the difficult conditions experienced in the offshore oil and natural gas markets beginning in the second half of 2014 and the corresponding reductions in utilization and rates per day worked of its fleet, the Company identified indicators of impairment and recognized impairment charges primarily associated with its AHTS fleet, its liftboat fleet, certain specialty vessels, vessels removed from service and goodwill.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53"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During the year ended December 31, 2019, the Company recorded non-cash impairment charges of $12.0 million primarily related to four anchor-handling towing supply (“AHTS”) vessels previously removed from service and adjusted to scrap value, and four fast support vessels (“FSV”) each of which has been adjusted to indicative sales price, and two leased-in vessels (one AHTS and one platform supply vessel “PSV”), adjusted for indicative future cash flows</w:t>
      </w:r>
      <w:r>
        <w:rPr>
          <w:rFonts w:ascii="Arial" w:cs="Arial" w:eastAsia="Arial" w:hAnsi="Arial"/>
          <w:sz w:val="20"/>
          <w:szCs w:val="20"/>
          <w:color w:val="auto"/>
        </w:rPr>
        <w:t>.</w:t>
      </w:r>
      <w:r>
        <w:rPr>
          <w:rFonts w:ascii="Arial" w:cs="Arial" w:eastAsia="Arial" w:hAnsi="Arial"/>
          <w:sz w:val="17"/>
          <w:szCs w:val="17"/>
          <w:color w:val="auto"/>
        </w:rPr>
        <w:t xml:space="preserve"> During the year ended December 31, 2018, the Company recorded non-cash impairment charges of $14.6 million primarily associated with its AHTS fleet (four owned vessels and three leased-in vessels) and one specialty vessel. During the year ended December 31, 2017, the Company recorded non-cash impairment charges of $27.5 million primarily associated with its AHTS vessels, one leased-in supply vessel removed from service as it is not expected to be marketed prior to the expiration of its lease, one owned FSV removed from service and two owned in-service specialty vessels. Estimated fair values for the Company’s owned vessels were established by independent appraisers and other market data such as recent sales of similar vessels (see Note 11). If market conditions further decline from the depressed utilization and rates per day worked experience over the last three years, fair values based on future appraisals could decline significantly.</w:t>
      </w:r>
    </w:p>
    <w:p>
      <w:pPr>
        <w:spacing w:after="0" w:line="15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or vessels that service customers outside of the offshore oil and natural gas market (e.g., CTVs).</w:t>
      </w:r>
    </w:p>
    <w:p>
      <w:pPr>
        <w:spacing w:after="0" w:line="13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For vessel classes and individual vessels with indicators of impairment but not recently impaired as of December 31, 2019, the Company has estimated that their future undiscounted cash flows exceed their current carrying values.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0" w:name="page91"/>
    <w:bookmarkEnd w:id="90"/>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 xml:space="preserve">Impairment of 50% or Less Owned Companies. </w:t>
      </w:r>
      <w:r>
        <w:rPr>
          <w:rFonts w:ascii="Arial" w:cs="Arial" w:eastAsia="Arial" w:hAnsi="Arial"/>
          <w:sz w:val="17"/>
          <w:szCs w:val="17"/>
          <w:color w:val="auto"/>
        </w:rPr>
        <w:t>Investments in 50% or less owned companies are reviewed periodically to assess whether there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No impairment charges of investments in 50% or less owned companies were incurred for the year ended December 31, 2019. During the years ended 2018 and 2017, the Company recognized impairment charges of $1.2 million and $8.8 million, respectively, net of tax, related to its 50% or less owned companies (see Note 5).</w:t>
      </w:r>
    </w:p>
    <w:p>
      <w:pPr>
        <w:spacing w:after="0" w:line="151"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The Company recognizes 100% of the fair value of assets acquired, liabilities assumed, and noncontrolling interests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loss from the date of acquisition (see Note 3).</w:t>
      </w:r>
    </w:p>
    <w:p>
      <w:pPr>
        <w:spacing w:after="0" w:line="120"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i w:val="1"/>
          <w:iCs w:val="1"/>
          <w:color w:val="auto"/>
        </w:rPr>
        <w:t>Debt Discount and Issue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discounts and costs incurred in connection with the issuance of debt are amortized over the life of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using the effective interest rate method for term loans and straight-line method for revolving credit facilities and are included in interest expense in the accompanying consolidated statements of loss.</w:t>
      </w:r>
    </w:p>
    <w:p>
      <w:pPr>
        <w:spacing w:after="0" w:line="136"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i w:val="1"/>
          <w:iCs w:val="1"/>
          <w:color w:val="auto"/>
        </w:rPr>
        <w:t>Self-insurance Liabilities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maintains marine hull, liability and war risk, general liability, workers compensation and other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customary in the industry in which it operates. Both the marine hull and liability policies have annual aggregate deductibles. Marine hull annual aggregate deductibles are accrued as claims are incurred while marine liability annual aggregate deductibles are accrued based on historical loss experience. Exposure to the health benefit plans are limited by maintaining stop-loss and aggregate liability coverage. To the extent that estimated self-insurance losses, including the accrual of annual aggregate deductibles, differ from actual losses realized, the Company’s insurance reserves could differ significantly and may result in either higher or lower insurance expense in future periods.</w:t>
      </w:r>
    </w:p>
    <w:p>
      <w:pPr>
        <w:spacing w:after="0" w:line="161"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assets and liabilities have been provided in recognition of the income tax effect attributable to the book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5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41"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Prior to the Spin-off, SEACOR Marine was included in the consolidated U.S. federal income tax return of SEACOR Holdings. SEACOR Holdings’ policy for allocation of U.S. federal income taxes required its domestic subsidiaries included in the consolidated U.S. federal income tax return to compute their provision for U.S. federal income taxes on a separate company basis and settle with SEACOR Holdings.</w:t>
      </w:r>
    </w:p>
    <w:p>
      <w:pPr>
        <w:spacing w:after="0" w:line="139"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the normal course of business, the Company or SEACOR Holdings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1" w:name="page92"/>
    <w:bookmarkEnd w:id="91"/>
    <w:p>
      <w:pPr>
        <w:jc w:val="both"/>
        <w:ind w:firstLine="761"/>
        <w:spacing w:after="0" w:line="288" w:lineRule="auto"/>
        <w:rPr>
          <w:sz w:val="20"/>
          <w:szCs w:val="20"/>
          <w:color w:val="auto"/>
        </w:rPr>
      </w:pPr>
      <w:r>
        <w:rPr>
          <w:rFonts w:ascii="Arial" w:cs="Arial" w:eastAsia="Arial" w:hAnsi="Arial"/>
          <w:sz w:val="16"/>
          <w:szCs w:val="16"/>
          <w:b w:val="1"/>
          <w:bCs w:val="1"/>
          <w:i w:val="1"/>
          <w:iCs w:val="1"/>
          <w:color w:val="auto"/>
        </w:rPr>
        <w:t>Deferred Gains - Vessel Sale-Leaseback Transactions and Financed Vessel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implementation of ASC 842, the Company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vessel sale-leaseback transactions with finance companies or provided seller financing on sales of its vessels to third-parties or to 50% or less owned companies. A portion of the gains realized from these transactions was not immediately recognized in income but rather was recorded in the accompanying consolidated balance sheets in deferred gains and other liabilities. In sale-leaseback transactions, gains were deferred to the extent of the present value of future minimum lease payments and were amortized as reductions to rental expense over the applicable lease terms (see Note 7). When the Company determines that future cash inflows do not support future lease cash obligations, the Company records an impairment expense for the amount of the cash flow shortage of all future lease costs, costs to maintain the vessel to the end of the lease term, and costs to return the vessel to its owner, less the amount of any unamortized deferred gains. In financed vessel sales, gains were deferred to the extent that the repayment of purchase notes were dependent on the future operations of the sold vessels and were amortized based on cash received from the buyers. Unamortized deferred gains for four vessels under sale-leaseback agreements were fully recognized as an adjustment to Retained Earnings with the implementation of the new leasing standard (see Note 7). Deferred gain activity related to these transactions for the years ended December 31 was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32,035</w:t>
            </w:r>
          </w:p>
        </w:tc>
        <w:tc>
          <w:tcPr>
            <w:tcW w:w="100" w:type="dxa"/>
            <w:vAlign w:val="bottom"/>
            <w:shd w:val="clear" w:color="auto" w:fill="CFF0FC"/>
          </w:tcPr>
          <w:p>
            <w:pPr>
              <w:spacing w:after="0"/>
              <w:rPr>
                <w:sz w:val="19"/>
                <w:szCs w:val="19"/>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Amortization of deferred gains included in operating expenses as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reduction to rental expense</w:t>
            </w:r>
          </w:p>
        </w:tc>
        <w:tc>
          <w:tcPr>
            <w:tcW w:w="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(8,037)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(8,118)</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Reclass of gain to Retained Earnings</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(11,026)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Recognition of deferred gains included in losses on asset dispositions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and impairments, net</w:t>
            </w:r>
          </w:p>
        </w:tc>
        <w:tc>
          <w:tcPr>
            <w:tcW w:w="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(4,490)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23,553</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Deferred Gains - Vessel Sales to the Company’s 50% or Less Owned Companies. </w:t>
      </w:r>
      <w:r>
        <w:rPr>
          <w:rFonts w:ascii="Arial" w:cs="Arial" w:eastAsia="Arial" w:hAnsi="Arial"/>
          <w:sz w:val="18"/>
          <w:szCs w:val="18"/>
          <w:color w:val="auto"/>
        </w:rPr>
        <w:t>A portion of the gains realized from non-financed sales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vessels to its 50% or less owned companies has been deferred and recorded in the accompanying consolidated balance sheets in deferred gains and other liabilities. In most instances, the sale of a Company vessel to a 50% or less owned company is considered a sale of a business in which the Company relinquishes control to its 50% or less owned company resulting in gain recognition; however, the Company defers gains to the extent of any uncalled capital commitment it has with the 50% or less owned company. Deferred gain activity related to these transactions for the years ended December 31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8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1,453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8"/>
                <w:szCs w:val="18"/>
                <w:color w:val="auto"/>
              </w:rPr>
              <w:t>Amortization of deferred gains included in losses on asset dispositions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and impairments, net</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8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assets, liabilities and results of operations of certain consolidated subsidiaries are measured using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currency, which is the currency of the primary foreign economic environment in which they operate. Upon consolidating these subsidiaries with the Company, their assets and liabilities are translated to U.S. dollars at currency exchange rates as of the consolidated balance sheet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15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Transactions. </w:t>
      </w:r>
      <w:r>
        <w:rPr>
          <w:rFonts w:ascii="Arial" w:cs="Arial" w:eastAsia="Arial" w:hAnsi="Arial"/>
          <w:sz w:val="18"/>
          <w:szCs w:val="18"/>
          <w:color w:val="auto"/>
        </w:rPr>
        <w:t>Certain consolidated subsidiaries enter into transactions denominated in currencies other than their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Gains and losses resulting from changes in currency exchange rates between the functional currency and the currency in which a transaction is denominated are included in foreign currency losses, net in the accompanying consolidated statements of loss in the period in which the currency exchange rates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2" w:name="page93"/>
    <w:bookmarkEnd w:id="92"/>
    <w:p>
      <w:pPr>
        <w:ind w:left="760"/>
        <w:spacing w:after="0"/>
        <w:rPr>
          <w:sz w:val="20"/>
          <w:szCs w:val="20"/>
          <w:color w:val="auto"/>
        </w:rPr>
      </w:pPr>
      <w:r>
        <w:rPr>
          <w:rFonts w:ascii="Arial" w:cs="Arial" w:eastAsia="Arial" w:hAnsi="Arial"/>
          <w:sz w:val="17"/>
          <w:szCs w:val="17"/>
          <w:b w:val="1"/>
          <w:bCs w:val="1"/>
          <w:i w:val="1"/>
          <w:iCs w:val="1"/>
          <w:color w:val="auto"/>
        </w:rPr>
        <w:t xml:space="preserve">Accumulated Other Comprehensive Loss. </w:t>
      </w:r>
      <w:r>
        <w:rPr>
          <w:rFonts w:ascii="Arial" w:cs="Arial" w:eastAsia="Arial" w:hAnsi="Arial"/>
          <w:sz w:val="17"/>
          <w:szCs w:val="17"/>
          <w:color w:val="auto"/>
        </w:rPr>
        <w:t>The components of accumulated other comprehensive loss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4"/>
              </w:rPr>
              <w:t>SEACOR Marine Holdings Inc.</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Stockholders' Equity</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Noncontrolling Interests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2"/>
              </w:rPr>
              <w:t>Derivative</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Foreign</w:t>
            </w: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Currency</w:t>
            </w: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(Losses) 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(Losses) on</w:t>
            </w:r>
          </w:p>
        </w:tc>
        <w:tc>
          <w:tcPr>
            <w:tcW w:w="2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Cash Flow</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Comprehensive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Hedges, net</w:t>
            </w:r>
          </w:p>
        </w:tc>
        <w:tc>
          <w:tcPr>
            <w:tcW w:w="20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Hedges, net</w:t>
            </w:r>
          </w:p>
        </w:tc>
        <w:tc>
          <w:tcPr>
            <w:tcW w:w="2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(11,413)</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(6,179)</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(6,256)</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Ended December 31, 2017</w:t>
            </w:r>
          </w:p>
        </w:tc>
        <w:tc>
          <w:tcPr>
            <w:tcW w:w="100" w:type="dxa"/>
            <w:vAlign w:val="bottom"/>
            <w:tcBorders>
              <w:top w:val="single" w:sz="8" w:color="auto"/>
              <w:bottom w:val="single" w:sz="8" w:color="CFF0FC"/>
            </w:tcBorders>
          </w:tcPr>
          <w:p>
            <w:pPr>
              <w:spacing w:after="0"/>
              <w:rPr>
                <w:sz w:val="22"/>
                <w:szCs w:val="22"/>
                <w:color w:val="auto"/>
              </w:rPr>
            </w:pPr>
          </w:p>
        </w:tc>
        <w:tc>
          <w:tcPr>
            <w:tcW w:w="9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(13,195)</w:t>
            </w:r>
          </w:p>
        </w:tc>
        <w:tc>
          <w:tcPr>
            <w:tcW w:w="2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CFF0FC"/>
            </w:tcBorders>
          </w:tcPr>
          <w:p>
            <w:pPr>
              <w:spacing w:after="0"/>
              <w:rPr>
                <w:sz w:val="22"/>
                <w:szCs w:val="22"/>
                <w:color w:val="auto"/>
              </w:rPr>
            </w:pPr>
          </w:p>
        </w:tc>
        <w:tc>
          <w:tcPr>
            <w:tcW w:w="92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CFF0FC"/>
            </w:tcBorders>
          </w:tcPr>
          <w:p>
            <w:pPr>
              <w:spacing w:after="0"/>
              <w:rPr>
                <w:sz w:val="22"/>
                <w:szCs w:val="22"/>
                <w:color w:val="auto"/>
              </w:rPr>
            </w:pPr>
          </w:p>
        </w:tc>
        <w:tc>
          <w:tcPr>
            <w:tcW w:w="8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(12,493)</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CFF0FC"/>
            </w:tcBorders>
          </w:tcPr>
          <w:p>
            <w:pPr>
              <w:spacing w:after="0"/>
              <w:rPr>
                <w:sz w:val="22"/>
                <w:szCs w:val="22"/>
                <w:color w:val="auto"/>
              </w:rPr>
            </w:pPr>
          </w:p>
        </w:tc>
        <w:tc>
          <w:tcPr>
            <w:tcW w:w="9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CFF0FC"/>
            </w:tcBorders>
          </w:tcPr>
          <w:p>
            <w:pPr>
              <w:spacing w:after="0"/>
              <w:rPr>
                <w:sz w:val="22"/>
                <w:szCs w:val="22"/>
                <w:color w:val="auto"/>
              </w:rPr>
            </w:pPr>
          </w:p>
        </w:tc>
        <w:tc>
          <w:tcPr>
            <w:tcW w:w="92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(1,972)</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20,157</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18,163</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line="253"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the year ended December 31, 2017, income tax expense included income tax provisions of $4.5 million recognized as a result of new U.S. tax legislation signed into law on December 22, 2017.</w:t>
      </w:r>
    </w:p>
    <w:p>
      <w:pPr>
        <w:spacing w:after="0" w:line="151"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b w:val="1"/>
          <w:bCs w:val="1"/>
          <w:i w:val="1"/>
          <w:iCs w:val="1"/>
          <w:color w:val="auto"/>
        </w:rPr>
        <w:t xml:space="preserve">Loss Per Share. </w:t>
      </w:r>
      <w:r>
        <w:rPr>
          <w:rFonts w:ascii="Arial" w:cs="Arial" w:eastAsia="Arial" w:hAnsi="Arial"/>
          <w:sz w:val="16"/>
          <w:szCs w:val="16"/>
          <w:color w:val="auto"/>
        </w:rPr>
        <w:t>Basic loss per common share of the Company is computed based on the weighted average number of common shares issued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during the relevant periods. Diluted loss per common share of the Company is computed based on the weighted average number of common shares issued and outstanding plus the effect of potentially dilutive securities through the application of the treasury stock and if-converted methods. Dilutive securities for this purpose assumes restricted stock grants have vested, common shares have been issued pursuant to the exercise of outstanding stock options and common shares have been issued pursuant to the conversion of the Convertible Senior Notes. For the years ended December 31, 2019, 2018 and 2017, diluted loss per common share of the Company excluded 1,826,966 shares, 2,183,708 shares and 4,070,500 shares, respectively, issuable upon the conversion of the Convertible Senior Notes as the effect of their inclusion in the computation would be anti-dilutive. In addition, for the years ended December 31, 2019 and 2018, diluted loss per common share of the Company excluded 303,609 shares and 192,346 shares, respectively, of restricted stock and 913,569 and 805,566 outstanding stock options as the effect of their inclusion in the computation would be anti-dilutive. In 2019, the Company issued 109,600 performance share awards, of which 91,600 were still outstanding as of December 31, 2019. These performance share awards are not considered outstanding until such time as they would be probable of being exercised, therefore they were not included in the computation of earnings (loss) per share.</w:t>
      </w:r>
    </w:p>
    <w:p>
      <w:pPr>
        <w:spacing w:after="0" w:line="132"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 xml:space="preserve">Recently Adopted Accounting Standards. </w:t>
      </w:r>
      <w:r>
        <w:rPr>
          <w:rFonts w:ascii="Arial" w:cs="Arial" w:eastAsia="Arial" w:hAnsi="Arial"/>
          <w:sz w:val="17"/>
          <w:szCs w:val="17"/>
          <w:color w:val="auto"/>
        </w:rPr>
        <w:t>On May 28, 2014, the Financial Accounting Standards Board (“FASB”) issued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 clarify the principles for recognizing revenue and to develop a common revenue standard and disclosure requirements. The standard supersedes previous revenue recognition requirements and industry-specific guidance. Under the standard, revenue is recognized when a customer obtains control of promised goods or services in an amount that reflects the consideration the entity expects to receive in exchange for those goods or services. The Company adopted this standard on January 1, 2018 using the modified retrospective approach by recognizing the cumulative effect of initially applying the standard as an adjustment to the opening balance of retained earnings. The Company implemented the necessary changes to its business processes, systems and controls to support recognition and disclosure of this ASU upon adoption. The Company’s revenues are primarily based on leases or rental agreements with customers which are not addressed in the standard. As a result, the adoption of the accounting standard did not have a material effect on the Company’s consolidated financial position, results of operations or cash flows, but did result in increased disclosures related to revenue recognition policies.</w:t>
      </w:r>
    </w:p>
    <w:p>
      <w:pPr>
        <w:spacing w:after="0" w:line="151"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On February 25, 2016, the FASB issued a comprehensive new leasing standard meant to improve transparency and comparability among companies by requiring lessees to recognize a lease liability and a corresponding lease asset for virtually all lease contracts. It also requires additional disclosures about leasing arrangements. The Company adopted the new standard on January 1, 2019 and applied the transition provisions of the new standard at its adoption date with recognition of a cumulative-effect adjustment to the opening balance of retained earnings. The adoption of the new standard had a material impact on the Company’s consolidated financial position, results of operations and cash flows. The adjustment to the Company’s balance sheet on January 1, 2019 included the addition of $33.7 million of right-of-use assets, $31.9 million in lease liability, and a cumulative-effect adjustment to the opening balance of retained earnings of $1.7 million for certain of its equipment, office and land leases. In addition, unamortized deferred gains for four vessels leased under sale-leaseback arrangements were fully recognized as an adjustment to the opening balance of retained earnings of $8.7 million, net of tax, ($11.0 million deferred gains net of $2.3 million deferred taxes).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3" w:name="page94"/>
    <w:bookmarkEnd w:id="93"/>
    <w:p>
      <w:pPr>
        <w:jc w:val="both"/>
        <w:ind w:right="20" w:firstLine="761"/>
        <w:spacing w:after="0" w:line="264" w:lineRule="auto"/>
        <w:rPr>
          <w:sz w:val="20"/>
          <w:szCs w:val="20"/>
          <w:color w:val="auto"/>
        </w:rPr>
      </w:pPr>
      <w:r>
        <w:rPr>
          <w:rFonts w:ascii="Arial" w:cs="Arial" w:eastAsia="Arial" w:hAnsi="Arial"/>
          <w:sz w:val="18"/>
          <w:szCs w:val="18"/>
          <w:color w:val="auto"/>
        </w:rPr>
        <w:t>On October 24, 2016, the FASB issued a new accounting standard, which requires companies to account for the income tax effects of intercompany sales and transfers of assets other than inventory. The Company adopted the new standard on January 1, 2018, resulting in a reduction of $12.1 million to the Company’s opening retained earnings.</w:t>
      </w:r>
    </w:p>
    <w:p>
      <w:pPr>
        <w:spacing w:after="0" w:line="154"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color w:val="auto"/>
        </w:rPr>
        <w:t>On August 28, 2018, the FASB issued ASU No. 2018-13,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modifies the disclosure requirements related to fair value measurement. The new guidance is effective for fiscal years beginning after December 15, 2019. The effects of this standard on our financial position or reporting will not be material.</w:t>
      </w:r>
    </w:p>
    <w:p>
      <w:pPr>
        <w:spacing w:after="0" w:line="141" w:lineRule="exact"/>
        <w:rPr>
          <w:sz w:val="20"/>
          <w:szCs w:val="20"/>
          <w:color w:val="auto"/>
        </w:rPr>
      </w:pPr>
    </w:p>
    <w:p>
      <w:pPr>
        <w:jc w:val="both"/>
        <w:ind w:right="20" w:firstLine="761"/>
        <w:spacing w:after="0" w:line="273" w:lineRule="auto"/>
        <w:rPr>
          <w:sz w:val="20"/>
          <w:szCs w:val="20"/>
          <w:color w:val="auto"/>
        </w:rPr>
      </w:pPr>
      <w:r>
        <w:rPr>
          <w:rFonts w:ascii="Arial" w:cs="Arial" w:eastAsia="Arial" w:hAnsi="Arial"/>
          <w:sz w:val="17"/>
          <w:szCs w:val="17"/>
          <w:color w:val="auto"/>
        </w:rPr>
        <w:t xml:space="preserve">On August 29, 2018, the FASB issued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The new guidance reduces complexity for the accounting for costs of implementing a cloud computing service arrangement and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For public companies, the amendments in this ASU are effective for fiscal years, and interim periods within those fiscal years beginning after December 15, 2019. The effects of this standard on our financial position, results of operations or cash flows will not be material.</w:t>
      </w:r>
    </w:p>
    <w:p>
      <w:pPr>
        <w:spacing w:after="0" w:line="138" w:lineRule="exact"/>
        <w:rPr>
          <w:sz w:val="20"/>
          <w:szCs w:val="20"/>
          <w:color w:val="auto"/>
        </w:rPr>
      </w:pPr>
    </w:p>
    <w:p>
      <w:pPr>
        <w:jc w:val="both"/>
        <w:ind w:right="20" w:firstLine="761"/>
        <w:spacing w:after="0" w:line="290" w:lineRule="auto"/>
        <w:rPr>
          <w:sz w:val="20"/>
          <w:szCs w:val="20"/>
          <w:color w:val="auto"/>
        </w:rPr>
      </w:pPr>
      <w:r>
        <w:rPr>
          <w:rFonts w:ascii="Arial" w:cs="Arial" w:eastAsia="Arial" w:hAnsi="Arial"/>
          <w:sz w:val="16"/>
          <w:szCs w:val="16"/>
          <w:color w:val="auto"/>
        </w:rPr>
        <w:t>On June 30, 2016, the FASB issued ASU No. 2016-13, Financial Instruments-Credit Losses (Topic 326). This ASU represents a significant change in the Accounting for Credit Losses model by requiring The ASU introduced a new accounting model, the Current Expected Credit Losses model (CECL), which requires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This model replaces the multiple existing impairment models in current U.S. GAAP, which generally require that a loss be incurred before it is recognized. The new standard will also apply to financial assets arising from revenue transactions such as contract assets and accounts receivables and is effective for fiscal years beginning after December 15, 2019. Management has performed analysis and the new standard will not have a material impact on consolidated financial statements.</w:t>
      </w:r>
    </w:p>
    <w:p>
      <w:pPr>
        <w:spacing w:after="0" w:line="135"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TRANSFORMATION, FACILITY RESTRUCTURING AND SEVERANCE CHARGES</w:t>
      </w:r>
    </w:p>
    <w:p>
      <w:pPr>
        <w:spacing w:after="0" w:line="189" w:lineRule="exact"/>
        <w:rPr>
          <w:sz w:val="20"/>
          <w:szCs w:val="20"/>
          <w:color w:val="auto"/>
        </w:rPr>
      </w:pPr>
    </w:p>
    <w:p>
      <w:pPr>
        <w:jc w:val="both"/>
        <w:ind w:right="20" w:firstLine="761"/>
        <w:spacing w:after="0" w:line="255" w:lineRule="auto"/>
        <w:rPr>
          <w:sz w:val="20"/>
          <w:szCs w:val="20"/>
          <w:color w:val="auto"/>
        </w:rPr>
      </w:pPr>
      <w:r>
        <w:rPr>
          <w:rFonts w:ascii="Arial" w:cs="Arial" w:eastAsia="Arial" w:hAnsi="Arial"/>
          <w:sz w:val="18"/>
          <w:szCs w:val="18"/>
          <w:color w:val="auto"/>
        </w:rPr>
        <w:t>Due to the highly competitive nature of the Company’s business and the continuing losses incurred over the last few years, the Company continues to reduce its overall cost structure and workforce to better align the Company with current activity levels. The ongoing transformation plan, which began in the third quarter of 2019 and is expected to extend through the second quarter of 2020 (the “Transformation Plan”), includes a workforce reduction, organization restructuring, facility consolidations and other cost reduction measures and efficiency initiatives across the Company’s geographic regions. The Transformation Plan was initiated to reduce the Company’s overall cost structure and workforce to better align with current activity levels of oil and gas exploration and production.</w:t>
      </w:r>
    </w:p>
    <w:p>
      <w:pPr>
        <w:spacing w:after="0" w:line="153" w:lineRule="exact"/>
        <w:rPr>
          <w:sz w:val="20"/>
          <w:szCs w:val="20"/>
          <w:color w:val="auto"/>
        </w:rPr>
      </w:pPr>
    </w:p>
    <w:p>
      <w:pPr>
        <w:jc w:val="both"/>
        <w:ind w:right="20" w:firstLine="761"/>
        <w:spacing w:after="0" w:line="303" w:lineRule="auto"/>
        <w:rPr>
          <w:sz w:val="20"/>
          <w:szCs w:val="20"/>
          <w:color w:val="auto"/>
        </w:rPr>
      </w:pPr>
      <w:r>
        <w:rPr>
          <w:rFonts w:ascii="Arial" w:cs="Arial" w:eastAsia="Arial" w:hAnsi="Arial"/>
          <w:sz w:val="17"/>
          <w:szCs w:val="17"/>
          <w:color w:val="auto"/>
        </w:rPr>
        <w:t>In connection with the Transformation Plan, the Company recognized one-time restructuring charges of $3.3 million and $0.4 million during the third and fourth quarter of 2019. Year-to-date restructuring charges recorded were $3.7 million, which included severance charges of $3.4 million and other restructuring charges of $0.3 million. Other restructuring charges included contract termination costs, relocation and other associated costs.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restructuring charges year ended December 31, 2019,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United States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Africa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(primarily Gulf</w:t>
            </w:r>
          </w:p>
        </w:tc>
        <w:tc>
          <w:tcPr>
            <w:tcW w:w="4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(primarily</w:t>
            </w: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Middle East</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Latin</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(primarily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Mexico)</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West Africa)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and Asia</w:t>
            </w:r>
          </w:p>
        </w:tc>
        <w:tc>
          <w:tcPr>
            <w:tcW w:w="1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America</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North Sea)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Transformation Plan Charges</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Severance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3,379</w:t>
            </w:r>
          </w:p>
        </w:tc>
        <w:tc>
          <w:tcPr>
            <w:tcW w:w="20" w:type="dxa"/>
            <w:vAlign w:val="bottom"/>
          </w:tcPr>
          <w:p>
            <w:pPr>
              <w:spacing w:after="0"/>
              <w:rPr>
                <w:sz w:val="19"/>
                <w:szCs w:val="19"/>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r>
      <w:tr>
        <w:trPr>
          <w:trHeight w:val="223"/>
        </w:trPr>
        <w:tc>
          <w:tcPr>
            <w:tcW w:w="4460" w:type="dxa"/>
            <w:vAlign w:val="bottom"/>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94" w:name="page95"/>
    <w:bookmarkEnd w:id="94"/>
    <w:p>
      <w:pPr>
        <w:jc w:val="both"/>
        <w:ind w:firstLine="761"/>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in the following table (in thousands), and largely relate to liabilities accrued as part of the 2019 Transformation Plan that will be paid pursuant to the respective arrangements and statutory requirements.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United States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Africa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5"/>
              </w:rPr>
              <w:t>(primarily Gulf</w:t>
            </w:r>
          </w:p>
        </w:tc>
        <w:tc>
          <w:tcPr>
            <w:tcW w:w="22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(primarily</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Middle East</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Latin</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(primarily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of Mexico)</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West Africa)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and Asia</w:t>
            </w:r>
          </w:p>
        </w:tc>
        <w:tc>
          <w:tcPr>
            <w:tcW w:w="1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America</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North Sea)</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Transformation Plan</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Severance Liability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Liability</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500"/>
              <w:spacing w:after="0"/>
              <w:rPr>
                <w:sz w:val="20"/>
                <w:szCs w:val="20"/>
                <w:color w:val="auto"/>
              </w:rPr>
            </w:pPr>
            <w:r>
              <w:rPr>
                <w:rFonts w:ascii="Arial" w:cs="Arial" w:eastAsia="Arial" w:hAnsi="Arial"/>
                <w:sz w:val="18"/>
                <w:szCs w:val="18"/>
                <w:color w:val="auto"/>
              </w:rPr>
              <w:t>Total Liability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following table is a summary of the cumulative restructuring and reorganization cost incurred in operating charges and the estimated remaining restructuring and reorganization costs to be incurred as of December 31, 2019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One-time termination benefits</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3,379</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Professional and other</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62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restructuring and reorganization costs incurred and to be incurred</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3,718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3.</w:t>
            </w:r>
          </w:p>
        </w:tc>
        <w:tc>
          <w:tcPr>
            <w:tcW w:w="66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BUSINESS ACQUISITIONS</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vMerge w:val="continue"/>
          </w:tcPr>
          <w:p>
            <w:pPr>
              <w:spacing w:after="0"/>
              <w:rPr>
                <w:sz w:val="24"/>
                <w:szCs w:val="24"/>
                <w:color w:val="auto"/>
              </w:rPr>
            </w:pPr>
          </w:p>
        </w:tc>
        <w:tc>
          <w:tcPr>
            <w:tcW w:w="6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b w:val="1"/>
          <w:bCs w:val="1"/>
          <w:i w:val="1"/>
          <w:iCs w:val="1"/>
          <w:color w:val="auto"/>
        </w:rPr>
        <w:t>Falcon Global Holdings</w:t>
      </w:r>
      <w:r>
        <w:rPr>
          <w:rFonts w:ascii="Arial" w:cs="Arial" w:eastAsia="Arial" w:hAnsi="Arial"/>
          <w:sz w:val="17"/>
          <w:szCs w:val="17"/>
          <w:color w:val="auto"/>
        </w:rPr>
        <w:t>. On February 8, 2018, the Company acquired a 72% controlling interest in Falcon Global Holdings LLC (“FGH”), a joint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between the Company and Montco Offshore, LLC (“MOI”). The Company and MOI contributed certain liftboat vessels and other related assets to FGH and its designated subsidiaries and assumed certain operating liabilities and indebtedness associated with the liftboat vessels and related assets, including a previous joint venture ("Falcon Global International" or “FGI”) that owned and operated two liftboats. The transaction consolidated the 15 liftboat vessels operated by the Company and six liftboat vessels previously operated by MOI. The total capital contributed to FGH was approximately $112.5 million of which, $43.3 million was transferred from FGI, $18.8 million was contributed by MOI and recorded at fair value, with the remaining capital contributed by the Company. The Company performed a fair value analysis and the purchase price was allocated to the acquired assets and liabilities based on their fair values resulting in no goodwill being recorded.</w:t>
      </w:r>
    </w:p>
    <w:p>
      <w:pPr>
        <w:spacing w:after="0" w:line="15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Purchase Price Allocation. </w:t>
      </w:r>
      <w:r>
        <w:rPr>
          <w:rFonts w:ascii="Arial" w:cs="Arial" w:eastAsia="Arial" w:hAnsi="Arial"/>
          <w:sz w:val="18"/>
          <w:szCs w:val="18"/>
          <w:color w:val="auto"/>
        </w:rPr>
        <w:t>The allocation of the purchase price for the Company’s acquisitions for the years ended December 31 was as follows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Borders>
              <w:bottom w:val="single" w:sz="8" w:color="CFF0FC"/>
            </w:tcBorders>
          </w:tcPr>
          <w:p>
            <w:pPr>
              <w:spacing w:after="0"/>
              <w:rPr>
                <w:sz w:val="20"/>
                <w:szCs w:val="20"/>
                <w:color w:val="auto"/>
              </w:rPr>
            </w:pPr>
          </w:p>
        </w:tc>
        <w:tc>
          <w:tcPr>
            <w:tcW w:w="766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 and other receivables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30"/>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at Equity, and Advances to 50% or Less Owned Companies</w:t>
            </w: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140,257</w:t>
            </w:r>
          </w:p>
        </w:tc>
        <w:tc>
          <w:tcPr>
            <w:tcW w:w="100" w:type="dxa"/>
            <w:vAlign w:val="bottom"/>
          </w:tcPr>
          <w:p>
            <w:pPr>
              <w:spacing w:after="0"/>
              <w:rPr>
                <w:sz w:val="19"/>
                <w:szCs w:val="19"/>
                <w:color w:val="auto"/>
              </w:rPr>
            </w:pPr>
          </w:p>
        </w:tc>
      </w:tr>
      <w:tr>
        <w:trPr>
          <w:trHeight w:val="230"/>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(106,640)</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Minority Interest</w:t>
            </w: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(18,828)</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 xml:space="preserve">Purchase price </w:t>
            </w:r>
            <w:r>
              <w:rPr>
                <w:rFonts w:ascii="Arial" w:cs="Arial" w:eastAsia="Arial" w:hAnsi="Arial"/>
                <w:sz w:val="15"/>
                <w:szCs w:val="15"/>
                <w:color w:val="auto"/>
              </w:rPr>
              <w:t>(1)</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7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760" w:right="3800" w:hanging="752"/>
        <w:spacing w:after="0" w:line="253" w:lineRule="auto"/>
        <w:tabs>
          <w:tab w:leader="none" w:pos="755"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did not have any acquisitions requiring purchase price allocation for the year ended December 31, 2019. Purchase price in 2018 was used to pay MOI’s debtor-in-possession obligations.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ind w:left="760" w:hanging="752"/>
        <w:spacing w:after="0"/>
        <w:tabs>
          <w:tab w:leader="none" w:pos="7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ACQUISITIONS AND DISPOSITIONS</w:t>
      </w:r>
    </w:p>
    <w:p>
      <w:pPr>
        <w:spacing w:after="0" w:line="189"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Equipment Additions. </w:t>
      </w:r>
      <w:r>
        <w:rPr>
          <w:rFonts w:ascii="Arial" w:cs="Arial" w:eastAsia="Arial" w:hAnsi="Arial"/>
          <w:sz w:val="18"/>
          <w:szCs w:val="18"/>
          <w:color w:val="auto"/>
        </w:rPr>
        <w:t>The Company’s capital expenditures and payments on equipment were $55.5 million, $51.6 million, and $69.0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2018 and 2017, respectively. Deliveries of offshore support vessels for the years ended December 31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ind w:left="576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5"/>
                <w:szCs w:val="15"/>
                <w:b w:val="1"/>
                <w:bCs w:val="1"/>
                <w:color w:val="auto"/>
              </w:rPr>
              <w:t>(1)</w:t>
            </w:r>
          </w:p>
        </w:tc>
        <w:tc>
          <w:tcPr>
            <w:tcW w:w="2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FSV</w:t>
            </w:r>
          </w:p>
        </w:tc>
        <w:tc>
          <w:tcPr>
            <w:tcW w:w="14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Supply</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Liftboat</w:t>
            </w:r>
          </w:p>
        </w:tc>
        <w:tc>
          <w:tcPr>
            <w:tcW w:w="2100" w:type="dxa"/>
            <w:vAlign w:val="bottom"/>
            <w:gridSpan w:val="3"/>
            <w:shd w:val="clear" w:color="auto" w:fill="CFF0FC"/>
          </w:tcPr>
          <w:p>
            <w:pPr>
              <w:jc w:val="right"/>
              <w:ind w:right="16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CTV</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three FSVs purchased from managed entities, one crew transfer vessel sold upon completion and one ERRV purchased from a joint venture.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Equipment Dispositions.</w:t>
      </w:r>
    </w:p>
    <w:p>
      <w:pPr>
        <w:spacing w:after="0" w:line="18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For the year ended December 31, 2019, the Company completed the sale of its ERRV fleet business, which consisted of 18 vessels with a net book value of $23.4 million. The net proceeds from the sale of the ERRV fleet, including property and equipment, were approximately $27.4 million resulting in a net loss on dispositions of $9.1 million. Additional consideration of up to £4 million (equivalent to approximately $5.2 million based on the exchange rate at the time of the sale) may be payable to the Company based on revenue targets being achieved in 2020 and 2021.</w:t>
      </w:r>
    </w:p>
    <w:p>
      <w:pPr>
        <w:spacing w:after="0" w:line="144"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In addition to the sale of the North Sea ERRV fleet, for the year ended December 31, 2019, the Company sold five AHTS vessels, one specialty vessel previously retired and removed from service, seven FSVs, five PSVs, three liftboats, one CTV, one AHTS vessel, and other equipment and one vessel under construction for $59.4 million ($55.1 million cash and $4.3 million in cash deposits previously received) and gains of $6.6 million.</w:t>
      </w:r>
    </w:p>
    <w:p>
      <w:pPr>
        <w:spacing w:after="0" w:line="1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During the year ended December 31, 2018, the Company sold property and equipment for net proceeds of $17.4 million $17.3 million in cash and $0.1 million in cash deposits previously received) and recorded gains of $5.7 million, all of which were recognized at the time of sale. In addition, the Company received $4.4 million in deposits on future property and equipment sales.</w:t>
      </w:r>
    </w:p>
    <w:p>
      <w:pPr>
        <w:spacing w:after="0" w:line="141"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During the year ended December 31, 2017, the Company sold property and equipment for net proceeds of $10.9 million and gains of $3.9 million, all of which were recognized at the time of sale. In addition, the Company received $0.1 million in deposits on future property and equipment sales.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3"/>
          </w:tcPr>
          <w:p>
            <w:pPr>
              <w:ind w:left="760"/>
              <w:spacing w:after="0"/>
              <w:rPr>
                <w:sz w:val="20"/>
                <w:szCs w:val="20"/>
                <w:color w:val="auto"/>
              </w:rPr>
            </w:pPr>
            <w:r>
              <w:rPr>
                <w:rFonts w:ascii="Arial" w:cs="Arial" w:eastAsia="Arial" w:hAnsi="Arial"/>
                <w:sz w:val="18"/>
                <w:szCs w:val="18"/>
                <w:color w:val="auto"/>
                <w:w w:val="92"/>
              </w:rPr>
              <w:t>Major equipment dispositions for the years ended December 31 were as follows: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680" w:type="dxa"/>
            <w:vAlign w:val="bottom"/>
            <w:gridSpan w:val="3"/>
          </w:tcPr>
          <w:p>
            <w:pPr>
              <w:ind w:left="576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5"/>
                <w:szCs w:val="15"/>
                <w:b w:val="1"/>
                <w:bCs w:val="1"/>
                <w:color w:val="auto"/>
              </w:rPr>
              <w:t>(1)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ind w:right="57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5"/>
                <w:szCs w:val="15"/>
                <w:b w:val="1"/>
                <w:bCs w:val="1"/>
                <w:color w:val="auto"/>
              </w:rPr>
              <w:t>(2)</w:t>
            </w:r>
          </w:p>
        </w:tc>
        <w:tc>
          <w:tcPr>
            <w:tcW w:w="260" w:type="dxa"/>
            <w:vAlign w:val="bottom"/>
          </w:tcPr>
          <w:p>
            <w:pPr>
              <w:spacing w:after="0"/>
              <w:rPr>
                <w:sz w:val="24"/>
                <w:szCs w:val="24"/>
                <w:color w:val="auto"/>
              </w:rPr>
            </w:pPr>
          </w:p>
        </w:tc>
        <w:tc>
          <w:tcPr>
            <w:tcW w:w="1900" w:type="dxa"/>
            <w:vAlign w:val="bottom"/>
          </w:tcPr>
          <w:p>
            <w:pPr>
              <w:jc w:val="right"/>
              <w:ind w:right="57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5"/>
                <w:szCs w:val="15"/>
                <w:b w:val="1"/>
                <w:bCs w:val="1"/>
                <w:color w:val="auto"/>
              </w:rPr>
              <w:t>(3)</w:t>
            </w:r>
          </w:p>
        </w:tc>
        <w:tc>
          <w:tcPr>
            <w:tcW w:w="100" w:type="dxa"/>
            <w:vAlign w:val="bottom"/>
          </w:tcPr>
          <w:p>
            <w:pPr>
              <w:spacing w:after="0"/>
              <w:rPr>
                <w:sz w:val="24"/>
                <w:szCs w:val="24"/>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AHTS</w:t>
            </w:r>
          </w:p>
        </w:tc>
        <w:tc>
          <w:tcPr>
            <w:tcW w:w="1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rPr>
              <w:t>FSV</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Supply</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rPr>
              <w:t>Crew transfer</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Liftboats</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1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jc w:val="both"/>
        <w:ind w:left="760" w:hanging="752"/>
        <w:spacing w:after="0" w:line="238" w:lineRule="auto"/>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the sale of (i) 18 ERRV vessels from the sale of the Company North Sea Standby Safety business, (ii) one crew transfer vessel to the joint venture FRS Windcat Offshore Logistics, (iii) one FSV to the joint venture OVH, (iv) one FSV to a third party with the Company continuing to manage the vessel, (v) one ERRV from discontinued operations and (vi) six vessels that were previously removed from service (five AHTS vessels and one specialty vessel).</w:t>
      </w:r>
    </w:p>
    <w:p>
      <w:pPr>
        <w:spacing w:after="0" w:line="7" w:lineRule="exact"/>
        <w:rPr>
          <w:rFonts w:ascii="Arial" w:cs="Arial" w:eastAsia="Arial" w:hAnsi="Arial"/>
          <w:sz w:val="14"/>
          <w:szCs w:val="14"/>
          <w:color w:val="auto"/>
        </w:rPr>
      </w:pPr>
    </w:p>
    <w:p>
      <w:pPr>
        <w:ind w:left="760" w:hanging="752"/>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three ERRVs from discontinued operations</w:t>
      </w:r>
    </w:p>
    <w:p>
      <w:pPr>
        <w:spacing w:after="0" w:line="28" w:lineRule="exact"/>
        <w:rPr>
          <w:rFonts w:ascii="Arial" w:cs="Arial" w:eastAsia="Arial" w:hAnsi="Arial"/>
          <w:sz w:val="14"/>
          <w:szCs w:val="14"/>
          <w:color w:val="auto"/>
        </w:rPr>
      </w:pPr>
    </w:p>
    <w:p>
      <w:pPr>
        <w:ind w:left="760" w:hanging="752"/>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one ERRV from discontinued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ind w:left="760" w:hanging="752"/>
        <w:spacing w:after="0"/>
        <w:tabs>
          <w:tab w:leader="none" w:pos="7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AT EQUITY, AND ADVANCES TO 50% OR LESS OWNED COMPANIES</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Investments, at equity, and advances to 50% or less owned companies as of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CFF0FC"/>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Ownership</w:t>
            </w:r>
          </w:p>
        </w:tc>
        <w:tc>
          <w:tcPr>
            <w:tcW w:w="3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MexMar</w:t>
            </w:r>
          </w:p>
        </w:tc>
        <w:tc>
          <w:tcPr>
            <w:tcW w:w="2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53,840</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SEACOSCO</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28,002</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OSV Partners</w:t>
            </w:r>
          </w:p>
        </w:tc>
        <w:tc>
          <w:tcPr>
            <w:tcW w:w="2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SEACOR Marlin</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MEXMAR Offshore</w:t>
            </w:r>
            <w:r>
              <w:rPr>
                <w:rFonts w:ascii="Arial" w:cs="Arial" w:eastAsia="Arial" w:hAnsi="Arial"/>
                <w:sz w:val="15"/>
                <w:szCs w:val="15"/>
                <w:color w:val="auto"/>
              </w:rPr>
              <w:t>(1)</w:t>
            </w:r>
          </w:p>
        </w:tc>
        <w:tc>
          <w:tcPr>
            <w:tcW w:w="2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Dynamic Offshore Drilling</w:t>
            </w:r>
          </w:p>
        </w:tc>
        <w:tc>
          <w:tcPr>
            <w:tcW w:w="2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Nautical Power</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20.0% — 50.0%</w:t>
            </w: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105,221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121,773</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6"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This joint venture holds the investment in UP Offshore</w:t>
      </w:r>
    </w:p>
    <w:p>
      <w:pPr>
        <w:spacing w:after="0" w:line="19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Combined Condensed Financial Information of Other Investees. </w:t>
      </w:r>
      <w:r>
        <w:rPr>
          <w:rFonts w:ascii="Arial" w:cs="Arial" w:eastAsia="Arial" w:hAnsi="Arial"/>
          <w:sz w:val="18"/>
          <w:szCs w:val="18"/>
          <w:color w:val="auto"/>
        </w:rPr>
        <w:t>Summarized financial information of the Company’s other investees, at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and for the years ended December 31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4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108,238</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Noncurrent assets</w:t>
            </w:r>
          </w:p>
        </w:tc>
        <w:tc>
          <w:tcPr>
            <w:tcW w:w="3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618,745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567,628</w:t>
            </w: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106,742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59,912</w:t>
            </w: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338,836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325,700</w:t>
            </w:r>
          </w:p>
        </w:tc>
        <w:tc>
          <w:tcPr>
            <w:tcW w:w="120" w:type="dxa"/>
            <w:vAlign w:val="bottom"/>
          </w:tcPr>
          <w:p>
            <w:pPr>
              <w:spacing w:after="0"/>
              <w:rPr>
                <w:sz w:val="20"/>
                <w:szCs w:val="20"/>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142,327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109,636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Costs and Expenses:</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and administrative</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119,767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77,952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w:t>
            </w:r>
          </w:p>
        </w:tc>
        <w:tc>
          <w:tcPr>
            <w:tcW w:w="7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28,800</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26,443</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148,567</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104,395</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Asset Dispositions and Impairments, Net</w:t>
            </w:r>
          </w:p>
        </w:tc>
        <w:tc>
          <w:tcPr>
            <w:tcW w:w="7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(6,406)</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Net (Loss) Income(1)</w:t>
            </w:r>
          </w:p>
        </w:tc>
        <w:tc>
          <w:tcPr>
            <w:tcW w:w="12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(36,341)</w:t>
            </w: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(13,945)</w:t>
            </w: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As of December 31, 2019 and 2018, cumulative undistributed net earnings of all 50% or less owned companies included in the Company’s consolidated retained earnings were $16.1 million and $28.5 million, respectively.</w:t>
      </w:r>
    </w:p>
    <w:p>
      <w:pPr>
        <w:spacing w:after="0" w:line="13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b w:val="1"/>
          <w:bCs w:val="1"/>
          <w:i w:val="1"/>
          <w:iCs w:val="1"/>
          <w:color w:val="auto"/>
        </w:rPr>
        <w:t xml:space="preserve">MexMar. </w:t>
      </w:r>
      <w:r>
        <w:rPr>
          <w:rFonts w:ascii="Arial" w:cs="Arial" w:eastAsia="Arial" w:hAnsi="Arial"/>
          <w:sz w:val="18"/>
          <w:szCs w:val="18"/>
          <w:color w:val="auto"/>
        </w:rPr>
        <w:t>MexMar owns and operates 16 offshore support vessels in Mexico and manages 3 PSV’s and one FSV on behalf of OVH in Mexico.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2019, there were no returns of capital advances or distributions to shareholders. During the year ended December 31, 2018, MexMar returned previously provided capital advances of $9.8 million. During the years ended December 31, 2019, 2018 and 2017 the Company charged $0.3 million of vessel management fees to MexMar.</w:t>
      </w:r>
    </w:p>
    <w:p>
      <w:pPr>
        <w:spacing w:after="0" w:line="160"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 xml:space="preserve">SEACOSCO. </w:t>
      </w:r>
      <w:r>
        <w:rPr>
          <w:rFonts w:ascii="Arial" w:cs="Arial" w:eastAsia="Arial" w:hAnsi="Arial"/>
          <w:sz w:val="17"/>
          <w:szCs w:val="17"/>
          <w:color w:val="auto"/>
        </w:rPr>
        <w:t>On January 17, 2018, the Company announced the formation of SEACOSCO Offshore LLC (“SEACOSCO”), a Marshall Islands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entity jointly owned by the Company and China Shipping Fan Tai Limited (“CSFT”) and China Shipping Industry (Hong Kong) Co., Limited (“CSIHK”) each affiliates of COSCO SHIPPING GROUP (“COSCO SHIPPING”). The Company, through SEACOR Offshore Asia LLC, a wholly-owned subsidiary of the Company (“SEACOR Offshore Asia”), owns an unconsolidated 50% interest in SEACOSCO, and CSFT and CSIHK own the other 50% interest in SEACOSCO. SEACOSCO entered into contracts for the purchase of eight Rolls-Royce designed, new construction platform supply vessels (“PSVs”) from COSCO SHIPPING HEAVY INDUSTRY (GUANGDONG) CO., LTD (the “Shipyard”), an affiliate of COSCO SHIPPING for approximately $163.3 million, of which 70% will be financed by the Shipyard, and secured by the PSVs on a non-recourse basis to the Company. SEACOSCO took delivery of two vessels in 2018, five vessels in 2019 and expects to take delivery of the final vessel in the first half of 2020. For the year ended December 31, 2019, and year ended December 31, 2018, the Company contributed capital to SEACOSCO of $2.0 million and $29.6 million, respectively. As the ship manager, the Company is responsible for full commercial, operational, and technical management of the vessels on a worldwide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both"/>
        <w:ind w:firstLine="761"/>
        <w:spacing w:after="0" w:line="287" w:lineRule="auto"/>
        <w:rPr>
          <w:sz w:val="20"/>
          <w:szCs w:val="20"/>
          <w:color w:val="auto"/>
        </w:rPr>
      </w:pPr>
      <w:r>
        <w:rPr>
          <w:rFonts w:ascii="Arial" w:cs="Arial" w:eastAsia="Arial" w:hAnsi="Arial"/>
          <w:sz w:val="16"/>
          <w:szCs w:val="16"/>
          <w:color w:val="auto"/>
        </w:rPr>
        <w:t>Effective May 31, 2019, SEACOR Offshore Asia, CSFT, CSIHK and the Shipyard, the shipbuilder and lender under deferred payment agreements (“DPAs”) that are secured by the PSVs acquired by SEACOSCO, entered into a Memorandum of Understanding (“MOU”) pursuant to which (i) the Shipyard agreed to not take any action with respect to any existing defaults under the DPAs until August 31, 2019, (ii) SEACOR Offshore Asia was authorized to provide, in its sole discretion, shareholder loans to SEACOSCO and/or its subsidiaries, in an aggregate amount of $13.0 million, in respect of working capital or other payment obligations at an interest rate of 15% per annum and, subject to the priority of the indebtedness under the DPAs, the shareholder loans will have senior priority to any and all other debts of SEACOSCO and/or its subsidiaries, (“SEACOR Shareholder Loans”), (iii) the parties set out the non-binding principal terms and conditions for SEACOR Offshore Asia’s potential acquisition of the 50% interest in SEACOSCO owned by CSFT and CSIHK and (iv) in connection with such acquisition, SEACOR Offshore Asia or its nominee may acquire from the Shipyard two additional PSVs that had been under options held by SEACOSCO. As of December 31, 2019, the balance on the SEACOR Shareholder Loans is $13.0 million, which is the aggregate amount of Shareholder Loans provided, plus capitalized interest of $0.6 million. The Company, as ship manager, has also advanced $2.1 million to SEACOSCO in respect of receivables. As of December 31, 2019, SEACOSCO is in compliance with all debt covenants and is current in all payments. Management remains in discussions with the Shipyard, CSFT and CSIHK with respect to the other transactions contemplated by the MOU.</w:t>
      </w:r>
    </w:p>
    <w:p>
      <w:pPr>
        <w:spacing w:after="0" w:line="142"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b w:val="1"/>
          <w:bCs w:val="1"/>
          <w:i w:val="1"/>
          <w:iCs w:val="1"/>
          <w:color w:val="auto"/>
        </w:rPr>
        <w:t xml:space="preserve">OSV Partners. </w:t>
      </w:r>
      <w:r>
        <w:rPr>
          <w:rFonts w:ascii="Arial" w:cs="Arial" w:eastAsia="Arial" w:hAnsi="Arial"/>
          <w:sz w:val="17"/>
          <w:szCs w:val="17"/>
          <w:color w:val="auto"/>
        </w:rPr>
        <w:t>SEACOR OSV Partners GP LLC and SEACOR OSV Partners I LP (collectively “OSV Partners”) own and operate five offshore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vessels. On September 28, 2018, OSV Partners amended its term loan facility to, among other things, extend its maturity to September 28, 2021, and in connection therewith, the Company participated in a $5.0 million preferred equity offering by OSV Partners and subordinated loan in the amount of $5.0 million issued by OSV Partners, investing $1.1 million in such preferred equity (and committing to invest an additional $1.1 million in such preferred equity if called by the general partner of OSV Partners prior to September 30, 2020) and providing $2.1 million of such loan. On December 18, 2019, the general partner of OSV Partners called the remaining commitments of the Company and other limited partners and the Company satisfied its commitment with an additional $1.1 million investment in such preferred equity. The Company has no further commitments to OSV Partners. On December 23, 2019, OSV Partners further amended its term loan facility to, among other things, provide for interest-only payments during 2020 with the next principal payment due March 31, 2021. The lenders to OSV Partners have no recourse to the Company for outstanding amounts under the facility, and the Company is not obligated to participate in any future investment in or loan any money to OSV Partners. During the year ended December 31, 2017, the Company participated in a $6.0 million preferred equity offering of OSV Partners and invested $2.3 million in support of the venture. For the year ended December 31, 2019, vessel management fees were abated and not charged. For the years ended December 31, 2018 and 2017, the Company received $0.6 million, of vessel management fees from OSV Partners for each year.</w:t>
      </w:r>
    </w:p>
    <w:p>
      <w:pPr>
        <w:spacing w:after="0" w:line="147"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b w:val="1"/>
          <w:bCs w:val="1"/>
          <w:i w:val="1"/>
          <w:iCs w:val="1"/>
          <w:color w:val="auto"/>
        </w:rPr>
        <w:t xml:space="preserve">SEACOR Marlin. </w:t>
      </w:r>
      <w:r>
        <w:rPr>
          <w:rFonts w:ascii="Arial" w:cs="Arial" w:eastAsia="Arial" w:hAnsi="Arial"/>
          <w:sz w:val="17"/>
          <w:szCs w:val="17"/>
          <w:color w:val="auto"/>
        </w:rPr>
        <w:t>SEACOR Marlin LLC (“SMLLC”) own and operate Seacor Marlin supply vessel. On September 13, 2018, the Company sold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51% of SMLLC to MOMI, a wholly-owned subsidiary of MexMar, for $8.0 million in cash, which generated a gain of $0.4 million. The Seacor Marlin supply vessel was pledged as collateral under the MexMar credit facility, for which the Company receives an annual collateral fee.</w:t>
      </w:r>
    </w:p>
    <w:p>
      <w:pPr>
        <w:spacing w:after="0" w:line="1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MEXMAR Offshore. </w:t>
      </w:r>
      <w:r>
        <w:rPr>
          <w:rFonts w:ascii="Arial" w:cs="Arial" w:eastAsia="Arial" w:hAnsi="Arial"/>
          <w:sz w:val="18"/>
          <w:szCs w:val="18"/>
          <w:color w:val="auto"/>
        </w:rPr>
        <w:t>On December 20, 2018, UP Offshore (Bahamas) Ltds (“UP Offshore”), a provider of offshore support vessel services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industry in Brazil, was acquired by MEXMAR Offshore, a new joint venture company that is 49% owned by the Company, and 51% owned by a subsidiary of CME. MEXMAR Offshore acquired UP Offshore for nominal consideration, re-financed its existing debt to fund capital expenditures on two vessels and a $10.0 million loan to fund new working capital requirements. As of December 31, 2019, UP Offshore’s 13 vessel fleet, 10 vessels were located and registered in Brazil and two were located and registered in Mexico. During the year ended December 31, 2019, UP Offshore sold one PSV to a third party and repositioned three PSV’s to Mexico.</w:t>
      </w:r>
    </w:p>
    <w:p>
      <w:pPr>
        <w:spacing w:after="0" w:line="16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b w:val="1"/>
          <w:bCs w:val="1"/>
          <w:i w:val="1"/>
          <w:iCs w:val="1"/>
          <w:color w:val="auto"/>
        </w:rPr>
        <w:t xml:space="preserve">Offshore Vessel Holdings. </w:t>
      </w:r>
      <w:r>
        <w:rPr>
          <w:rFonts w:ascii="Arial" w:cs="Arial" w:eastAsia="Arial" w:hAnsi="Arial"/>
          <w:sz w:val="18"/>
          <w:szCs w:val="18"/>
          <w:color w:val="auto"/>
        </w:rPr>
        <w:t>On December 28, 2018, the Company invested $4.9 million for a 49% interest in Offshore Vessel Holdings SAPI 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CV (“OVH”), the remaining 51% is owned by a subsidiary of CME. OVH invests in offshore assets and charters marine equipment. During the year ended December 31, 2019 OVH loaned $10.0 million to Operadora Productura Mexsicana, a drilling company in Mexico which owns and operates two jackup drilling rigs (“OPM”), chartered in three PSV’s from UP Offshore and purchased one FSV from the Company for $2.4 million through a seller’s finance agreement.</w:t>
      </w:r>
    </w:p>
    <w:p>
      <w:pPr>
        <w:spacing w:after="0" w:line="148"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7"/>
          <w:szCs w:val="17"/>
          <w:b w:val="1"/>
          <w:bCs w:val="1"/>
          <w:i w:val="1"/>
          <w:iCs w:val="1"/>
          <w:color w:val="auto"/>
        </w:rPr>
        <w:t xml:space="preserve">Dynamic Offshore Drilling. </w:t>
      </w:r>
      <w:r>
        <w:rPr>
          <w:rFonts w:ascii="Arial" w:cs="Arial" w:eastAsia="Arial" w:hAnsi="Arial"/>
          <w:sz w:val="17"/>
          <w:szCs w:val="17"/>
          <w:color w:val="auto"/>
        </w:rPr>
        <w:t>Dynamic Offshore Drilling Ltd. (“Dynamic Offshore Drilling”) was established to construct and operate a jack-up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drilling rig that was delivered in the first quarter of 2013. During the year ended December 31, 2017, the Company recognized an impairment charge of $8.3 million, net of tax, for an-other-than-temporary decline in the fair value of its equity investment upon Dynamic Offshore Drilling’s unsuccessful bid on a charter renewal with a customer. During the year ended December 31, 2018, the Company recognized equity losses in Dynamic Offshore Drilling of $2.0 million. During 2019, the Company recorded additional losses of $2.3 million which lowered the investment value to zero.</w:t>
      </w:r>
    </w:p>
    <w:p>
      <w:pPr>
        <w:spacing w:after="0" w:line="12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Nautical Power. </w:t>
      </w:r>
      <w:r>
        <w:rPr>
          <w:rFonts w:ascii="Arial" w:cs="Arial" w:eastAsia="Arial" w:hAnsi="Arial"/>
          <w:sz w:val="18"/>
          <w:szCs w:val="18"/>
          <w:color w:val="auto"/>
        </w:rPr>
        <w:t>During the quarter ended September 30, 2018, the joint venture repaid the Company’s $6.4 million investment in Nautical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(“Nautical Power”) in cash.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8" w:name="page99"/>
    <w:bookmarkEnd w:id="98"/>
    <w:p>
      <w:pPr>
        <w:jc w:val="both"/>
        <w:ind w:firstLine="761"/>
        <w:spacing w:after="0" w:line="284" w:lineRule="auto"/>
        <w:rPr>
          <w:sz w:val="20"/>
          <w:szCs w:val="20"/>
          <w:color w:val="auto"/>
        </w:rPr>
      </w:pPr>
      <w:r>
        <w:rPr>
          <w:rFonts w:ascii="Arial" w:cs="Arial" w:eastAsia="Arial" w:hAnsi="Arial"/>
          <w:sz w:val="17"/>
          <w:szCs w:val="17"/>
          <w:b w:val="1"/>
          <w:bCs w:val="1"/>
          <w:i w:val="1"/>
          <w:iCs w:val="1"/>
          <w:color w:val="auto"/>
        </w:rPr>
        <w:t xml:space="preserve">Falcon Global. </w:t>
      </w:r>
      <w:r>
        <w:rPr>
          <w:rFonts w:ascii="Arial" w:cs="Arial" w:eastAsia="Arial" w:hAnsi="Arial"/>
          <w:sz w:val="17"/>
          <w:szCs w:val="17"/>
          <w:color w:val="auto"/>
        </w:rPr>
        <w:t>Falcon Global was formed to construct and operate two foreign-flag liftboats. During the three months ended March 31, 2017,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its partner each contributed additional capital of $0.4 million, and the Company made working capital advances of $2.0 million to Falcon Global. In March 2017, the Company’s partner declined to participate in a capital call from Falcon Global and, as a consequence, the Company obtained 100% voting control of Falcon Global in accordance with the terms of the operating agreement. On February 8, 2018, 100% of the equity interests of Falcon Global were contributed to FGH and its designated subsidiaries as part of the formation of the FGH joint venture.</w:t>
      </w:r>
    </w:p>
    <w:p>
      <w:pPr>
        <w:spacing w:after="0" w:line="167"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b w:val="1"/>
          <w:bCs w:val="1"/>
          <w:i w:val="1"/>
          <w:iCs w:val="1"/>
          <w:color w:val="auto"/>
        </w:rPr>
        <w:t xml:space="preserve">Sea-Cat Crewzer II. </w:t>
      </w:r>
      <w:r>
        <w:rPr>
          <w:rFonts w:ascii="Arial" w:cs="Arial" w:eastAsia="Arial" w:hAnsi="Arial"/>
          <w:sz w:val="17"/>
          <w:szCs w:val="17"/>
          <w:color w:val="auto"/>
        </w:rPr>
        <w:t>Sea-Cat Crewzer II owns and operates two high-speed offshore catamarans. On April 28, 2017, the Company acquired a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controlling interest in Sea-Cat Crewzer II through the acquisition of its partners’ 50% ownership interest for $11.3 million in cash.</w:t>
      </w:r>
    </w:p>
    <w:p>
      <w:pPr>
        <w:spacing w:after="0" w:line="12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Sea-Cat Crewzer. </w:t>
      </w:r>
      <w:r>
        <w:rPr>
          <w:rFonts w:ascii="Arial" w:cs="Arial" w:eastAsia="Arial" w:hAnsi="Arial"/>
          <w:sz w:val="18"/>
          <w:szCs w:val="18"/>
          <w:color w:val="auto"/>
        </w:rPr>
        <w:t>Sea-Cat Crewzer owns and operates two high-speed offshore catamarans. On April 28, 2017, the Company acquired a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controlling interest in Sea-Cat Crewzer through the acquisition of its partners’ 50% ownership interest for $4.4 million in cash.</w:t>
      </w:r>
    </w:p>
    <w:p>
      <w:pPr>
        <w:spacing w:after="0" w:line="130"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The Company’s other 50% or less owned companies own and operate five vessels. During the year ended December 31, 2019,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dividends of $2.1 million and $0.5 million of return capital from these 50% or less owned companies. During the year ended December 31, 2018, the Company recognized impairment charges of $1.2 million, net of tax, to reduce its investment carrying value in a certain 50% or less owned company to zero. During the year ended December 31, 2017, the Company received dividends of $2.6 million, made capital contributions and advances of $0.8 million and received repayments on advances of $0.2 million with these 50% or less owned companies. In addition, during the year ended December 31, 2017, the Company recognized impairment charges of $0.5 million, net of tax, for an other-than-temporary decline in the fair value of its investment in a certain 50% or less owned company. During the years ended December 31, 2019, the Company received less than $0.1 million of vessel management fees from these 50% or less owned companies. In the years ended December 31, 2018 and 2017, the Company received $0.3 million, and $0.7 million, respectively.</w:t>
      </w:r>
    </w:p>
    <w:p>
      <w:pPr>
        <w:spacing w:after="0" w:line="122"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RESERVE FUNDS</w:t>
      </w:r>
    </w:p>
    <w:p>
      <w:pPr>
        <w:spacing w:after="0" w:line="189"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The Company has established, pursuant to Section 511 of the Merchant Marine Act, 1936, as amended, construction reserve fund accounts subject to agreements with the Maritime Administration. In accordance with this statute, the Company is permitted to deposit proceeds from the sale of certain vessels into the construction reserve fund accounts and defer the taxable gains realized from the sale of those vessels. Qualified withdrawals from the construction reserve fund accounts are only permitted for the purpose of acquiring qualified U.S.-flag vessels as defined in the statute and approved by the Maritime Administration. To the extent that sales proceeds are reinvested in replacement vessels, the carryover depreciable tax basis of the vessels originally sold is attributed to the U.S.-flag vessels acquired using such qualified withdrawals. The construction reserve funds must be committed for expenditure within three years of the date of sale of the equipment, subject to two one-year extensions that can be granted at the discretion of the Maritime Administration or be released for the Company’s general use as nonqualified withdrawals. For nonqualified withdrawals, the Company is obligated to pay taxes on the previously deferred gains at the prevailing statutory tax rate plus penalties and interest thereon for the period such taxes were deferred.</w:t>
      </w:r>
    </w:p>
    <w:p>
      <w:pPr>
        <w:spacing w:after="0" w:line="14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of December 31, 2019, 2018 and 2017, the Company’s construction reserve funds are classified as non-current assets in the accompanying consolidated balance sheets as the Company has the intent and ability to use the funds to acquire equipment. Construction reserve fund transactions for the years ended December 31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CFF0FC"/>
            </w:tcBorders>
          </w:tcPr>
          <w:p>
            <w:pPr>
              <w:spacing w:after="0"/>
              <w:rPr>
                <w:sz w:val="20"/>
                <w:szCs w:val="20"/>
                <w:color w:val="auto"/>
              </w:rPr>
            </w:pPr>
          </w:p>
        </w:tc>
        <w:tc>
          <w:tcPr>
            <w:tcW w:w="29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Withdrawals</w:t>
            </w:r>
          </w:p>
        </w:tc>
        <w:tc>
          <w:tcPr>
            <w:tcW w:w="29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(39,163)</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Deposits</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29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 xml:space="preserve">On February 25, 2016, the FASB issued a comprehensive new leasing standard,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meant to improve transparency and comparability among companies by requiring lessees to recognize a lease liability and a corresponding lease asset for virtually all lease contracts. It also requires additional disclosures about leasing arrangements. The Company adopted the standard on January 1, 2019 and applied the transition provisions of the standard with recognition of a cumulative-effect adjustment to the opening balance of retained earnings. The adoption of the standard had a material impact on the Company’s consolidated financial position, results of operations and cash flows. The adjustment to the Company’s balance sheet on January 1, 2019 included the addition of $33.7 million of right-of-use assets, $31.9 million in lease liability, and a cumulative-effect adjustment to the opening balance of retained earnings of $1.7 million for certain of its equipment, office and land leases. In addition, unamortized deferred gains for four vessels previously accounted for under sale-leaseback arrangements of $8.7 million, ($11.0 million deferred gains net of $2.3 million deferred taxes), were fully recognized as an adjustment to the opening balance of retained earnings</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As of December 31, 2019, the Company leases in three AHTS vessels, two liftboats, one FSV and certain facilities and other equipment. The leases typically contain purchase and renewal options or rights of first refusal with respect to the sale or lease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8"/>
          <w:szCs w:val="18"/>
          <w:color w:val="auto"/>
        </w:rPr>
        <w:t>equipment. As of December 31, 2019, the remaining lease terms of the vessels have remaining durations from 11 to 23 months. The lease terms of the other equipment range in duration from one to 324 months.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2019, future minimum payments for operating leases for the years ended December 31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Years subsequent to 2024</w:t>
            </w:r>
          </w:p>
        </w:tc>
        <w:tc>
          <w:tcPr>
            <w:tcW w:w="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360" w:type="dxa"/>
            <w:vAlign w:val="bottom"/>
          </w:tcPr>
          <w:p>
            <w:pPr>
              <w:spacing w:after="0"/>
              <w:rPr>
                <w:sz w:val="20"/>
                <w:szCs w:val="20"/>
                <w:color w:val="auto"/>
              </w:rPr>
            </w:pPr>
            <w:r>
              <w:rPr>
                <w:rFonts w:ascii="Arial" w:cs="Arial" w:eastAsia="Arial" w:hAnsi="Arial"/>
                <w:sz w:val="16"/>
                <w:szCs w:val="16"/>
                <w:color w:val="auto"/>
              </w:rPr>
              <w:t>Interest component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13"/>
        </w:trPr>
        <w:tc>
          <w:tcPr>
            <w:tcW w:w="93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24,921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operating lease liabilities</w:t>
            </w:r>
          </w:p>
        </w:tc>
        <w:tc>
          <w:tcPr>
            <w:tcW w:w="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15,099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tcBorders>
              <w:top w:val="single" w:sz="8" w:color="CFF0FC"/>
              <w:bottom w:val="single" w:sz="8" w:color="CFF0FC"/>
            </w:tcBorders>
            <w:vMerge w:val="restart"/>
          </w:tcPr>
          <w:p>
            <w:pPr>
              <w:ind w:left="760"/>
              <w:spacing w:after="0"/>
              <w:rPr>
                <w:sz w:val="20"/>
                <w:szCs w:val="20"/>
                <w:color w:val="auto"/>
              </w:rPr>
            </w:pPr>
            <w:r>
              <w:rPr>
                <w:rFonts w:ascii="Arial" w:cs="Arial" w:eastAsia="Arial" w:hAnsi="Arial"/>
                <w:sz w:val="18"/>
                <w:szCs w:val="18"/>
                <w:color w:val="auto"/>
              </w:rPr>
              <w:t>For the year ended December 31, 2019, the components of lease expense were as follows (in thousands):</w:t>
            </w: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9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expense</w:t>
            </w: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13,639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Short-term lease expense (lease duration of twelve months or less at lease commencement)</w:t>
            </w:r>
          </w:p>
        </w:tc>
        <w:tc>
          <w:tcPr>
            <w:tcW w:w="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16,158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1420" w:type="dxa"/>
            <w:vAlign w:val="bottom"/>
            <w:gridSpan w:val="6"/>
          </w:tcPr>
          <w:p>
            <w:pPr>
              <w:ind w:left="760"/>
              <w:spacing w:after="0"/>
              <w:rPr>
                <w:sz w:val="20"/>
                <w:szCs w:val="20"/>
                <w:color w:val="auto"/>
              </w:rPr>
            </w:pPr>
            <w:r>
              <w:rPr>
                <w:rFonts w:ascii="Arial" w:cs="Arial" w:eastAsia="Arial" w:hAnsi="Arial"/>
                <w:sz w:val="18"/>
                <w:szCs w:val="18"/>
                <w:color w:val="auto"/>
                <w:w w:val="90"/>
              </w:rPr>
              <w:t>For the year ended December 31, 2019, other information related to operating leases were as follows (in thousands except weighted average data):</w:t>
            </w:r>
          </w:p>
        </w:tc>
        <w:tc>
          <w:tcPr>
            <w:tcW w:w="0" w:type="dxa"/>
            <w:vAlign w:val="bottom"/>
          </w:tcPr>
          <w:p>
            <w:pPr>
              <w:spacing w:after="0"/>
              <w:rPr>
                <w:sz w:val="1"/>
                <w:szCs w:val="1"/>
                <w:color w:val="auto"/>
              </w:rPr>
            </w:pPr>
          </w:p>
        </w:tc>
      </w:tr>
      <w:tr>
        <w:trPr>
          <w:trHeight w:val="459"/>
        </w:trPr>
        <w:tc>
          <w:tcPr>
            <w:tcW w:w="936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460" w:type="dxa"/>
            <w:vAlign w:val="bottom"/>
            <w:gridSpan w:val="2"/>
            <w:shd w:val="clear" w:color="auto" w:fill="CFF0FC"/>
          </w:tcPr>
          <w:p>
            <w:pPr>
              <w:jc w:val="right"/>
              <w:ind w:right="299"/>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36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460" w:type="dxa"/>
            <w:vAlign w:val="bottom"/>
            <w:gridSpan w:val="2"/>
          </w:tcPr>
          <w:p>
            <w:pPr>
              <w:jc w:val="right"/>
              <w:ind w:right="299"/>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35,246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761"/>
        <w:spacing w:after="0" w:line="265" w:lineRule="auto"/>
        <w:rPr>
          <w:sz w:val="20"/>
          <w:szCs w:val="20"/>
          <w:color w:val="auto"/>
        </w:rPr>
      </w:pPr>
      <w:r>
        <w:rPr>
          <w:rFonts w:ascii="Arial" w:cs="Arial" w:eastAsia="Arial" w:hAnsi="Arial"/>
          <w:sz w:val="18"/>
          <w:szCs w:val="18"/>
          <w:color w:val="auto"/>
        </w:rPr>
        <w:t>The Company performed an impairment analysis and determined that some of the leased offshore support vessels are impaired due to an operating or cash flow loss currently and in the forecasted future. The Company recorded impairment losses of $5.3 million for one such lease for the year ended December 31, 2019 and $6.8 million for three such leases for the year ended December 31, 2018. A liability was recorded to reflect the amount of future lease payments, expenses required to maintain the vessels, and expenses required to return the vessels to their owners at the end of the lease term, offset by unamortized deferred gain on the sale-leaseback of the vessels.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0" w:name="page101"/>
    <w:bookmarkEnd w:id="100"/>
    <w:p>
      <w:pPr>
        <w:ind w:left="760" w:hanging="752"/>
        <w:spacing w:after="0"/>
        <w:tabs>
          <w:tab w:leader="none" w:pos="7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Company’s long-term debt obligations as of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20" w:type="dxa"/>
            <w:vAlign w:val="bottom"/>
            <w:tcBorders>
              <w:bottom w:val="single" w:sz="8" w:color="CFF0FC"/>
            </w:tcBorders>
          </w:tcPr>
          <w:p>
            <w:pPr>
              <w:spacing w:after="0"/>
              <w:rPr>
                <w:sz w:val="20"/>
                <w:szCs w:val="20"/>
                <w:color w:val="auto"/>
              </w:rPr>
            </w:pPr>
          </w:p>
        </w:tc>
        <w:tc>
          <w:tcPr>
            <w:tcW w:w="2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SEACOR Marine Foreign Holdings Loan Facility</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113,750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126,750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Falcon Global USA Term Loan Facility</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102,349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Sea-Cat Crewzer III Term Loan Facility</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24,128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Windcat Workboats Facilities</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Falcon Global USA Revolver</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SEACOR 88/888 Term Loan</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SEACOR Alps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10,534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BNDES Equipment Construction Finance Notes</w:t>
            </w:r>
          </w:p>
        </w:tc>
        <w:tc>
          <w:tcPr>
            <w:tcW w:w="2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429,823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442,972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Portion due within one year</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(17,802)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Debt discount</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(26,343)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Issue costs</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(5,427)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380,251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580" w:type="dxa"/>
            <w:vAlign w:val="bottom"/>
            <w:gridSpan w:val="6"/>
          </w:tcPr>
          <w:p>
            <w:pPr>
              <w:jc w:val="right"/>
              <w:ind w:right="240"/>
              <w:spacing w:after="0"/>
              <w:rPr>
                <w:sz w:val="20"/>
                <w:szCs w:val="20"/>
                <w:color w:val="auto"/>
              </w:rPr>
            </w:pPr>
            <w:r>
              <w:rPr>
                <w:rFonts w:ascii="Arial" w:cs="Arial" w:eastAsia="Arial" w:hAnsi="Arial"/>
                <w:sz w:val="18"/>
                <w:szCs w:val="18"/>
                <w:color w:val="auto"/>
                <w:w w:val="98"/>
              </w:rPr>
              <w:t>The Company’s contractual long-term debt maturities for the years ended December 31 were as follows (in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2021</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2023</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Years subsequent to 2024</w:t>
            </w:r>
          </w:p>
        </w:tc>
        <w:tc>
          <w:tcPr>
            <w:tcW w:w="21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429,823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2019, the Company is in compliance with all debt covenants and lender requirements.</w:t>
      </w:r>
    </w:p>
    <w:p>
      <w:pPr>
        <w:spacing w:after="0" w:line="185"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b w:val="1"/>
          <w:bCs w:val="1"/>
          <w:i w:val="1"/>
          <w:iCs w:val="1"/>
          <w:color w:val="auto"/>
        </w:rPr>
        <w:t xml:space="preserve">SEACOR ALPS </w:t>
      </w:r>
      <w:r>
        <w:rPr>
          <w:rFonts w:ascii="Arial" w:cs="Arial" w:eastAsia="Arial" w:hAnsi="Arial"/>
          <w:sz w:val="16"/>
          <w:szCs w:val="16"/>
          <w:color w:val="auto"/>
        </w:rPr>
        <w:t>On September 30, 2019, the Company took possession of the SEACOR Alps, a Rolls Royce UT771CDL designed diesel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powered PSV of 3,800 tons deadweight capacity with dynamic position class 2 and firefighting class 1 notations. As part of this transaction, the shipbuilder financed 70% of the total purchase price pursuant to a deferred payment agreement. This loan bears interest at 5% and is due and payable in 2023.</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SEACOR Marine Foreign Holdings</w:t>
      </w:r>
      <w:r>
        <w:rPr>
          <w:rFonts w:ascii="Arial" w:cs="Arial" w:eastAsia="Arial" w:hAnsi="Arial"/>
          <w:sz w:val="18"/>
          <w:szCs w:val="18"/>
          <w:color w:val="auto"/>
        </w:rPr>
        <w:t>.</w:t>
      </w:r>
    </w:p>
    <w:p>
      <w:pPr>
        <w:spacing w:after="0" w:line="198"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On September 26, 2018, SEACOR Marine Foreign Holdings Inc. (“SMFH”), a wholly-owned subsidiary of the Company, entered into a $130.0 million loan facility with a syndicate of lenders administered by DNB Bank ASA (the “SMFH Loan Facility”). Subject to Amendment No. 1 and Amendment No. 2 described below, SMFH’s obligations pursuant to the SMFH Loan Facility were initially secured by mortgages on 20 vessels owned by the Company’s vessel owning subsidiaries as well as an assignment of earnings from those subsidiaries. The loan matures in 2023 and bears interest at a variable rate based on LIBOR (currently 5.875%). The obligations of SMFH under the SMFH Loan Facility are guaranteed by SEACOR Marine (the “SMFH Loan Facility Guaranty”). The proceeds from the SMFH Loan Facility were used to pay off all obligations under other credit facilities of subsidiaries of the Company (Falcon Global International Term Loan Facility, Sea-Cat Crewzer II Term Loan Facility, Sea-Cat Crewzer Term Loan Facility and C-Lift Acquisition Notes totaling $101.3 million, consisting of $99.9 million principal and $1.4 million accrued interest), resulting in a net increase in term debt of $30.1 million. Principal payments of $3.3 million per quarter under the SMFH Loan Facility began in December 2018. As a result of this transaction, the Company recognized a loss of $0.6 million upon the extinguishment of debt. In October 2018, the Company entered into an interest rate swap agreement on the notional value at inception of $65.0 million related to this debt. The SMFH Loan Facility provides for customary events of default and has customary affirmative and negative covenants for transactions of this type that are applicable to SEACOR Marine, SMFH and its subsidiaries.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both"/>
        <w:ind w:firstLine="761"/>
        <w:spacing w:after="0" w:line="270" w:lineRule="auto"/>
        <w:rPr>
          <w:sz w:val="20"/>
          <w:szCs w:val="20"/>
          <w:color w:val="auto"/>
        </w:rPr>
      </w:pPr>
      <w:r>
        <w:rPr>
          <w:rFonts w:ascii="Arial" w:cs="Arial" w:eastAsia="Arial" w:hAnsi="Arial"/>
          <w:sz w:val="17"/>
          <w:szCs w:val="17"/>
          <w:color w:val="auto"/>
        </w:rPr>
        <w:t>On August 6, 2019, SEACOR Marine, SMFH, and certain vessel-owning subsidiaries of SEACOR Marine, entered into Amendment No. 1 to the SMFH Loan Facility and SMFH Loan Facility Guaranty (the “Amendment No. 1”), which provided for, among other things, (i) the release of one vessel from a mortgage securing the SMFH Loan Facility and the substitution of mortgages over two other vessels owned by vessel-owning subsidiaries of SEACOR Marine, and (ii) the modification of certain financial maintenance and restrictive covenants contained in the SMFH Loan Facility or the SMFH Loan Facility Guaranty, including with respect to asset maintenance, vessel collateral releases, EBTIDA coverage ratios and the payment of dividends and distributions. On November 26, 2019, SEACOR Marine, SMFH, and certain vessel-owning subsidiaries of SEACOR Marine, entered into Amendment No. 2 to the SMFH Loan Facility, as amended by Amendment No. 1 (the “Amendment No. 2”), which provided for, among other things, (i) the release of six vessels from mortgages securing the Credit Facility and the substitution of mortgages over three other vessels owned by vessel-owning subsidiaries of SEACOR Marine and (ii) the bareboat registration in Nigeria of a vessel subject to a mortgage securing the Credit Facility.</w:t>
      </w:r>
    </w:p>
    <w:p>
      <w:pPr>
        <w:spacing w:after="0" w:line="155"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b w:val="1"/>
          <w:bCs w:val="1"/>
          <w:i w:val="1"/>
          <w:iCs w:val="1"/>
          <w:color w:val="auto"/>
        </w:rPr>
        <w:t xml:space="preserve">OSV Partners. </w:t>
      </w:r>
      <w:r>
        <w:rPr>
          <w:rFonts w:ascii="Arial" w:cs="Arial" w:eastAsia="Arial" w:hAnsi="Arial"/>
          <w:sz w:val="16"/>
          <w:szCs w:val="16"/>
          <w:color w:val="auto"/>
        </w:rPr>
        <w:t>SEACOR OSV Partners GP LLC and SEACOR OSV Partners I LP (collectively “OSV Partners”) own and operate five offshore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vessels. On September 28, 2018, OSV Partners amended its term loan facility to, among other things, extend its maturity to September 28, 2021, and in connection therewith, the Company participated in a $5.0 million preferred equity offering by OSV Partners and subordinated loan in the amount of $5.0 million issued by OSV Partners, investing $1.1 million in such preferred equity (and committing to invest an additional $1.1 million in such preferred equity if called by the general partner of OSV Partners prior to September 30, 2020) and providing $2.1 million of such loan. On December 18, 2019, the general partner of OSV Partners called the remaining commitments of the Company and other limited partners and the Company satisfied its commitment with an additional $1.1 million investment in such preferred equity. The Company has no further commitments to OSV Partners. On December 23, 2019, OSV Partners further amended its term loan facility to, among other things, provide for interest-only payments during 2020 with the next principal payment due March 31, 2021. The lenders to OSV Partners have no recourse to the Company for outstanding amounts under the facility, and the Company is not obligated to participate in any future investment in or loan any money to OSV Partners. During the year ended December 31, 2017, the Company participated in a $6.0 million preferred equity offering of OSV Partners and invested $2.3 million in support of the venture.</w:t>
      </w:r>
    </w:p>
    <w:p>
      <w:pPr>
        <w:spacing w:after="0" w:line="132"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No management fees were charged to OSV Partners for the year ended December 31, 2019, as management fees were abated. For the years ended December 31, 2018 and 2017, the Company received $0.6 million, of vessel management fees from OSV Partners for each year.</w:t>
      </w:r>
    </w:p>
    <w:p>
      <w:pPr>
        <w:spacing w:after="0" w:line="10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Convertible Senior Notes. </w:t>
      </w:r>
      <w:r>
        <w:rPr>
          <w:rFonts w:ascii="Arial" w:cs="Arial" w:eastAsia="Arial" w:hAnsi="Arial"/>
          <w:sz w:val="18"/>
          <w:szCs w:val="18"/>
          <w:color w:val="auto"/>
        </w:rPr>
        <w:t>On December 1, 2015, the Company issued $175.0 million in aggregate principal amount of its Convertible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(the “Convertible Senior Notes”), at an interest rate of 3.75%, initially due December 1, 2022, (subsequently amended to December 2, 2023 as described below) to investment funds managed and controlled by the Carlyle Group (collectively “Carlyle”). The Convertible Senior Notes are convertible into shares of 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 The indenture governing the Convertible Senior Notes contains customary events of default with respect to the Convertible Senior Notes.</w:t>
      </w:r>
    </w:p>
    <w:p>
      <w:pPr>
        <w:spacing w:after="0" w:line="16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Upon completion of the Spin-off, the Company bifurcated the embedded conversion option liability of $27.3 million from the Convertible Senior Notes and recorded an additional debt discount (see Notes 10 and 11). The adjusted unamortized debt discount and issue costs are being amortized as additional non-cash interest expense over the remaining maturity of the debt for an overall effective interest rate of 7.95% and the changes in the fair value of the bifurcated derivative are recorded as derivative income or loss.</w:t>
      </w:r>
    </w:p>
    <w:p>
      <w:pPr>
        <w:spacing w:after="0" w:line="146"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6"/>
          <w:szCs w:val="16"/>
          <w:color w:val="auto"/>
        </w:rPr>
        <w:t>On May 2, 2018, the Company and Carlyle entered into an exchange transaction (the “Exchange”) pursuant to which Carlyle exchanged $50 million in principal amount of the Convertible Senior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Convertible Senior Notes (equivalent to an exchange price of $26.50 per share). The Carlyle Warrants have a 25-year term, which commenced May 2, 2018. The Company and Carlyle also amended the $125.0 million in principal amount of Convertible Senior Notes that remained outstanding following the Exchange to (i) increase the interest rate from 3.75% per annum to 4.25% per annum and</w:t>
      </w:r>
    </w:p>
    <w:p>
      <w:pPr>
        <w:spacing w:after="0" w:line="5" w:lineRule="exact"/>
        <w:rPr>
          <w:sz w:val="20"/>
          <w:szCs w:val="20"/>
          <w:color w:val="auto"/>
        </w:rPr>
      </w:pPr>
    </w:p>
    <w:p>
      <w:pPr>
        <w:ind w:firstLine="8"/>
        <w:spacing w:after="0" w:line="261" w:lineRule="auto"/>
        <w:tabs>
          <w:tab w:leader="none" w:pos="2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extend the maturity date of the Convertible Senior Notes by 12 months to December 1, 2023. Interest on the Convertible Senior Notes is payable semi-annually on June 15 and December 15 of each year.</w:t>
      </w:r>
    </w:p>
    <w:p>
      <w:pPr>
        <w:spacing w:after="0" w:line="14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 xml:space="preserve">Falcon Global USA. </w:t>
      </w:r>
      <w:r>
        <w:rPr>
          <w:rFonts w:ascii="Arial" w:cs="Arial" w:eastAsia="Arial" w:hAnsi="Arial"/>
          <w:sz w:val="17"/>
          <w:szCs w:val="17"/>
          <w:color w:val="auto"/>
        </w:rPr>
        <w:t>On February 8, 2018, a wholly-owned subsidiary of SEACOR Marine and MOI formed and capitalized a joint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Falcon Global Holdings LLC.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On February 8, 2018, Falcon Global USA LLC (“FGUSA”), a wholly-owned subsidiary of FGH, paid $15.0 million of MOI’s debtor-in-possession obligations and entered into a $131.1 million credit agreement comprised of a $116.1 million term loan (the “FGUSA Term Loan”) and a $15.0 million revolving loan facility (the “FGUSA Revolving Loan Facility”) bearing interest at a variable rate (currently 6.3125%), maturing in 2024 and secured by 15 vessels owned by wholly-owned subsidiaries of FGUSA (collectively, the “FGUSA Credit Facility”). The full amount of the FGUSA Term Loan and other amounts paid by affiliates of MOI satisfied in full the amounts outstanding under MOI’s pre-bankruptcy petition credit facilities. In connection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2" w:name="page103"/>
    <w:bookmarkEnd w:id="102"/>
    <w:p>
      <w:pPr>
        <w:jc w:val="both"/>
        <w:spacing w:after="0" w:line="272" w:lineRule="auto"/>
        <w:rPr>
          <w:sz w:val="20"/>
          <w:szCs w:val="20"/>
          <w:color w:val="auto"/>
        </w:rPr>
      </w:pPr>
      <w:r>
        <w:rPr>
          <w:rFonts w:ascii="Arial" w:cs="Arial" w:eastAsia="Arial" w:hAnsi="Arial"/>
          <w:sz w:val="17"/>
          <w:szCs w:val="17"/>
          <w:color w:val="auto"/>
        </w:rPr>
        <w:t>with the FGUSA Credit Facility, SEACOR Marine issued a limited obligation guaranty, dated February 8, 2018, pursuant to which SEACOR Marine guaranteed certain interest payments and participation fees under the FGUSA Credit Facility until February 8, 2020 (the “Guaranty”). Except as provided in the Guaranty, the FGUSA Credit Facility, is non-recourse to SEACOR Marine and its subsidiaries other than FGUSA. The Company performed a fair market valuation of the debt reflecting a debt discount of $10.0 million, which will be amortized over the life of the FGUSA Credit Facility. During the year ending December 31, 2018, the Company borrowed $15.0 million under the FGUSA Revolving Loan Facility for working capital purposes and made principal payments of $7.0 million under the term loan facility after sale of two collateralized vessels. The Company consolidates FGH as the Company holds 72% of the equity interest in FGH and is entitled to appoint a majority of the board of managers of FGH.</w:t>
      </w:r>
    </w:p>
    <w:p>
      <w:pPr>
        <w:spacing w:after="0" w:line="151"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b w:val="1"/>
          <w:bCs w:val="1"/>
          <w:i w:val="1"/>
          <w:iCs w:val="1"/>
          <w:color w:val="auto"/>
        </w:rPr>
        <w:t xml:space="preserve">Sea-Cat Crewzer III Term Loan Facility. </w:t>
      </w:r>
      <w:r>
        <w:rPr>
          <w:rFonts w:ascii="Arial" w:cs="Arial" w:eastAsia="Arial" w:hAnsi="Arial"/>
          <w:sz w:val="16"/>
          <w:szCs w:val="16"/>
          <w:color w:val="auto"/>
        </w:rPr>
        <w:t>On April 21, 2016, Sea-Cat Crewzer III LLC (“Sea-Cat Crewzer III”) entered into a €27.6 million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facility (payable in U.S. dollars) secured by the vessel owned by Sea-Cat Crewzer III and fully guaranteed by SEACOR Marine (the “Sea-Cat Crewzer</w:t>
      </w:r>
    </w:p>
    <w:p>
      <w:pPr>
        <w:jc w:val="both"/>
        <w:ind w:firstLine="8"/>
        <w:spacing w:after="0" w:line="270" w:lineRule="auto"/>
        <w:tabs>
          <w:tab w:leader="none" w:pos="272" w:val="left"/>
        </w:tabs>
        <w:numPr>
          <w:ilvl w:val="0"/>
          <w:numId w:val="56"/>
        </w:numPr>
        <w:rPr>
          <w:rFonts w:ascii="Arial" w:cs="Arial" w:eastAsia="Arial" w:hAnsi="Arial"/>
          <w:sz w:val="17"/>
          <w:szCs w:val="17"/>
          <w:color w:val="auto"/>
        </w:rPr>
      </w:pPr>
      <w:r>
        <w:rPr>
          <w:rFonts w:ascii="Arial" w:cs="Arial" w:eastAsia="Arial" w:hAnsi="Arial"/>
          <w:sz w:val="17"/>
          <w:szCs w:val="17"/>
          <w:color w:val="auto"/>
        </w:rPr>
        <w:t>Loan Facility”). Borrowings under the facility bear interest at a Commercial Interest Reference Rate, currently 2.76%. During the years ended December 31, 2017 and 2016, Sea-Cat Crewzer III drew $7.1 million and $22.8 million, respectively, under the facility and incurred issue costs of $2.7 million in 2016 related to this facility. During the years ended December 31, 2018 and 2017, Sea-Cat Crewzer III made scheduled payments of $3.1 million and $0.6 million, respectively, related to this facility. On December 26, 2019, Sea-Cat Crewzer III, SEACOR Marine, Banco Santander S.A. (as mandated lead arranger and agent), and Santander Bank, N.A. (as lender) entered into Amendment No. 1 to the Sea-Cat Crewzer III Loan Facility, which provided for, among other things, an increase to the maximum debt to capitalization ratio required to be maintained thereunder.</w:t>
      </w:r>
    </w:p>
    <w:p>
      <w:pPr>
        <w:spacing w:after="0" w:line="13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Windcat Workboats Facilities. </w:t>
      </w:r>
      <w:r>
        <w:rPr>
          <w:rFonts w:ascii="Arial" w:cs="Arial" w:eastAsia="Arial" w:hAnsi="Arial"/>
          <w:sz w:val="18"/>
          <w:szCs w:val="18"/>
          <w:color w:val="auto"/>
        </w:rPr>
        <w:t>On May 24, 2016, Windcat Workboats entered into a €25.0 million revolving credit facility secured by 38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CTV fleet. Borrowings under the facility bear interest at variable rates based on EURIBOR plus a margin ranging from 3.00% to 3.30% per annum plus mandatory lender costs and mature in 2021. The Company is currently in negotiations to extend the maturity to 2022. A quarterly commitment fee is payable based on the unfunded portion of the commitment amount at rates ranging from 1.20% to 1.32% per annum. During the year ended December 31, 2016, Windcat Workboats drew $23.5 million (€21.0 million) under the facility to repay all of its then outstanding debt totaling $22.9 million and incurred issuance costs of $0.6 million related to this facility.</w:t>
      </w:r>
    </w:p>
    <w:p>
      <w:pPr>
        <w:spacing w:after="0" w:line="153"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During the year ended December 31, 2018, the Company converted €6.0 million denominated debt to pound sterling denominated debt, paying off approximately $7.5 million in euro denominated debt and borrowing approximately $8.5 million in pound sterling denominated debt, resulting in a net increase in USD borrowings of $1.0 million to be used for future capital commitments.</w:t>
      </w:r>
    </w:p>
    <w:p>
      <w:pPr>
        <w:spacing w:after="0" w:line="154"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b w:val="1"/>
          <w:bCs w:val="1"/>
          <w:i w:val="1"/>
          <w:iCs w:val="1"/>
          <w:color w:val="auto"/>
        </w:rPr>
        <w:t xml:space="preserve">SEACOR 88/888. </w:t>
      </w:r>
      <w:r>
        <w:rPr>
          <w:rFonts w:ascii="Arial" w:cs="Arial" w:eastAsia="Arial" w:hAnsi="Arial"/>
          <w:sz w:val="16"/>
          <w:szCs w:val="16"/>
          <w:color w:val="auto"/>
        </w:rPr>
        <w:t>On July 5, 2018, a wholly-owned subsidiary of SEACOR Marine entered into a new term loan of $11.0 million and used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to acquire two vessels that were previously managed (but not owned) by the Company. The term loan matures in 2023, bears interest at a variable rate (currently 5.5625%) and is secured by the two vessels. SEACOR Marine provided a limited guaranty of such loan under which claims recoverable from SEACOR Marine shall not exceed the lesser of (x) $5.5 million and (y) 50% of the obligations outstanding at the time a claim is made thereunder. In October 2018, the Company entered into an interest rate swap agreement on the notional value at inception of $5.5 million related to this loan.</w:t>
      </w:r>
    </w:p>
    <w:p>
      <w:pPr>
        <w:spacing w:after="0" w:line="11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b w:val="1"/>
          <w:bCs w:val="1"/>
          <w:i w:val="1"/>
          <w:iCs w:val="1"/>
          <w:color w:val="auto"/>
        </w:rPr>
        <w:t xml:space="preserve">BNDES Equipment Construction Finance Notes. </w:t>
      </w:r>
      <w:r>
        <w:rPr>
          <w:rFonts w:ascii="Arial" w:cs="Arial" w:eastAsia="Arial" w:hAnsi="Arial"/>
          <w:sz w:val="18"/>
          <w:szCs w:val="18"/>
          <w:color w:val="auto"/>
        </w:rPr>
        <w:t>The Company financed the construction of two offshore support vessels in Brazil with Banco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Nacional de Desenvolvimento Economico e Social (“BNDES”), a Brazilian government-owned entity. The notes are secured by a first mortgage on these vessels and guaranteed by SEACOR Holdings. The notes bear interest at 4.00% per annum, require monthly principal and interest payments, and mature in July through October 2021. During the years ended December 31, 2019, 2018 and 2017, the Company made scheduled payments of $2.0 million, $2.0 million and $2.0 million, respectively.</w:t>
      </w:r>
    </w:p>
    <w:p>
      <w:pPr>
        <w:spacing w:after="0" w:line="148"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i w:val="1"/>
          <w:iCs w:val="1"/>
          <w:color w:val="auto"/>
        </w:rPr>
        <w:t xml:space="preserve">Falcon Global International Term Loan Facility. </w:t>
      </w:r>
      <w:r>
        <w:rPr>
          <w:rFonts w:ascii="Arial" w:cs="Arial" w:eastAsia="Arial" w:hAnsi="Arial"/>
          <w:sz w:val="17"/>
          <w:szCs w:val="17"/>
          <w:color w:val="auto"/>
        </w:rPr>
        <w:t>On August 3, 2015, Falcon Global International entered into a term loan facility to finance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construction of two foreign-flag liftboats. The facility consisted of two tranches: (i) a $62.5 million facility to fund the construction costs of the liftboats (“Tranche A”) and (ii) a $18.0 million facility for certain project costs (“Tranche B”). The facility was secured by the liftboats and is repayable over a five-year period that began after the completion of the construction of the liftboats and matures June 30, 2022. On November 3, 2017, Falcon Global International executed an amendment to its term loan facility, at a cost of $0.2 million, that required Falcon Global to maintain a debt service coverage ratio and a minimum cash balance on hand in excess of defined thresholds. In addition, the amendment required SEACOR Marine, as guarantor, to maintain a debt to capital ratio below a defined threshold and a minimum cash balance on hand in excess of a defined threshold.</w:t>
      </w:r>
    </w:p>
    <w:p>
      <w:pPr>
        <w:spacing w:after="0" w:line="15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In March 2017, the Company’s partner declined to participate in a capital call from Falcon Global International and, as a consequence, the Company obtained 100% voting control of Falcon Global International in accordance with the terms of the operating agreement. The Company consolidated into its financial statements Falcon Global International’s then outstanding debt under this facility of $58.3 million, net of issue costs of $1.0 million, effective March 31, 2017 (see Note 5). During April 2017, the Tranche B facility was canceled prior to any funding. During the nine months ended December 31, 2017, Falcon Global made scheduled payments of $4.4 million under Tranche A.</w:t>
      </w:r>
    </w:p>
    <w:p>
      <w:pPr>
        <w:spacing w:after="0" w:line="132"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During the year ended December 31, 2018, Falcon Global International made scheduled payments of $3.0 million. The remaining principal balance of $51.9 million was paid off with the proceeds of SEACOR Marine Foreign Holdings Syndicated Facility on September 28,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3" w:name="page104"/>
    <w:bookmarkEnd w:id="103"/>
    <w:p>
      <w:pPr>
        <w:jc w:val="both"/>
        <w:ind w:right="20" w:firstLine="761"/>
        <w:spacing w:after="0" w:line="254" w:lineRule="auto"/>
        <w:rPr>
          <w:sz w:val="20"/>
          <w:szCs w:val="20"/>
          <w:color w:val="auto"/>
        </w:rPr>
      </w:pPr>
      <w:r>
        <w:rPr>
          <w:rFonts w:ascii="Arial" w:cs="Arial" w:eastAsia="Arial" w:hAnsi="Arial"/>
          <w:sz w:val="18"/>
          <w:szCs w:val="18"/>
          <w:b w:val="1"/>
          <w:bCs w:val="1"/>
          <w:i w:val="1"/>
          <w:iCs w:val="1"/>
          <w:color w:val="auto"/>
        </w:rPr>
        <w:t xml:space="preserve">Sea-Cat Crewzer II Term Loan Facility. </w:t>
      </w:r>
      <w:r>
        <w:rPr>
          <w:rFonts w:ascii="Arial" w:cs="Arial" w:eastAsia="Arial" w:hAnsi="Arial"/>
          <w:sz w:val="18"/>
          <w:szCs w:val="18"/>
          <w:color w:val="auto"/>
        </w:rPr>
        <w:t>On April 28, 2017, the Company acquired a 100% controlling interest in Sea-Cat Crewzer II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its partners’ 50% ownership interest (see Notes 3 and 5). Sea-Cat Crewzer II had a term loan facility that matured in 2019 which was secured by a first preferred mortgage on its vessels. On December 19, 2017, Sea-Cat Crewzer II executed an amendment, at a cost of $0.1 million, that replaced SEACOR Holdings with SEACOR Marine as guarantor and required SEACOR Marine to maintain a debt to capital ratio below a defined threshold and a minimum cash balance on hand in excess of a defined threshold. The facility called for quarterly payments of principal and interest with a balloon payment of $17.3 million due at maturity. The interest rate was fixed at 1.52%, inclusive of an interest rate swap, plus a margin ranging from 2.10% to 2.75% subject to the level of funded debt (overall rate of 5.64% as of December 31, 2017). In the year ended December 31, 2017, the Company made scheduled payments of $1.2 million.</w:t>
      </w:r>
    </w:p>
    <w:p>
      <w:pPr>
        <w:spacing w:after="0" w:line="165" w:lineRule="exact"/>
        <w:rPr>
          <w:sz w:val="20"/>
          <w:szCs w:val="20"/>
          <w:color w:val="auto"/>
        </w:rPr>
      </w:pPr>
    </w:p>
    <w:p>
      <w:pPr>
        <w:jc w:val="both"/>
        <w:ind w:right="40" w:firstLine="761"/>
        <w:spacing w:after="0" w:line="277" w:lineRule="auto"/>
        <w:rPr>
          <w:sz w:val="20"/>
          <w:szCs w:val="20"/>
          <w:color w:val="auto"/>
        </w:rPr>
      </w:pPr>
      <w:r>
        <w:rPr>
          <w:rFonts w:ascii="Arial" w:cs="Arial" w:eastAsia="Arial" w:hAnsi="Arial"/>
          <w:sz w:val="18"/>
          <w:szCs w:val="18"/>
          <w:color w:val="auto"/>
        </w:rPr>
        <w:t>During the year ended December 31, 2018, Sea-Cat Crewzer II made scheduled payments of $1.8 million. The remaining principal balance of $19.1 million was paid off by the SEACOR Marine Foreign Holdings Syndicated Facility on September 28, 2018.</w:t>
      </w:r>
    </w:p>
    <w:p>
      <w:pPr>
        <w:spacing w:after="0" w:line="130" w:lineRule="exact"/>
        <w:rPr>
          <w:sz w:val="20"/>
          <w:szCs w:val="20"/>
          <w:color w:val="auto"/>
        </w:rPr>
      </w:pPr>
    </w:p>
    <w:p>
      <w:pPr>
        <w:jc w:val="both"/>
        <w:ind w:right="20" w:firstLine="761"/>
        <w:spacing w:after="0" w:line="254" w:lineRule="auto"/>
        <w:rPr>
          <w:sz w:val="20"/>
          <w:szCs w:val="20"/>
          <w:color w:val="auto"/>
        </w:rPr>
      </w:pPr>
      <w:r>
        <w:rPr>
          <w:rFonts w:ascii="Arial" w:cs="Arial" w:eastAsia="Arial" w:hAnsi="Arial"/>
          <w:sz w:val="18"/>
          <w:szCs w:val="18"/>
          <w:b w:val="1"/>
          <w:bCs w:val="1"/>
          <w:i w:val="1"/>
          <w:iCs w:val="1"/>
          <w:color w:val="auto"/>
        </w:rPr>
        <w:t xml:space="preserve">Sea-Cat Crewzer Term Loan Facility. </w:t>
      </w:r>
      <w:r>
        <w:rPr>
          <w:rFonts w:ascii="Arial" w:cs="Arial" w:eastAsia="Arial" w:hAnsi="Arial"/>
          <w:sz w:val="18"/>
          <w:szCs w:val="18"/>
          <w:color w:val="auto"/>
        </w:rPr>
        <w:t>On April 28, 2017, the Company acquired a 100% controlling interest in Sea-Cat Crewzer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its partners’ 50% ownership interest (see Notes 3 and 5). Sea-Cat Crewzer had a term loan facility that matures in 2019 which was secured by a first preferred mortgage on its vessels. On December 19, 2017, Sea-Cat Crewzer executed an amendment, at a cost of $0.1 million, that replaced SEACOR Holdings with SEACOR Marine as guarantor and required SEACOR Marine to maintain a debt to capital ratio below a defined threshold and a minimum cash balance on hand in excess of a defined threshold. The facility called for quarterly payments of principal and interest with a balloon payment of $15.3 million due at maturity. The interest rate was fixed at 1.52%, inclusive of an interest rate swap, plus a margin ranging from 2.10% to 2.75% subject to the level of funded debt (overall rate of 5.64% as of December 31, 2017). In the year ended December 31, 2017, the Company made scheduled payments of $1.1 million.</w:t>
      </w:r>
    </w:p>
    <w:p>
      <w:pPr>
        <w:spacing w:after="0" w:line="152"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During the year ended December 31, 2018, Sea-Cat Crewzer made scheduled payments of $1.6 million. The remaining principal balance of $16.9 million was paid off by the SEACOR Marine Foreign Holdings Syndicated Facility on September 28, 2018.</w:t>
      </w:r>
    </w:p>
    <w:p>
      <w:pPr>
        <w:spacing w:after="0" w:line="143"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As of December 31, 2019, the Company had outstanding letters of credit totaling $0.5 million for one lease obligation and labor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performance guarantees.</w:t>
      </w:r>
    </w:p>
    <w:p>
      <w:pPr>
        <w:spacing w:after="0" w:line="126"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In late 2017, the U.S. Tax Cuts and Jobs Act (the “Tax Act”) was enacted into law. This law significantly impacted our corporate income taxes commencing in 2018 and will continue to do so in future years. The most significant provisions included reducing the corporate tax rate from 35% to 21%; eliminating U.S. federal tax on dividends from foreign subsidiaries, creating a limitation on deductible interest expense, further restricting the compensation deduction, and changing the utilization of Net Operating Losses (“NOL’s”).</w:t>
      </w:r>
    </w:p>
    <w:p>
      <w:pPr>
        <w:spacing w:after="0" w:line="146"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In arriving at the 2019 results the Company took into account the impacts of the Tax Act based on our interpretation of the provisions enacted and the proposed regulations issued as of this date</w:t>
      </w:r>
    </w:p>
    <w:p>
      <w:pPr>
        <w:spacing w:after="0" w:line="143"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Loss before income tax benefit and equity in earnings (losses) of 50% or less owned companies derived from U.S. and foreign companies for the years ended December 31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CFF0FC"/>
            </w:tcBorders>
          </w:tcPr>
          <w:p>
            <w:pPr>
              <w:spacing w:after="0"/>
              <w:rPr>
                <w:sz w:val="20"/>
                <w:szCs w:val="20"/>
                <w:color w:val="auto"/>
              </w:rPr>
            </w:pPr>
          </w:p>
        </w:tc>
        <w:tc>
          <w:tcPr>
            <w:tcW w:w="35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(72,540)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Foreign</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(22,025)</w:t>
            </w:r>
          </w:p>
        </w:tc>
        <w:tc>
          <w:tcPr>
            <w:tcW w:w="2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(29,466)</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3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11,022</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(93,224)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500" w:type="dxa"/>
            <w:vAlign w:val="bottom"/>
            <w:vMerge w:val="restart"/>
          </w:tcPr>
          <w:p>
            <w:pPr>
              <w:jc w:val="right"/>
              <w:ind w:right="850"/>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104" w:name="page105"/>
    <w:bookmarkEnd w:id="104"/>
    <w:p>
      <w:pPr>
        <w:ind w:left="760"/>
        <w:spacing w:after="0"/>
        <w:rPr>
          <w:sz w:val="20"/>
          <w:szCs w:val="20"/>
          <w:color w:val="auto"/>
        </w:rPr>
      </w:pPr>
      <w:r>
        <w:rPr>
          <w:rFonts w:ascii="Arial" w:cs="Arial" w:eastAsia="Arial" w:hAnsi="Arial"/>
          <w:sz w:val="18"/>
          <w:szCs w:val="18"/>
          <w:color w:val="auto"/>
        </w:rPr>
        <w:t>The components of income tax expense (benefit) for the years ended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Borders>
              <w:bottom w:val="single" w:sz="8" w:color="CFF0FC"/>
            </w:tcBorders>
          </w:tcPr>
          <w:p>
            <w:pPr>
              <w:spacing w:after="0"/>
              <w:rPr>
                <w:sz w:val="20"/>
                <w:szCs w:val="20"/>
                <w:color w:val="auto"/>
              </w:rPr>
            </w:pPr>
          </w:p>
        </w:tc>
        <w:tc>
          <w:tcPr>
            <w:tcW w:w="30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Federal</w:t>
            </w:r>
          </w:p>
        </w:tc>
        <w:tc>
          <w:tcPr>
            <w:tcW w:w="3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5,987</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(16,705)</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3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Deferred:</w:t>
            </w:r>
          </w:p>
        </w:tc>
        <w:tc>
          <w:tcPr>
            <w:tcW w:w="3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3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(12,594)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(21,466)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(60,750)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State</w:t>
            </w:r>
          </w:p>
        </w:tc>
        <w:tc>
          <w:tcPr>
            <w:tcW w:w="3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3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r>
      <w:tr>
        <w:trPr>
          <w:trHeight w:val="223"/>
        </w:trPr>
        <w:tc>
          <w:tcPr>
            <w:tcW w:w="3740" w:type="dxa"/>
            <w:vAlign w:val="bottom"/>
            <w:tcBorders>
              <w:bottom w:val="single" w:sz="8" w:color="CFF0FC"/>
            </w:tcBorders>
          </w:tcPr>
          <w:p>
            <w:pPr>
              <w:spacing w:after="0"/>
              <w:rPr>
                <w:sz w:val="19"/>
                <w:szCs w:val="19"/>
                <w:color w:val="auto"/>
              </w:rPr>
            </w:pPr>
          </w:p>
        </w:tc>
        <w:tc>
          <w:tcPr>
            <w:tcW w:w="30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(61,006)</w:t>
            </w:r>
          </w:p>
        </w:tc>
        <w:tc>
          <w:tcPr>
            <w:tcW w:w="10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For the year ending December 31, 2019, the Company has recorded a return to provision adjustment related to losses from a consolidated joint venture for the 2018 tax year. The resulting additional liability of $2.3 million was recorded in the Company’s financial statements during the third quarter of 2019.</w:t>
      </w:r>
    </w:p>
    <w:p>
      <w:pPr>
        <w:spacing w:after="0" w:line="14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For 2018, the Company incurred a current tax liability of $1.4 million related to the non-qualified withdrawal of funds from a Capital Construction Fund (“CCF”) by a partnership in which the Company held a 50% interest. The Company had previously recorded a deferred tax liability in connection with this CCF fund.</w:t>
      </w:r>
    </w:p>
    <w:p>
      <w:pPr>
        <w:spacing w:after="0" w:line="154"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As of December 31, 2017, the Company’s net operating loss carryforwards excluded potential tax benefits of $3.9 million as a result of uncertainty regarding interpretation of the Tax Act. Subsequent guidelines have confirmed that the Company should recognize the tax benefits of $3.9 million and therefore, for the year ending December 31, 2018, the Company removed the uncertain tax position previously established against the net operating loss carryforwards.</w:t>
      </w:r>
    </w:p>
    <w:p>
      <w:pPr>
        <w:spacing w:after="0" w:line="146" w:lineRule="exact"/>
        <w:rPr>
          <w:sz w:val="20"/>
          <w:szCs w:val="20"/>
          <w:color w:val="auto"/>
        </w:rPr>
      </w:pPr>
    </w:p>
    <w:p>
      <w:pPr>
        <w:jc w:val="both"/>
        <w:ind w:firstLine="761"/>
        <w:spacing w:after="0" w:line="303" w:lineRule="auto"/>
        <w:rPr>
          <w:sz w:val="20"/>
          <w:szCs w:val="20"/>
          <w:color w:val="auto"/>
        </w:rPr>
      </w:pPr>
      <w:r>
        <w:rPr>
          <w:rFonts w:ascii="Arial" w:cs="Arial" w:eastAsia="Arial" w:hAnsi="Arial"/>
          <w:sz w:val="17"/>
          <w:szCs w:val="17"/>
          <w:color w:val="auto"/>
        </w:rPr>
        <w:t>During the preparation of the 2017 federal income tax return, the Company’s management realized that they had overestimated the available foreign taxes that could be credited against the 2017 transition tax. This resulted in an additional tax liability of $3.4 million on its 2017 federal income tax return. This additional liability was recorded as a return-to-provision adjustment to tax expense during the year ended December 31, 2018.</w:t>
      </w:r>
    </w:p>
    <w:p>
      <w:pPr>
        <w:spacing w:after="0" w:line="11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following table reconciles the difference between the statutory federal income tax rate for the Company and the effective income tax rate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Statutory rate</w:t>
            </w: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(21.0)%</w:t>
            </w: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U.S. federal income tax law changes</w:t>
            </w: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SEACOR Holdings share awards to Company personnel</w:t>
            </w:r>
          </w:p>
        </w:tc>
        <w:tc>
          <w:tcPr>
            <w:tcW w:w="16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16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Exclusion of foreign subsidiaries with accumulated losses and</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withholding tax</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w:t>
            </w:r>
          </w:p>
        </w:tc>
        <w:tc>
          <w:tcPr>
            <w:tcW w:w="8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8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taxes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Return to provision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w:t>
            </w:r>
          </w:p>
        </w:tc>
        <w:tc>
          <w:tcPr>
            <w:tcW w:w="8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8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For the year ending December 31, 2019, the Company’s effective income tax rate of 9.6% was lower than the statutory tax rate of 21% primarily due to foreign subsidiaries with current losses for which there is no current or future federal income tax benefit, reducing the statutory tax rate by 7.2%, and noncontrolling interests reducing the tax rate by 1.8%</w:t>
      </w:r>
    </w:p>
    <w:p>
      <w:pPr>
        <w:spacing w:after="0" w:line="15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For the year ending December 31, 2018, the Company’s effective income tax rate of 14.3% was lower than the Company’s statutory tax rate of 21% primarily due to foreign subsidiaries with current losses for which there is no current or future federal income tax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both"/>
        <w:ind w:firstLine="761"/>
        <w:spacing w:after="0" w:line="259" w:lineRule="auto"/>
        <w:rPr>
          <w:sz w:val="20"/>
          <w:szCs w:val="20"/>
          <w:color w:val="auto"/>
        </w:rPr>
      </w:pPr>
      <w:r>
        <w:rPr>
          <w:rFonts w:ascii="Arial" w:cs="Arial" w:eastAsia="Arial" w:hAnsi="Arial"/>
          <w:sz w:val="18"/>
          <w:szCs w:val="18"/>
          <w:color w:val="auto"/>
        </w:rPr>
        <w:t>For the year ending December 31, 2017, the Company’s effective income tax rate of 63.2% was higher than the Company’s statutory tax rate of 35% primarily due to income tax benefits of $43.7 million recognized as a result of the Tax Act. The majority of the income tax benefits recognized were due to a reduction in U.S. tax rates from 35% to 21% applied to the Company’s domestic basis differences and the elimination of previously accrued deferred taxes on the unremitted earnings of the Company’s foreign subsidiaries.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net deferred income tax liabilities as of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Borders>
              <w:bottom w:val="single" w:sz="8" w:color="CFF0FC"/>
            </w:tcBorders>
          </w:tcPr>
          <w:p>
            <w:pPr>
              <w:spacing w:after="0"/>
              <w:rPr>
                <w:sz w:val="20"/>
                <w:szCs w:val="20"/>
                <w:color w:val="auto"/>
              </w:rPr>
            </w:pPr>
          </w:p>
        </w:tc>
        <w:tc>
          <w:tcPr>
            <w:tcW w:w="22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63,827</w:t>
            </w:r>
          </w:p>
        </w:tc>
        <w:tc>
          <w:tcPr>
            <w:tcW w:w="28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65,880</w:t>
            </w:r>
          </w:p>
        </w:tc>
        <w:tc>
          <w:tcPr>
            <w:tcW w:w="120" w:type="dxa"/>
            <w:vAlign w:val="bottom"/>
          </w:tcPr>
          <w:p>
            <w:pPr>
              <w:spacing w:after="0"/>
              <w:rPr>
                <w:sz w:val="19"/>
                <w:szCs w:val="19"/>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50% or Less Owned Companies</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FF0FC"/>
          </w:tcPr>
          <w:p>
            <w:pPr>
              <w:spacing w:after="0"/>
              <w:rPr>
                <w:sz w:val="19"/>
                <w:szCs w:val="19"/>
                <w:color w:val="auto"/>
              </w:rPr>
            </w:pPr>
          </w:p>
        </w:tc>
      </w:tr>
      <w:tr>
        <w:trPr>
          <w:trHeight w:val="230"/>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2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76,712</w:t>
            </w:r>
          </w:p>
        </w:tc>
        <w:tc>
          <w:tcPr>
            <w:tcW w:w="120" w:type="dxa"/>
            <w:vAlign w:val="bottom"/>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Deferred tax assets:</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Federal Net Operating Loss Carryforwards</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20,974</w:t>
            </w:r>
          </w:p>
        </w:tc>
        <w:tc>
          <w:tcPr>
            <w:tcW w:w="120" w:type="dxa"/>
            <w:vAlign w:val="bottom"/>
            <w:shd w:val="clear" w:color="auto" w:fill="CFF0FC"/>
          </w:tcPr>
          <w:p>
            <w:pPr>
              <w:spacing w:after="0"/>
              <w:rPr>
                <w:sz w:val="19"/>
                <w:szCs w:val="19"/>
                <w:color w:val="auto"/>
              </w:rPr>
            </w:pPr>
          </w:p>
        </w:tc>
      </w:tr>
      <w:tr>
        <w:trPr>
          <w:trHeight w:val="230"/>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12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32,651</w:t>
            </w:r>
          </w:p>
        </w:tc>
        <w:tc>
          <w:tcPr>
            <w:tcW w:w="120" w:type="dxa"/>
            <w:vAlign w:val="bottom"/>
            <w:shd w:val="clear" w:color="auto" w:fill="CFF0FC"/>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Valuation Allowance</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44,685</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Section 163(j) interest deduction limitations were amended to limit the ability of the Company to deduct net interest expense to thirty percent of adjusted taxable income. For the year ended December 31, 2019, $6.6 million of interest expense was suspended, and for the year ended December 31, 2018, $3.6 million of interest expense was suspended, resulting in a total interest expense amount available for carry forward of $10.2 million. This amount will be available to be deducted in future years subject to the 30% limitation. Future utilization of NOL’s arising in tax years after December 31, 2017 are limited to eighty percent of taxable income and are allowed to be carried forward indefinitely. As of December 31, 2019, the Company has $42.2 million of net operating losses generated prior to December 31, 2017 and $94.5 million of net operating losses generated after 2017. Net operating losses generated in 2017 may carry forward 20 years (expiring in 2037). The 2018 and 2019 NOLs will carry forward indefinitely with no expiration period but its utilization will be subject to an annual 80 percent of taxable income limitation.</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2019, the Company's valuation allowance of $1.3 million related primarily to Louisiana state net operating loss carryforwards.</w:t>
      </w:r>
    </w:p>
    <w:p>
      <w:pPr>
        <w:spacing w:after="0" w:line="204"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STRATEGIES</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Derivative instruments are classified as either assets or liabilities based on their individual fair values. The fair values of the Company’s derivative instruments as of December 31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4"/>
              </w:rPr>
              <w:t>2019</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4"/>
              </w:rPr>
              <w:t>2018</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28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7"/>
                <w:szCs w:val="17"/>
                <w:color w:val="auto"/>
              </w:rPr>
            </w:pPr>
          </w:p>
        </w:tc>
        <w:tc>
          <w:tcPr>
            <w:tcW w:w="9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Derivative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7"/>
                <w:szCs w:val="17"/>
                <w:color w:val="auto"/>
              </w:rPr>
            </w:pPr>
          </w:p>
        </w:tc>
        <w:tc>
          <w:tcPr>
            <w:tcW w:w="9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17"/>
                <w:szCs w:val="17"/>
                <w:color w:val="auto"/>
              </w:rPr>
            </w:pPr>
          </w:p>
        </w:tc>
      </w:tr>
      <w:tr>
        <w:trPr>
          <w:trHeight w:val="234"/>
        </w:trPr>
        <w:tc>
          <w:tcPr>
            <w:tcW w:w="5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Asset</w:t>
            </w: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Asset</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Interest rate swap agreements (cash flow hedges)</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Current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Long-Term</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b w:val="1"/>
          <w:bCs w:val="1"/>
          <w:i w:val="1"/>
          <w:iCs w:val="1"/>
          <w:color w:val="auto"/>
        </w:rPr>
        <w:t xml:space="preserve">Fair Value Hedges. </w:t>
      </w:r>
      <w:r>
        <w:rPr>
          <w:rFonts w:ascii="Arial" w:cs="Arial" w:eastAsia="Arial" w:hAnsi="Arial"/>
          <w:sz w:val="18"/>
          <w:szCs w:val="18"/>
          <w:color w:val="auto"/>
        </w:rPr>
        <w:t>From time to time, the Company may designate certain of its foreign currency exchange contracts as fair value hedges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capital commitments denominated in foreign currencies. By entering into these foreign currency exchange contracts, the Company may fix a portion of its capital commitments denominated in foreign currencies in U.S. dollars to protect against currency fluctuations. During the year ended December 31, 2017, the Company recognized gains of $0.1 million on these contracts which were recognized to the corresponding hedged equipment included in construction in progress in the accompanying consolidated balance sheets.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6" w:name="page107"/>
    <w:bookmarkEnd w:id="106"/>
    <w:p>
      <w:pPr>
        <w:jc w:val="both"/>
        <w:ind w:firstLine="761"/>
        <w:spacing w:after="0" w:line="273" w:lineRule="auto"/>
        <w:rPr>
          <w:sz w:val="20"/>
          <w:szCs w:val="20"/>
          <w:color w:val="auto"/>
        </w:rPr>
      </w:pPr>
      <w:r>
        <w:rPr>
          <w:rFonts w:ascii="Arial" w:cs="Arial" w:eastAsia="Arial" w:hAnsi="Arial"/>
          <w:sz w:val="17"/>
          <w:szCs w:val="17"/>
          <w:b w:val="1"/>
          <w:bCs w:val="1"/>
          <w:i w:val="1"/>
          <w:iCs w:val="1"/>
          <w:color w:val="auto"/>
        </w:rPr>
        <w:t xml:space="preserve">Cash Flow Hedges. </w:t>
      </w:r>
      <w:r>
        <w:rPr>
          <w:rFonts w:ascii="Arial" w:cs="Arial" w:eastAsia="Arial" w:hAnsi="Arial"/>
          <w:sz w:val="17"/>
          <w:szCs w:val="17"/>
          <w:color w:val="auto"/>
        </w:rPr>
        <w:t>The Company and certain of its 50% or less owned companies have interest rate swap agreements designated as cash flow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hedges at their inception. By entering into these interest rate swap agreements, the Company and its 50% or less owned companies have converted the variable LIBOR or EURIBOR component of certain of their outstanding borrowings to a fixed interest rate. The Company recognized losses on derivative instruments designated as cash flow hedges of $1.3 million for the year ended December 31, 2019, gains of $1.6 million for the year ended December 31, 2018 and losses of $0.2 million for the year ended December 31, 2017 as a component of other comprehensive loss. As of December 31, 2019, the interest rate swaps held by the Company and certain of the Company’s 50% or less owned companies were as follows:</w:t>
      </w:r>
    </w:p>
    <w:p>
      <w:pPr>
        <w:spacing w:after="0" w:line="151" w:lineRule="exact"/>
        <w:rPr>
          <w:sz w:val="20"/>
          <w:szCs w:val="20"/>
          <w:color w:val="auto"/>
        </w:rPr>
      </w:pPr>
    </w:p>
    <w:p>
      <w:pPr>
        <w:jc w:val="both"/>
        <w:ind w:left="1140" w:hanging="376"/>
        <w:spacing w:after="0" w:line="264"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Windcat Workboats had two interest rate swap agreements maturing in 2021 that call for the Company to pay a fixed rate of interest of (0.03%) plus margin on the aggregate notional value of €15.0 million ($16.8 million) and receive a variable interest rate based on EURIBOR on the aggregate notional value;</w:t>
      </w:r>
    </w:p>
    <w:p>
      <w:pPr>
        <w:spacing w:after="0" w:line="140"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SEACOR Marine Foreign Holdings had an interest rate swap agreement maturing in 2023 that calls for SMFH to pay a fixed rate of interest of 3.32% plus margin on the amortized notional value of $8.8 million and receive a variable interest rate based on LIBOR on the amortized notional value;</w:t>
      </w:r>
    </w:p>
    <w:p>
      <w:pPr>
        <w:spacing w:after="0" w:line="140"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SEACOR Marine Foreign Holdings had an interest rate swap agreement maturing in 2023 that calls for SMFH to pay a fixed rate of interest of 3.195% plus margin on the amortized notional value of $48.6 million and receive a variable interest rate based on LIBOR on the amortized notional value; and</w:t>
      </w:r>
    </w:p>
    <w:p>
      <w:pPr>
        <w:spacing w:after="0" w:line="140" w:lineRule="exact"/>
        <w:rPr>
          <w:rFonts w:ascii="Arial" w:cs="Arial" w:eastAsia="Arial" w:hAnsi="Arial"/>
          <w:sz w:val="18"/>
          <w:szCs w:val="18"/>
          <w:color w:val="auto"/>
        </w:rPr>
      </w:pPr>
    </w:p>
    <w:p>
      <w:pPr>
        <w:jc w:val="both"/>
        <w:ind w:left="1140" w:hanging="376"/>
        <w:spacing w:after="0" w:line="238" w:lineRule="auto"/>
        <w:tabs>
          <w:tab w:leader="none" w:pos="1140" w:val="left"/>
        </w:tabs>
        <w:numPr>
          <w:ilvl w:val="0"/>
          <w:numId w:val="59"/>
        </w:numPr>
        <w:rPr>
          <w:rFonts w:ascii="Arial" w:cs="Arial" w:eastAsia="Arial" w:hAnsi="Arial"/>
          <w:sz w:val="22"/>
          <w:szCs w:val="22"/>
          <w:color w:val="auto"/>
        </w:rPr>
      </w:pPr>
      <w:r>
        <w:rPr>
          <w:rFonts w:ascii="Arial" w:cs="Arial" w:eastAsia="Arial" w:hAnsi="Arial"/>
          <w:sz w:val="18"/>
          <w:szCs w:val="18"/>
          <w:color w:val="auto"/>
        </w:rPr>
        <w:t>SEACOR 88/888 had an interest rate swap agreement maturing in 2023 that calls for Seacor 88/888 to pay a fixed rate of interest of 3.175% plus margin on the amortized notional value of $5.5 million and receive a variable interest rate based on LIBOR on the amortized notional value.</w:t>
      </w:r>
    </w:p>
    <w:p>
      <w:pPr>
        <w:spacing w:after="0" w:line="162" w:lineRule="exact"/>
        <w:rPr>
          <w:sz w:val="20"/>
          <w:szCs w:val="20"/>
          <w:color w:val="auto"/>
        </w:rPr>
      </w:pPr>
    </w:p>
    <w:p>
      <w:pPr>
        <w:jc w:val="both"/>
        <w:ind w:right="20" w:firstLine="761"/>
        <w:spacing w:after="0" w:line="286" w:lineRule="auto"/>
        <w:rPr>
          <w:sz w:val="20"/>
          <w:szCs w:val="20"/>
          <w:color w:val="auto"/>
        </w:rPr>
      </w:pPr>
      <w:r>
        <w:rPr>
          <w:rFonts w:ascii="Arial" w:cs="Arial" w:eastAsia="Arial" w:hAnsi="Arial"/>
          <w:sz w:val="17"/>
          <w:szCs w:val="17"/>
          <w:b w:val="1"/>
          <w:bCs w:val="1"/>
          <w:i w:val="1"/>
          <w:iCs w:val="1"/>
          <w:color w:val="auto"/>
        </w:rPr>
        <w:t xml:space="preserve">Derivative Instruments. </w:t>
      </w:r>
      <w:r>
        <w:rPr>
          <w:rFonts w:ascii="Arial" w:cs="Arial" w:eastAsia="Arial" w:hAnsi="Arial"/>
          <w:sz w:val="17"/>
          <w:szCs w:val="17"/>
          <w:color w:val="auto"/>
        </w:rPr>
        <w:t>The Company utilizes derivative instruments to manage the volatility of cash flows due to fluctuating interest rates.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instruments not qualifying for the normal purchase and normal sale exception are recorded on the balance sheets at fair value. The treatment of the periodic changes in fair value will depend on whether the derivative is designated and effective as a hedge for accounting purposes.</w:t>
      </w:r>
    </w:p>
    <w:p>
      <w:pPr>
        <w:spacing w:after="0" w:line="12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If a derivative qualifies for hedge accounting and is designated as a cash flow hedge, the effective portion of the change in fair value of the derivative is deferred in Accumulated Other Comprehensive Income (“AOCI”), a component of owners’ equity, and reclassified to earnings when the forecasted transaction occurs. Cash flows from a derivative instrument designated as a hedge are classified in the same category as the cash flows from the item being hedged. As such, we include the cash flows from interest rate derivative instruments in interest expense.</w:t>
      </w:r>
    </w:p>
    <w:p>
      <w:pPr>
        <w:spacing w:after="0" w:line="13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If a derivative does not qualify as a hedge or is not designated as a hedge, the gain or loss resulting from the change in fair value on the derivative is recognized currently in earnings as a component of other income (expense).</w:t>
      </w:r>
    </w:p>
    <w:p>
      <w:pPr>
        <w:spacing w:after="0" w:line="143"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We formally document all relationships between hedging instruments and hedged items, as well as its risk management objectives and strategy for undertaking the hedge. This documentation includes the specific identification of the hedging instrument and the hedged item, the nature of the risk being hedged and the manner in which the hedging instrument’s effectiveness will be assessed. At the inception of the hedge, and on an ongoing basis, we assess whether the derivatives used in hedging transactions are highly effective in offsetting changes in cash flows of hedged items.</w:t>
      </w:r>
    </w:p>
    <w:p>
      <w:pPr>
        <w:spacing w:after="0" w:line="13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relationship between the hedging instrument and the hedged item must be highly effective in achieving the offset of changes in cash flows attributable to the hedged risk both at the inception of the contract and on an ongoing basis. We measure hedge ineffectiveness on a quarterly basis and reclassify any ineffective portion of the gain or loss related to the change in fair value to earnings in the current period.</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will discontinue hedge accounting on a prospective basis when a hedge instrument is terminated or ceases to be highly effective. Gains and losses deferred in AOCI related to cash flow hedges for which hedge accounting has been discontinued remain deferred until the forecasted transaction occurs. If it is no longer probable that a hedged forecasted transaction will occur, deferred gains or losses on the hedging instrument are reclassified to earnings immediately.</w:t>
      </w:r>
    </w:p>
    <w:p>
      <w:pPr>
        <w:spacing w:after="0" w:line="16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For balance sheet classification purposes, we analyze the fair values of the derivative instruments on a contract by contract basis and report the related fair values and any related collateral by counterparty on a gross basis.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7" w:name="page108"/>
    <w:bookmarkEnd w:id="107"/>
    <w:p>
      <w:pPr>
        <w:jc w:val="both"/>
        <w:ind w:firstLine="761"/>
        <w:spacing w:after="0" w:line="257" w:lineRule="auto"/>
        <w:rPr>
          <w:sz w:val="20"/>
          <w:szCs w:val="20"/>
          <w:color w:val="auto"/>
        </w:rPr>
      </w:pPr>
      <w:r>
        <w:rPr>
          <w:rFonts w:ascii="Arial" w:cs="Arial" w:eastAsia="Arial" w:hAnsi="Arial"/>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liability of $8.2 million as of December 31, 2019. The estimated fair value is net of an adjustment for credit risk based on the default probabilities by year as indicated by market quotes for the counterparties’ credit default swap rates. The credit risk adjustment was immaterial for all periods presented.</w:t>
      </w:r>
    </w:p>
    <w:p>
      <w:pPr>
        <w:spacing w:after="0" w:line="16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following tables reflect amounts recorded in Other Comprehensive Income (“OCI”) and amounts reclassified from OCI to revenue and expense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91"/>
              </w:rPr>
              <w:t>Gain (Loss) Recognized in OCI on Derivatives</w:t>
            </w:r>
          </w:p>
        </w:tc>
      </w:tr>
      <w:tr>
        <w:trPr>
          <w:trHeight w:val="234"/>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(Effective Portion)</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contracts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Joint venture interest rate swap contracts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r>
      <w:tr>
        <w:trPr>
          <w:trHeight w:val="440"/>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0"/>
          </w:tcPr>
          <w:p>
            <w:pPr>
              <w:jc w:val="center"/>
              <w:ind w:right="380"/>
              <w:spacing w:after="0"/>
              <w:rPr>
                <w:sz w:val="20"/>
                <w:szCs w:val="20"/>
                <w:color w:val="auto"/>
              </w:rPr>
            </w:pPr>
            <w:r>
              <w:rPr>
                <w:rFonts w:ascii="Arial" w:cs="Arial" w:eastAsia="Arial" w:hAnsi="Arial"/>
                <w:sz w:val="18"/>
                <w:szCs w:val="18"/>
                <w:b w:val="1"/>
                <w:bCs w:val="1"/>
                <w:color w:val="auto"/>
                <w:w w:val="91"/>
              </w:rPr>
              <w:t>Gain (Loss) Reclassified from OCI into Income</w:t>
            </w:r>
          </w:p>
        </w:tc>
      </w:tr>
      <w:tr>
        <w:trPr>
          <w:trHeight w:val="234"/>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(Effective Portion)</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 of Gain</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b w:val="1"/>
          <w:bCs w:val="1"/>
          <w:i w:val="1"/>
          <w:iCs w:val="1"/>
          <w:color w:val="auto"/>
        </w:rPr>
        <w:t xml:space="preserve">Other Derivative Instruments. </w:t>
      </w:r>
      <w:r>
        <w:rPr>
          <w:rFonts w:ascii="Arial" w:cs="Arial" w:eastAsia="Arial" w:hAnsi="Arial"/>
          <w:sz w:val="18"/>
          <w:szCs w:val="18"/>
          <w:color w:val="auto"/>
        </w:rPr>
        <w:t>The Company recognized gains (losses) on derivative instruments not designated as hedging instruments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w w:val="93"/>
              </w:rPr>
              <w:t>Derivative gains (losses), net</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20,422</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Forward currency exchange, option and future contracts</w:t>
            </w:r>
          </w:p>
        </w:tc>
        <w:tc>
          <w:tcPr>
            <w:tcW w:w="1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w:t>
            </w:r>
          </w:p>
        </w:tc>
      </w:tr>
      <w:tr>
        <w:trPr>
          <w:trHeight w:val="223"/>
        </w:trPr>
        <w:tc>
          <w:tcPr>
            <w:tcW w:w="5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20,256</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conversion option liability relates to the bifurcated embedded conversion option in the Convertible Senior Notes (See Note 8).</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 and certain of the Company’s 50% or less owned companies have entered into interest rate swap agreements for the general purpose of providing protection against increases in interest rates, which might lead to higher interest costs. As of December 31, 2019, the interest rate swaps held by the Company or its 50% or less owned companies were as follows:</w:t>
      </w:r>
    </w:p>
    <w:p>
      <w:pPr>
        <w:spacing w:after="0" w:line="141" w:lineRule="exact"/>
        <w:rPr>
          <w:sz w:val="20"/>
          <w:szCs w:val="20"/>
          <w:color w:val="auto"/>
        </w:rPr>
      </w:pPr>
    </w:p>
    <w:p>
      <w:pPr>
        <w:jc w:val="both"/>
        <w:ind w:left="1140" w:hanging="376"/>
        <w:spacing w:after="0" w:line="264"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OSV Partners had two interest rate swap agreements with maturities in 2020 that call for OSV Partners to pay a fixed rate of interest ranging from 1.89% to 2.27% plus margin on the aggregate amortized notional value of $22.8 million and receive a variable interest rate based on LIBOR on the aggregate amortized notional value.</w:t>
      </w:r>
    </w:p>
    <w:p>
      <w:pPr>
        <w:spacing w:after="0" w:line="140"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MexMar had five interest rate swap agreements with maturities in 2023 that call for MexMar to pay a fixed rate of interest ranging from 1.71% to 2.10% plus margin on the aggregate amortized notional value of $83.2 million and receive a variable interest rate based on LIBOR on the aggregate amortized notional value.</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Prior to 2017, the Company held positions in publicly traded equity options that convey the right or obligation to engage in a future transaction on the underlying equity security or index. The Company’s investment in equity options primarily included positions in energy related businesses. These contracts were typically entered into to mitigate the risk of changes in market value of marketable security positions that the Company was either about to acquire, had acquired or was about to dispose.</w:t>
      </w:r>
    </w:p>
    <w:p>
      <w:pPr>
        <w:spacing w:after="0" w:line="160"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 Company enters and settles forward currency exchange, option and future contracts with respect 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There are no outstanding contracts at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8" w:name="page109"/>
    <w:bookmarkEnd w:id="108"/>
    <w:p>
      <w:pPr>
        <w:ind w:left="760" w:hanging="752"/>
        <w:spacing w:after="0"/>
        <w:tabs>
          <w:tab w:leader="none" w:pos="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inputs are quoted prices in active markets for identical assets or liabilities. </w:t>
      </w:r>
      <w:r>
        <w:rPr>
          <w:rFonts w:ascii="Arial" w:cs="Arial" w:eastAsia="Arial" w:hAnsi="Arial"/>
          <w:sz w:val="17"/>
          <w:szCs w:val="17"/>
          <w:i w:val="1"/>
          <w:iCs w:val="1"/>
          <w:color w:val="auto"/>
        </w:rPr>
        <w:t>Level 2</w:t>
      </w:r>
      <w:r>
        <w:rPr>
          <w:rFonts w:ascii="Arial" w:cs="Arial" w:eastAsia="Arial" w:hAnsi="Arial"/>
          <w:sz w:val="17"/>
          <w:szCs w:val="17"/>
          <w:color w:val="auto"/>
        </w:rPr>
        <w:t xml:space="preserve"> inputs are observable inputs other than quoted prices included 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inputs are unobservable inputs that are supported by little or no market activity and are significant to the fair value of the assets or liabilities.</w:t>
      </w:r>
    </w:p>
    <w:p>
      <w:pPr>
        <w:spacing w:after="0" w:line="179"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Company’s financial assets and liabilities as of December 31 that are measured at fair value on a recurring basis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5"/>
                <w:szCs w:val="15"/>
                <w:b w:val="1"/>
                <w:bCs w:val="1"/>
                <w:color w:val="auto"/>
              </w:rPr>
              <w:t>(1)</w:t>
            </w:r>
          </w:p>
        </w:tc>
      </w:tr>
      <w:tr>
        <w:trPr>
          <w:trHeight w:val="223"/>
        </w:trPr>
        <w:tc>
          <w:tcPr>
            <w:tcW w:w="664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16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Construction reserve funds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12,893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Derivative instruments (included in other current liabilities)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Derivative instruments (included in other receivables)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Construction reserve funds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Derivative instruments (included in other current 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690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line="253" w:lineRule="auto"/>
        <w:tabs>
          <w:tab w:leader="none" w:pos="7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year ended December 31, 2019, the Company recognized a $0.1 million gain in the fair market valuation of the Convertible Senior Notes, as valued by an independent third-party.</w:t>
      </w:r>
    </w:p>
    <w:p>
      <w:pPr>
        <w:spacing w:after="0" w:line="151"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i w:val="1"/>
          <w:iCs w:val="1"/>
          <w:color w:val="auto"/>
        </w:rPr>
        <w:t xml:space="preserve">Level 3 Measurement. </w:t>
      </w:r>
      <w:r>
        <w:rPr>
          <w:rFonts w:ascii="Arial" w:cs="Arial" w:eastAsia="Arial" w:hAnsi="Arial"/>
          <w:sz w:val="17"/>
          <w:szCs w:val="17"/>
          <w:color w:val="auto"/>
        </w:rPr>
        <w:t>The fair value of the conversion option liability on the Convertible Senior Notes is estimated with significant inputs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both observable and unobservable in the market and therefore is considered 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marine transportation and energy industries.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ind w:left="760"/>
        <w:spacing w:after="0"/>
        <w:rPr>
          <w:sz w:val="20"/>
          <w:szCs w:val="20"/>
          <w:color w:val="auto"/>
        </w:rPr>
      </w:pPr>
      <w:r>
        <w:rPr>
          <w:rFonts w:ascii="Arial" w:cs="Arial" w:eastAsia="Arial" w:hAnsi="Arial"/>
          <w:sz w:val="18"/>
          <w:szCs w:val="18"/>
          <w:color w:val="auto"/>
        </w:rPr>
        <w:t>The estimated fair value of the Company’s other financial assets and liabilities as of December 31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Estimated Fair Value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82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960" w:type="dxa"/>
            <w:vAlign w:val="bottom"/>
            <w:tcBorders>
              <w:top w:val="single" w:sz="8" w:color="auto"/>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98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87,047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87,047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cost, in 50% or less owned companies (included in</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i w:val="1"/>
                <w:iCs w:val="1"/>
                <w:color w:val="auto"/>
                <w:w w:val="91"/>
              </w:rPr>
              <w:t>see below</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93,254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93,254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cost, in 50% or less owned companies (included in</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i w:val="1"/>
                <w:iCs w:val="1"/>
                <w:color w:val="auto"/>
                <w:w w:val="91"/>
              </w:rPr>
              <w:t>see below</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The carrying value of cash, cash equivalents and restricted cash approximates fair value. The fair value of the Company’s long-term debt was estimated by using discounted cash flow analysis based on estimated current rates for similar types of arrangements. It was not practicable to estimate the fair value of the Company’s investments, at cost, in 50% or less owned companies because of the lack of a quoted market price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7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Company’s non-financial assets and liabilities that were measured at fair value during the years ended December 31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ind w:right="30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10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5360" w:type="dxa"/>
            <w:vAlign w:val="bottom"/>
            <w:gridSpan w:val="3"/>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FSV</w:t>
            </w:r>
          </w:p>
        </w:tc>
        <w:tc>
          <w:tcPr>
            <w:tcW w:w="4180" w:type="dxa"/>
            <w:vAlign w:val="bottom"/>
            <w:vMerge w:val="restart"/>
          </w:tcPr>
          <w:p>
            <w:pPr>
              <w:jc w:val="right"/>
              <w:ind w:right="30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AHTS</w:t>
            </w:r>
          </w:p>
        </w:tc>
        <w:tc>
          <w:tcPr>
            <w:tcW w:w="5360" w:type="dxa"/>
            <w:vAlign w:val="bottom"/>
            <w:gridSpan w:val="3"/>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Liftboats</w:t>
            </w: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Specialty</w:t>
            </w:r>
          </w:p>
        </w:tc>
        <w:tc>
          <w:tcPr>
            <w:tcW w:w="4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During the years ended December 31, 2019, 2018 and 2017 the Company recognized impairment charges of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$14.6 million, and $27.5 million, respectively, associated with certain offshore support vessels. The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fair values were determined based on the contracted sales prices of the property and equipment, sales prices of similar property and equipment or scrap value, as applicable.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values were determined based on third-party valuations using significant inputs that are unobservable in the market. Due to limited market transactions, the primary valuation methodology applied by the appraisers was an estimated cost approach less estimated economic depreciation for comparably aged and conditioned assets less estimated economic obsolescence based on market data or utilization and rates per day worked trending of the vessels since 2014.</w:t>
      </w:r>
    </w:p>
    <w:p>
      <w:pPr>
        <w:spacing w:after="0" w:line="13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 xml:space="preserve">The significant unobservable inputs used in the fair value measurement for the AHTS fleet during 2018 listed above were contributed by MOI to wholly-owned subsidiaries of FGH and recorded at fair value.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values were determined based on two separate third-party valuations using significant inputs that are unobservable in the market. Due to limited market transactions, the primary valuation methodology applied by both appraisers was an estimated cost approach less economic depreciation for comparable aged vessels.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 of the vessels was based on a simple average between the two appraisals.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0" w:name="page111"/>
    <w:bookmarkEnd w:id="110"/>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Investments, at equity, in 50% or less owned companies. </w:t>
      </w:r>
      <w:r>
        <w:rPr>
          <w:rFonts w:ascii="Arial" w:cs="Arial" w:eastAsia="Arial" w:hAnsi="Arial"/>
          <w:sz w:val="18"/>
          <w:szCs w:val="18"/>
          <w:color w:val="auto"/>
        </w:rPr>
        <w:t>During the year ended December 31, 2019, the Company marked its investments to zero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certain of its 50% of less owned companies. December 31, 2017, the Company marked its investments to fair value in certain of its 50% or less owned companies. The </w:t>
      </w:r>
      <w:r>
        <w:rPr>
          <w:rFonts w:ascii="Arial" w:cs="Arial" w:eastAsia="Arial" w:hAnsi="Arial"/>
          <w:sz w:val="18"/>
          <w:szCs w:val="18"/>
          <w:i w:val="1"/>
          <w:iCs w:val="1"/>
          <w:color w:val="auto"/>
        </w:rPr>
        <w:t>Level 2</w:t>
      </w:r>
      <w:r>
        <w:rPr>
          <w:rFonts w:ascii="Arial" w:cs="Arial" w:eastAsia="Arial" w:hAnsi="Arial"/>
          <w:sz w:val="18"/>
          <w:szCs w:val="18"/>
          <w:color w:val="auto"/>
        </w:rPr>
        <w:t xml:space="preserve"> fair values were determined based on the purchase price of acquired interests or sales prices of similar equipment held in the venture. The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fair values were determined based on third-party valuations using significant inputs that are unobservable in the market. The Company’s partner declined to participate in a capital call from Falcon Global during 2017 and, as a consequence, the Company obtained 100% voting control of Falcon Global in accordance with the terms of the operating agreement (see Note 5). Upon the change in control, the Company’s investment in Falcon Global was deemed to approximate fair value.</w:t>
      </w:r>
    </w:p>
    <w:p>
      <w:pPr>
        <w:spacing w:after="0" w:line="158" w:lineRule="exact"/>
        <w:rPr>
          <w:sz w:val="20"/>
          <w:szCs w:val="20"/>
          <w:color w:val="auto"/>
        </w:rPr>
      </w:pPr>
    </w:p>
    <w:p>
      <w:pPr>
        <w:ind w:left="760" w:hanging="752"/>
        <w:spacing w:after="0"/>
        <w:tabs>
          <w:tab w:leader="none" w:pos="7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On April 26, 2018, the Company closed a private placement of its Common Stock and Warrants to purchase its Common Stock (which were issued to certain investors in place of Common Stock to facilitate compliance with Jones Act restrictions) for aggregate gross proceeds of $56,855,000 (the “PIPE Private Placement”) with certain qualified institutional buyers and other accredited investors. The PIPE Private Placement included the issuance of 2,168,586 shares of Common Stock (the “PIPE Shares”) and Warrants to purchase 674,164 shares of the Common Stock at an exercise price of $0.01 per share (the “PIPE Warrants”). The PIPE Warrants were issued to CME on April 26, 2018, have a 25-year term and an exercise price of $0.01 per share.</w:t>
      </w:r>
    </w:p>
    <w:p>
      <w:pPr>
        <w:spacing w:after="0" w:line="11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On May 2, 2018 the Company and Carlyle entered into an amendment and exchange agreement pursuant to which Carlyle exchanged $50.0 million in principal amount of the Convertible Senior Notes for warrants in order to purchase 1,886,292 shares of common stock at an exercise price of $0.01 per shares (the “Exchange Warrants” and, together with the PIPE Warrants, the “Warrants”). The Exchange Warrants have a 25-year term, which commenced May 2, 2018.</w:t>
      </w:r>
    </w:p>
    <w:p>
      <w:pPr>
        <w:spacing w:after="0" w:line="146"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On May 31, 2018 and June 8, 2018, the 250,693 and 38,857 Warrants were exercised, respectively for a penny per share which left 2,271,406 Warrants outstanding as of December 31, 2018.</w:t>
      </w:r>
    </w:p>
    <w:p>
      <w:pPr>
        <w:spacing w:after="0" w:line="143"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May 28, 2019 and June 14, 2019, 380,000 and 64,440 Warrants were exercised, respectively for a penny per share which left 1,826,966 Warrants outstanding as of December 31, 2019. In connection with the exercise of Warrants on June 14, 2019, 49 shares of Common Stock were withheld as payment for the exercise price of the exercised Warrants.</w:t>
      </w:r>
    </w:p>
    <w:p>
      <w:pPr>
        <w:spacing w:after="0" w:line="137" w:lineRule="exact"/>
        <w:rPr>
          <w:sz w:val="20"/>
          <w:szCs w:val="20"/>
          <w:color w:val="auto"/>
        </w:rPr>
      </w:pPr>
    </w:p>
    <w:p>
      <w:pPr>
        <w:ind w:left="760" w:hanging="752"/>
        <w:spacing w:after="0"/>
        <w:tabs>
          <w:tab w:leader="none" w:pos="7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9"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On January 1, 2019, the Company adopted ASC 842 regarding the recording of lease on the balance sheet. This adoption resulted in an increase of $10.4 million, net of tax, to the Company’s opening retained earnings for the current period.</w:t>
      </w:r>
    </w:p>
    <w:p>
      <w:pPr>
        <w:spacing w:after="0" w:line="13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On January 9, 2019, certain indirect wholly owned subsidiaries of SEACOR Marine acquired three FSVs in exchange for the private placement of 603,872 shares of its Common Stock to domestic U.S. holders affiliated with the McCall family of Louisiana. The value of the vessels and the Common Stock was $7.8 million based on the closing price of a share of Common Stock on the NYSE on the day of the exchange. The Common Stock was issued in reliance upon the exemption from registration provided by Section 4(a)(2) of the Securities Act. The Company has operated the acquired vessels for the past ten years under a revenue sharing pooling agreement that included four of its owned FSVs of similar specification. In accordance with its terms, this pooling agreement was terminated.</w:t>
      </w:r>
    </w:p>
    <w:p>
      <w:pPr>
        <w:spacing w:after="0" w:line="166"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On January 25, 2019, Seabulk Overseas Transport, Inc., a wholly owned subsidiary of SEACOR Marine (“Seabulk Overseas”), acquired a 6.25% minority interest in Windcat Workboats that it did not previously own upon the exercise of certain put options by one of the two minority owners pursuant to the terms of a subscription and shareholders agreement, as amended (the “Subscription and Shareholders Agreement”), in exchange for consideration of £1.6 million (approximately $2.0 million) in cash. The Company acquired the other 6.25% minority interest in Windcat Workboats that the Company did not already own on March 15, 2019 in exchange for consideration of 50,000 shares of Common Stock and €1.2 million (approximately $1.4 million) in cash. The Common Stock was issued in a private placement in reliance upon the exemption from registration provided by Section 4(a)(2) of the Securities Act. The two acquisitions resulted in Seabulk Overseas owning (and SEACOR Marine indirectly owning) 100% of Windcat Workboats.</w:t>
      </w:r>
    </w:p>
    <w:p>
      <w:pPr>
        <w:spacing w:after="0" w:line="12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January 1, 2018, the Company adopted a new accounting standard issued by the FASB on October 24, 2016, which requires companies to account for the income tax effects of intercompany sales and transfers of assets other than inventory. The impact of the adoption of the new standard resulted in a reduction of $12.1 million to the Company’s opening retained earnings.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1" w:name="page112"/>
    <w:bookmarkEnd w:id="111"/>
    <w:p>
      <w:pPr>
        <w:jc w:val="both"/>
        <w:ind w:firstLine="761"/>
        <w:spacing w:after="0" w:line="271" w:lineRule="auto"/>
        <w:rPr>
          <w:sz w:val="20"/>
          <w:szCs w:val="20"/>
          <w:color w:val="auto"/>
        </w:rPr>
      </w:pPr>
      <w:r>
        <w:rPr>
          <w:rFonts w:ascii="Arial" w:cs="Arial" w:eastAsia="Arial" w:hAnsi="Arial"/>
          <w:sz w:val="17"/>
          <w:szCs w:val="17"/>
          <w:color w:val="auto"/>
        </w:rPr>
        <w:t>On February 8, 2018, the Company formed FGH, a joint venture between the Company and MOI. In accordance with the terms of the Joint Venture Contribution and Formation Agreement, the Company and MOI contributed certain liftboat vessels and other related assets to the joint venture and assumed certain operating liabilities and indebtedness associated with the liftboat vessels and related assets. The transaction consolidated 15 liftboat vessels operated by the Company and six liftboat vessels previously operated by MOI. FGUSA, a wholly-owned subsidiary of FGH, paid $15.0 million of MOI’s debtor-in-possession obligations and entered into a $131.1 million credit agreement comprised of the FGUSA Term Loan and the FGUSA Revolving Loan Facility. The Company performed a fair market valuation of the debt resulting in a debt discount of $9.5 million on the FGUSA Term Loan and $0.5 million debt discount on the FGUSA Revolving Loan Facility, which will be amortized over the life of the FGUSA Credit Facility. The debt discount on the FGUSA Revolving Loan Facility resulted in an adjustment of $0.4 million to stockholder’s equity.</w:t>
      </w:r>
    </w:p>
    <w:p>
      <w:pPr>
        <w:spacing w:after="0" w:line="15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On March 26, 2018, the Company issued 103,213 shares of Common Stock to an accredited investor for a total of $1.8 million in gross proceeds pursuant to a private placement in reliance on the exemption from registration set forth in Section 4(a)(2) of the Securities Act.</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April 26, 2018, the Company closed the PIPE Private Placement resulting in aggregate gross proceeds of $56.9 million. The PIPE Private Placement included the issuance of the PIPE Shares and the PIPE Warrants. The PIPE Shares and PIPE Warrants were issued in reliance upon the exemption from registration provided by Section 4(a)(2) of the Securities Act.</w:t>
      </w:r>
    </w:p>
    <w:p>
      <w:pPr>
        <w:spacing w:after="0" w:line="141"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On May 2, 2018, the Company and Carlyle entered into the Exchange pursuant to which Carlyle exchanged $50.0 million in principal amount of the Convertible Senior Notes for the Carlyle Warrants. The Carlyle Warrants were issued in reliance upon the exemption from registration provided by Section 4(a)(2) of the Securities Act.</w:t>
      </w:r>
    </w:p>
    <w:p>
      <w:pPr>
        <w:spacing w:after="0" w:line="15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On May 31, 2018 and June 8, 2018, there were 250,693 and 38,857 warrants exercised, respectively for a penny per share. There were 108 shares of Common Stock held in treasury in exchange for the payment of the penny per warrant on certain of the warrants converted.</w:t>
      </w:r>
    </w:p>
    <w:p>
      <w:pPr>
        <w:spacing w:after="0" w:line="126"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IN SUBSIDIARIES</w:t>
      </w:r>
    </w:p>
    <w:p>
      <w:pPr>
        <w:spacing w:after="0" w:line="188"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Noncontrolling interests in the Company’s consolidated subsidiaries as of December 31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Noncontrolling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540" w:type="dxa"/>
            <w:vAlign w:val="bottom"/>
            <w:tcBorders>
              <w:bottom w:val="single" w:sz="8" w:color="CFF0FC"/>
            </w:tcBorders>
          </w:tcPr>
          <w:p>
            <w:pPr>
              <w:spacing w:after="0"/>
              <w:rPr>
                <w:sz w:val="20"/>
                <w:szCs w:val="20"/>
                <w:color w:val="auto"/>
              </w:rPr>
            </w:pPr>
          </w:p>
        </w:tc>
        <w:tc>
          <w:tcPr>
            <w:tcW w:w="51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Interests</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Falcon Global Holdings</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26,989</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Windcat Workboats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r>
      <w:tr>
        <w:trPr>
          <w:trHeight w:val="223"/>
        </w:trPr>
        <w:tc>
          <w:tcPr>
            <w:tcW w:w="15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29,404</w:t>
            </w:r>
          </w:p>
        </w:tc>
        <w:tc>
          <w:tcPr>
            <w:tcW w:w="12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December 31, 2018, noncontrolling interest was 12.5%</w:t>
      </w:r>
    </w:p>
    <w:p>
      <w:pPr>
        <w:spacing w:after="0" w:line="181"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b w:val="1"/>
          <w:bCs w:val="1"/>
          <w:i w:val="1"/>
          <w:iCs w:val="1"/>
          <w:color w:val="auto"/>
        </w:rPr>
        <w:t xml:space="preserve">Falcon Global Holdings. </w:t>
      </w:r>
      <w:r>
        <w:rPr>
          <w:rFonts w:ascii="Arial" w:cs="Arial" w:eastAsia="Arial" w:hAnsi="Arial"/>
          <w:sz w:val="17"/>
          <w:szCs w:val="17"/>
          <w:color w:val="auto"/>
        </w:rPr>
        <w:t>On February 8, 2018, a wholly-owned subsidiary of SEACOR Marine and MOI formed and capitalized a joint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Falcon Global Holdings LLC to operate the Company’s liftboat fleet.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The transaction consolidates the 15 liftboat vessels operated by the Company and six liftboat vessels previously operated by MOI. The total capital contributed to FGH was approximately $112.5 million of which, $43.3 million was transferred from FGI and $18.8 million was contributed by MOI and recorded at fair value, with the remaining capital contributed by the Company. The Company consolidates FGH as the Company holds 72% of the equity interest in FGH and is entitled to appoint a majority of the board of managers of FGH.</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During the year ended December 31, 2019, the net loss of FGH was $21.0 million, of which $5.9 million was attributable to noncontrolling interest. As of December 31, 2019, the net assets of FGH were $77.2 million.</w:t>
      </w:r>
    </w:p>
    <w:p>
      <w:pPr>
        <w:spacing w:after="0" w:line="13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b w:val="1"/>
          <w:bCs w:val="1"/>
          <w:i w:val="1"/>
          <w:iCs w:val="1"/>
          <w:color w:val="auto"/>
        </w:rPr>
        <w:t xml:space="preserve">Windcat Workboats. </w:t>
      </w:r>
      <w:r>
        <w:rPr>
          <w:rFonts w:ascii="Arial" w:cs="Arial" w:eastAsia="Arial" w:hAnsi="Arial"/>
          <w:sz w:val="18"/>
          <w:szCs w:val="18"/>
          <w:color w:val="auto"/>
        </w:rPr>
        <w:t>Prior to January 25, 2019, Seabulk Overseas, a wholly-owned subsidiary of the Company, owned 87% of Windcat Workboats.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25, 2019, Seabulk Overseas acquired 6.25% minority interest in Windcat Workboats that it did not previously own. Seabulk Overseas acquired the remaining 6.25% interest in Windcat Workboats that the Company did not already own on March 15, 2019. As of December 31, 2018, the net assets of Windcat Workboats was $16.9 million. During the year ended December 31, 2018, the net loss of Windcat Workboats was $3.1 million, of which $0.4 million was attributable to noncontrolling interests.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2" w:name="page113"/>
    <w:bookmarkEnd w:id="112"/>
    <w:p>
      <w:pPr>
        <w:ind w:left="760" w:hanging="752"/>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SAVINGS AND MULTI-EMPLOYER PENSION PLANS</w:t>
      </w:r>
    </w:p>
    <w:p>
      <w:pPr>
        <w:spacing w:after="0" w:line="189"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b w:val="1"/>
          <w:bCs w:val="1"/>
          <w:i w:val="1"/>
          <w:iCs w:val="1"/>
          <w:color w:val="auto"/>
        </w:rPr>
        <w:t xml:space="preserve">SEACOR Marine Savings Plan. </w:t>
      </w:r>
      <w:r>
        <w:rPr>
          <w:rFonts w:ascii="Arial" w:cs="Arial" w:eastAsia="Arial" w:hAnsi="Arial"/>
          <w:sz w:val="16"/>
          <w:szCs w:val="16"/>
          <w:color w:val="auto"/>
        </w:rPr>
        <w:t>On January 1, 2016, the Company’s eligible U.S. based employees were transferred from the SEACOR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sponsored defined contribution plan to the “SEACOR Marine 401(k) Plan,” a new Company sponsored defined contribution plan (the “Savings Plan”). Effective upon the June 1, 2017 Spin-off, the Company discontinued its contribution to the Savings Plan up until January 1, 2019, at which time the Company’s contribution will be limited to 1.0% of an employee’s wages. The Savings Plan costs for the year ended December 31, 2019 was $0.3 million.</w:t>
      </w:r>
    </w:p>
    <w:p>
      <w:pPr>
        <w:spacing w:after="0" w:line="127"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i w:val="1"/>
          <w:iCs w:val="1"/>
          <w:color w:val="auto"/>
        </w:rPr>
        <w:t xml:space="preserve">MNOPF and MNRPF. </w:t>
      </w:r>
      <w:r>
        <w:rPr>
          <w:rFonts w:ascii="Arial" w:cs="Arial" w:eastAsia="Arial" w:hAnsi="Arial"/>
          <w:sz w:val="17"/>
          <w:szCs w:val="17"/>
          <w:color w:val="auto"/>
        </w:rPr>
        <w:t>Certain of the Company’s subsidiaries are participating employers in two industry-wide, multi-employer, defined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w:t>
      </w:r>
    </w:p>
    <w:p>
      <w:pPr>
        <w:spacing w:after="0" w:line="13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Under the direction of a court order, any funding deficit of the MNOPF is to be remedied through funding contributions from all participating current and former employers. Prior to 2015, the Company was invoiced and expensed $19.4 million for its allocated share of the then cumulative funding deficits, including portions deemed uncollectible due to the non-existence or liquidation of certain former employers. The invoiced amounts have been re-paid in full, other than with respect to $2.6 million invoiced in 2013, for which the Company has a repayment plan with the trustees of the MNOPF to repay such invoice in full by December 31, 2023. As of December 31, 2019, the remaining current and long-term liability due to the MNOPF were $0.3 million and $0.7 million, respectively.</w:t>
      </w:r>
    </w:p>
    <w:p>
      <w:pPr>
        <w:spacing w:after="0" w:line="153"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On November 7, 2018, the Company received notice from MNOPF that a deficit of £9.0 million existed but noted that the trustee did not propose to collect any additional funds in respect of such deficit. Depending on the results of future valuations, it is possible that the MNOPF will experience further funding deficits requiring the Company to recognize payroll related expenses in the periods the notice is received.</w:t>
      </w:r>
    </w:p>
    <w:p>
      <w:pPr>
        <w:spacing w:after="0" w:line="139"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The cumulative funding deficits of the MNRPF were being recovered by additional annual contributions from current employers that were subject to adjustment following the results of future tri-annual actuarial valuations. In 2015, the Company was invoiced and expensed $6.9 million for its share of a funding deficit in the MNRPF. The Company had a repayment plan with the trustees of the MNRPF for the amount to be repaid in full by October 30, 2018 and the amounts were settled by that date. On July 20, 2018, the Company was notified of additional contributions due and recognized in the second quarter of 2018 payroll related expenses of $1.19 million (£0.9 million) for its allocated share of the cumulative funding deficit including portions deemed uncollectible due to the non-existence or liquidation of certain former employers. These additional contributions were invoiced in September 2018 and are payable in four annual installments beginning October 2018. As of December 31, 2019, all invoices related to the MNRPF have been settled in full. Depending upon the results of future actuarial valuations it is possible that the plan could experience further funding deficits that will require the Company to recognize payroll related operating expenses for those periods.</w:t>
      </w:r>
    </w:p>
    <w:p>
      <w:pPr>
        <w:spacing w:after="0" w:line="14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b w:val="1"/>
          <w:bCs w:val="1"/>
          <w:i w:val="1"/>
          <w:iCs w:val="1"/>
          <w:color w:val="auto"/>
        </w:rPr>
        <w:t xml:space="preserve">Other Plans. </w:t>
      </w:r>
      <w:r>
        <w:rPr>
          <w:rFonts w:ascii="Arial" w:cs="Arial" w:eastAsia="Arial" w:hAnsi="Arial"/>
          <w:sz w:val="18"/>
          <w:szCs w:val="18"/>
          <w:color w:val="auto"/>
        </w:rPr>
        <w:t>Certain employees participate in other defined contribution plans in various international regions including the United Kingdom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Singapore. During the years ended December 31, 2019, 2018 and 2017, the Company incurred costs of $0.3 million in 2019 and $0.2 million for 2018 and 2017, primarily from employer matching contributions.</w:t>
      </w:r>
    </w:p>
    <w:p>
      <w:pPr>
        <w:spacing w:after="0" w:line="137"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8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b w:val="1"/>
          <w:bCs w:val="1"/>
          <w:i w:val="1"/>
          <w:iCs w:val="1"/>
          <w:color w:val="auto"/>
        </w:rPr>
        <w:t xml:space="preserve">Equity Incentive Plan. </w:t>
      </w:r>
      <w:r>
        <w:rPr>
          <w:rFonts w:ascii="Arial" w:cs="Arial" w:eastAsia="Arial" w:hAnsi="Arial"/>
          <w:sz w:val="17"/>
          <w:szCs w:val="17"/>
          <w:color w:val="auto"/>
        </w:rPr>
        <w:t>During 2017, the Company adopted the SEACOR Marine Holdings Inc. 2017 Equity Incentive Plan (the “2017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Plan authorizes the Compensation Committee, or another committee designated by the Board and made up of two or more non-employee directors and outside directors, to provide equity-based or other incentive-based compensation for the purpose of attracting and retaining the Company and its affiliates’ directors, employees and certain consultants, and providing those directors, employees and consultants incentive opportunities and rewards for superior performance. The Board has authorized the issuance of 2,174,000 shares of Common Stock in connection with awards pursuant to the 2017 Plan, which was equal to 10% of the total number shares of SEACOR Marine Common Stock outstanding at the time of authorization. The types of awards under the 2017 Plan may include stock options, stock appreciation rights, restricted stock and restricted stock units, performance awards and other stock-based awards. As of December 31, 2019, a total of 567,424 shares remained available for issuance under the 2017 Plan.</w:t>
      </w:r>
    </w:p>
    <w:p>
      <w:pPr>
        <w:spacing w:after="0" w:line="15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Restricted stock typically vests from one to four years after the date of grant and options to purchase shares of Common Stock typically vest and become exercisable from one to four years after date of grant. Options to purchase shares of Common Stock granted under the 2017 Plan expire no later than the tenth anniversary of the date of grant. In the event of a participant’s death, retirement, termination by the Company without cause or a change in control of the Company, as defined in the 2017 Plan, restricted stock vests immediately and in the event of participant’s death or retirement, options to purchase shares of Common Stock vest and become immediately exercisable.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both"/>
        <w:ind w:firstLine="761"/>
        <w:spacing w:after="0" w:line="255" w:lineRule="auto"/>
        <w:rPr>
          <w:sz w:val="20"/>
          <w:szCs w:val="20"/>
          <w:color w:val="auto"/>
        </w:rPr>
      </w:pPr>
      <w:r>
        <w:rPr>
          <w:rFonts w:ascii="Arial" w:cs="Arial" w:eastAsia="Arial" w:hAnsi="Arial"/>
          <w:sz w:val="18"/>
          <w:szCs w:val="18"/>
          <w:b w:val="1"/>
          <w:bCs w:val="1"/>
          <w:i w:val="1"/>
          <w:iCs w:val="1"/>
          <w:color w:val="auto"/>
        </w:rPr>
        <w:t xml:space="preserve">Distribution of SEACOR Marine Restricted Stock by SEACOR Holdings. </w:t>
      </w:r>
      <w:r>
        <w:rPr>
          <w:rFonts w:ascii="Arial" w:cs="Arial" w:eastAsia="Arial" w:hAnsi="Arial"/>
          <w:sz w:val="18"/>
          <w:szCs w:val="18"/>
          <w:color w:val="auto"/>
        </w:rPr>
        <w:t>Certain officers and employees of the Company previously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through participation in SEACOR Holdings share award plans. Pursuant to the Employee Matters Agreement with SEACOR Holdings, participating Company personnel vested in all outstanding SEACOR Holdings share awards upon the Spin-off in 2017 and received SEACOR Marine restricted stock from the Spin-off distribution in connection with outstanding SEACOR Holdings restricted stock held. Therefore, the Company paid SEACOR Holdings $2.7 million upon completion of the Spin-off for the distribution of 120,693 shares of SEACOR Marine restricted stock, which is being amortized over the participants’ remaining original vesting periods.</w:t>
      </w:r>
    </w:p>
    <w:p>
      <w:pPr>
        <w:spacing w:after="0" w:line="166"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During 2017, the Company adopted the SEACOR Marine Holdings Inc. 2017 Employee Stock Purchase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“Marine ESPP”). The Marine ESPP, if implemented by the Company’s board of directors, will permit the Company to offer shares of its Common Stock for purchase by eligible employees at a price equal to 85% of the lesser of (i) the fair market value of a share of its Common Stock on the first day of the offering period or (ii) the fair market value of a share of its Common Stock on the last day of the offering period. There are 300,000 shares of the Company’s Common Stock reserved for issuance under the Marine ESPP during the ten years following its adoption.</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 xml:space="preserve">Share Award Transactions. </w:t>
      </w:r>
      <w:r>
        <w:rPr>
          <w:rFonts w:ascii="Arial" w:cs="Arial" w:eastAsia="Arial" w:hAnsi="Arial"/>
          <w:sz w:val="16"/>
          <w:szCs w:val="16"/>
          <w:color w:val="auto"/>
        </w:rPr>
        <w:t>The following transactions have occurred in connection with the Company’s share-based compensation under the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during the years ended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Director Stock Awards Granted</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30,197</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Restricted Stock Activity:</w:t>
            </w: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40"/>
              <w:spacing w:after="0"/>
              <w:rPr>
                <w:sz w:val="20"/>
                <w:szCs w:val="20"/>
                <w:color w:val="auto"/>
              </w:rPr>
            </w:pPr>
            <w:r>
              <w:rPr>
                <w:rFonts w:ascii="Arial" w:cs="Arial" w:eastAsia="Arial" w:hAnsi="Arial"/>
                <w:sz w:val="18"/>
                <w:szCs w:val="18"/>
                <w:color w:val="auto"/>
              </w:rPr>
              <w:t>Outstanding as of the beginning of year</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192,346</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Granted - 2017 Plan</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245,400</w:t>
            </w:r>
          </w:p>
        </w:tc>
        <w:tc>
          <w:tcPr>
            <w:tcW w:w="38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rPr>
              <w:t>(1)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40"/>
              <w:spacing w:after="0"/>
              <w:rPr>
                <w:sz w:val="20"/>
                <w:szCs w:val="20"/>
                <w:color w:val="auto"/>
              </w:rPr>
            </w:pPr>
            <w:r>
              <w:rPr>
                <w:rFonts w:ascii="Arial" w:cs="Arial" w:eastAsia="Arial" w:hAnsi="Arial"/>
                <w:sz w:val="18"/>
                <w:szCs w:val="18"/>
                <w:color w:val="auto"/>
              </w:rPr>
              <w:t>Vested</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131,937</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3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Outstanding as of the end of year</w:t>
            </w:r>
          </w:p>
        </w:tc>
        <w:tc>
          <w:tcPr>
            <w:tcW w:w="9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303,609</w:t>
            </w:r>
          </w:p>
        </w:tc>
        <w:tc>
          <w:tcPr>
            <w:tcW w:w="380" w:type="dxa"/>
            <w:vAlign w:val="bottom"/>
            <w:tcBorders>
              <w:bottom w:val="single" w:sz="8" w:color="CFF0FC"/>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192,346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Stock Option Activity:</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Outstanding as of the beginning of year</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805,566</w:t>
            </w: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40"/>
              <w:spacing w:after="0"/>
              <w:rPr>
                <w:sz w:val="20"/>
                <w:szCs w:val="20"/>
                <w:color w:val="auto"/>
              </w:rPr>
            </w:pPr>
            <w:r>
              <w:rPr>
                <w:rFonts w:ascii="Arial" w:cs="Arial" w:eastAsia="Arial" w:hAnsi="Arial"/>
                <w:sz w:val="18"/>
                <w:szCs w:val="18"/>
                <w:color w:val="auto"/>
              </w:rPr>
              <w:t>Granted - 2017 Plan</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230,503</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113,750</w:t>
            </w: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600" w:type="dxa"/>
            <w:vAlign w:val="bottom"/>
          </w:tcPr>
          <w:p>
            <w:pPr>
              <w:jc w:val="right"/>
              <w:spacing w:after="0"/>
              <w:rPr>
                <w:sz w:val="20"/>
                <w:szCs w:val="20"/>
                <w:color w:val="auto"/>
              </w:rPr>
            </w:pPr>
            <w:r>
              <w:rPr>
                <w:rFonts w:ascii="Arial" w:cs="Arial" w:eastAsia="Arial" w:hAnsi="Arial"/>
                <w:sz w:val="18"/>
                <w:szCs w:val="18"/>
                <w:color w:val="auto"/>
              </w:rPr>
              <w:t>8,750</w:t>
            </w:r>
          </w:p>
        </w:tc>
        <w:tc>
          <w:tcPr>
            <w:tcW w:w="38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Outstanding as of the end of year</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913,569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805,566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Excludes 91,600 grants of performance-based stock units that are not considered outstanding until such time that they become probable to vest.</w:t>
      </w:r>
    </w:p>
    <w:p>
      <w:pPr>
        <w:spacing w:after="0" w:line="16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During the year ended December 31, 2019, the Company recognized $5.3 million of compensation expense related to stock awards, restricted stock and stock options granted to employees and directors under the 2017 Plan. As of December 31, 2019, the Company had approximately $6.5 million in total unrecognized compensation costs. The weighted average period over which the compensation cost of non-vested awards will be recognized is approximately 1.25 and 1.33 years for stock options and restricted stock, respectively.</w:t>
      </w:r>
    </w:p>
    <w:p>
      <w:pPr>
        <w:spacing w:after="0" w:line="16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During the year ended December 31, 2018, the Company recognized $4.4 million of compensation expense related to stock awards, restricted stock and stock options granted to employees and directors under the 2017 Plan. As of December 31, 2018, the Company had approximately $6.8 million in total unrecognized compensation costs.</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During the year ended December 31, 2017, the Company recognized $0.8 million of compensation expense related to stock awards, restricted stock and stock options granted to employees and directors under the 2017 Plan and $0.6 million of compensation expense related to SEACOR Marine restricted stock distributed to employees by SEACOR Holdings in connection with the Spin-off (collectively referred to as “share awards”). As of December 31, 2017, the Company had approximately $5.2 million in total unrecognized compensation costs.</w:t>
      </w:r>
    </w:p>
    <w:p>
      <w:pPr>
        <w:spacing w:after="0" w:line="146"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The weighted average fair value of restricted stock granted under the 2017 Plan was $13.28 and $21.63 for the year ended December 31, 2019 and 2018, respectively. The fair value was based the closing price of the Company’s stock on the day of the grant. The weighted average fair value of stock options granted under the 2017 Plan was $8.73 and $9.99 for the year ended December 31, 2019 and 2018, respectively. The fair value of each option granted during the years ended December 31, 2019 and 2018, was estimated on the date of grant using the Black-Scholes option pricing model with the following assumptions: (a) no dividend yield; (b) weighted average expected volatility of 51.1 and 50.4, respectively; (c) weighted average discount rate of 2.1% and 2.79%, respectively and (d) expected life of 9.75 and 6.00 years, respectively. The intrinsic value of stock options exercised during 2019 was $1.6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4" w:name="page115"/>
    <w:bookmarkEnd w:id="114"/>
    <w:p>
      <w:pPr>
        <w:ind w:left="760"/>
        <w:spacing w:after="0"/>
        <w:rPr>
          <w:sz w:val="20"/>
          <w:szCs w:val="20"/>
          <w:color w:val="auto"/>
        </w:rPr>
      </w:pPr>
      <w:r>
        <w:rPr>
          <w:rFonts w:ascii="Arial" w:cs="Arial" w:eastAsia="Arial" w:hAnsi="Arial"/>
          <w:sz w:val="16"/>
          <w:szCs w:val="16"/>
          <w:color w:val="auto"/>
        </w:rPr>
        <w:t>During the year ended December 31, 2019, the number of shares and the weighted average grant price of restricted stock transactions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5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0" w:type="dxa"/>
            <w:vAlign w:val="bottom"/>
          </w:tcPr>
          <w:p>
            <w:pPr>
              <w:spacing w:after="0"/>
              <w:rPr>
                <w:sz w:val="1"/>
                <w:szCs w:val="1"/>
                <w:color w:val="auto"/>
              </w:rPr>
            </w:pPr>
          </w:p>
        </w:tc>
      </w:tr>
      <w:tr>
        <w:trPr>
          <w:trHeight w:val="205"/>
        </w:trPr>
        <w:tc>
          <w:tcPr>
            <w:tcW w:w="15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9"/>
              </w:rPr>
              <w:t>Weight 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Grant Price</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192,346</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245,400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2019</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303,609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7"/>
          </w:tcPr>
          <w:p>
            <w:pPr>
              <w:ind w:left="760"/>
              <w:spacing w:after="0"/>
              <w:rPr>
                <w:sz w:val="20"/>
                <w:szCs w:val="20"/>
                <w:color w:val="auto"/>
              </w:rPr>
            </w:pPr>
            <w:r>
              <w:rPr>
                <w:rFonts w:ascii="Arial" w:cs="Arial" w:eastAsia="Arial" w:hAnsi="Arial"/>
                <w:sz w:val="18"/>
                <w:szCs w:val="18"/>
                <w:color w:val="auto"/>
                <w:w w:val="92"/>
              </w:rPr>
              <w:t>During the year ended December 31, 2019, the number of shares and the weighted average exercise price on stock option transactions were as</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5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Stock Options</w:t>
            </w:r>
          </w:p>
        </w:tc>
        <w:tc>
          <w:tcPr>
            <w:tcW w:w="0" w:type="dxa"/>
            <w:vAlign w:val="bottom"/>
          </w:tcPr>
          <w:p>
            <w:pPr>
              <w:spacing w:after="0"/>
              <w:rPr>
                <w:sz w:val="1"/>
                <w:szCs w:val="1"/>
                <w:color w:val="auto"/>
              </w:rPr>
            </w:pPr>
          </w:p>
        </w:tc>
      </w:tr>
      <w:tr>
        <w:trPr>
          <w:trHeight w:val="205"/>
        </w:trPr>
        <w:tc>
          <w:tcPr>
            <w:tcW w:w="15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9"/>
              </w:rPr>
              <w:t>Weight Average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Grant Price</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805,566</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230,503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113,750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as of December 31, 2019</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913,569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2019</w:t>
            </w:r>
            <w:r>
              <w:rPr>
                <w:rFonts w:ascii="Arial" w:cs="Arial" w:eastAsia="Arial" w:hAnsi="Arial"/>
                <w:sz w:val="15"/>
                <w:szCs w:val="15"/>
                <w:color w:val="auto"/>
              </w:rPr>
              <w:t>(1)</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6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weighted average remaining contractual term is 8.23 years.</w:t>
      </w:r>
    </w:p>
    <w:p>
      <w:pPr>
        <w:spacing w:after="0" w:line="181" w:lineRule="exact"/>
        <w:rPr>
          <w:sz w:val="20"/>
          <w:szCs w:val="20"/>
          <w:color w:val="auto"/>
        </w:rPr>
      </w:pPr>
    </w:p>
    <w:p>
      <w:pPr>
        <w:ind w:firstLine="761"/>
        <w:spacing w:after="0" w:line="308" w:lineRule="auto"/>
        <w:rPr>
          <w:sz w:val="20"/>
          <w:szCs w:val="20"/>
          <w:color w:val="auto"/>
        </w:rPr>
      </w:pPr>
      <w:r>
        <w:rPr>
          <w:rFonts w:ascii="Arial" w:cs="Arial" w:eastAsia="Arial" w:hAnsi="Arial"/>
          <w:sz w:val="17"/>
          <w:szCs w:val="17"/>
          <w:color w:val="auto"/>
        </w:rPr>
        <w:t>As of December 31, 2019, there were 913,569 stock options outstanding with a weighted average exercise price of $14.85 and a weighted average remaining contractual term of 8.47 years. As of December 31, 2019, there was no aggregate intrinsic value for options outstanding.</w:t>
      </w:r>
    </w:p>
    <w:p>
      <w:pPr>
        <w:spacing w:after="0" w:line="102"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u w:val="single" w:color="auto"/>
          <w:color w:val="auto"/>
        </w:rPr>
        <w:t>Transactions with SEACOR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provided services of $0.1 million to SEACOR Holdings during the year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31, 2017.</w:t>
      </w:r>
    </w:p>
    <w:p>
      <w:pPr>
        <w:spacing w:after="0" w:line="170"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In connection with the Spin-off, SEACOR Marine entered into certain agreements with SEACOR Holdings that govern SEACOR Marine’s relationship with SEACOR Holdings following the Spin-off, including a Distribution Agreement, two Transition Services Agreements, an Employee Matters Agreement and a Tax Matters Agreement.</w:t>
      </w:r>
    </w:p>
    <w:p>
      <w:pPr>
        <w:spacing w:after="0" w:line="154"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As of December 31, 2019, SEACOR Holdings had guaranteed $22.8 million for various obligations of the Company, including performance obligations under sale-leaseback arrangements (see Note 7) and invoiced amounts for funding deficits under the MNOPF (see Note 15). As of December 31, 2018, SEACOR Holdings had guaranteed $40.6 million for various obligations of the Company, including: BNDES Equipment Construction Finance Notes (see Note 8); letters of credit issued on behalf of the Company; performance obligations under sale-leaseback arrangements (see Note 7); and invoiced amounts for funding deficits under the MNOPF (see Note 15). Pursuant to the Transition Services Agreement with SEACOR Holdings, SEACOR Holdings charges the Company a fee of 0.5% on outstanding guaranteed amounts, which declines as the guaranteed obligations are settled by the Company. The Company recognized guarantee fees in connection with sale-leaseback arrangements of $0.2 million, $0.3 million and $0.3 million during 2019, 2018 and 2017, respectively, as additional leased-in equipment operating expenses in the accompanying consolidated statements of loss. Guarantee fees paid to SEACOR Holdings for all other obligations are recognized as SEACOR Holdings guarantee fees in the accompanying consolidated statements of loss.</w:t>
      </w:r>
    </w:p>
    <w:p>
      <w:pPr>
        <w:spacing w:after="0" w:line="126"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Pursuant to one of the Transitions Services Agreements with SEACOR Holdings, the Company is obligated to reimburse SEACOR Holdings up to 50% of the severance and restructuring costs actually incurred by SEACOR Holdings as a result of the Spin-off up to, but not in excess of, $6.0 million (such that the Company shall not be obligated to pay more than $3.0 million). As of December 31, 2017, the Company had reimbursed SEACOR Holdings severance and restructuring costs of $0.7 million, which were recognized as additional administrative and general expenses in the accompanying consolidated statements of loss. There was no such reimbursement for the years ended December 31, 2019 and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5" w:name="page116"/>
    <w:bookmarkEnd w:id="115"/>
    <w:p>
      <w:pPr>
        <w:jc w:val="both"/>
        <w:ind w:firstLine="761"/>
        <w:spacing w:after="0" w:line="273" w:lineRule="auto"/>
        <w:rPr>
          <w:sz w:val="20"/>
          <w:szCs w:val="20"/>
          <w:color w:val="auto"/>
        </w:rPr>
      </w:pPr>
      <w:r>
        <w:rPr>
          <w:rFonts w:ascii="Arial" w:cs="Arial" w:eastAsia="Arial" w:hAnsi="Arial"/>
          <w:sz w:val="17"/>
          <w:szCs w:val="17"/>
          <w:color w:val="auto"/>
        </w:rPr>
        <w:t>Following the completion of the Spin-off, the Company is no longer charged for management fees or shared services allocation (see below) for administrative support by SEACOR Holdings; however, the Company continues to be supported by SEACOR Holdings for corporate services pursuant to the Transition Services Agreements with SEACOR Holdings under which it was initially charged $6.3 million annually for these services. The fees incurred have declined as the services and functions provided by SEACOR Holdings are terminated and replicated within the Company. For the year ended December 31, 2019, 2018, and 2017, the Company incurred fees of $0.6 million, $4.5 million and $3.3 million, respectively, for these services that were recognized as additional administrative and general expenses in the accompanying consolidated statements of loss.</w:t>
      </w:r>
    </w:p>
    <w:p>
      <w:pPr>
        <w:spacing w:after="0" w:line="15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Prior to the Spin-off, certain costs and expenses of the Company were borne by SEACOR Holdings and charged to the Company. These costs and expenses are included in both operating and administrative and general expenses in the accompanying consolidated statements of loss and are summarized as follows for the year ended December 31, 2017 (in thousands):</w:t>
      </w:r>
    </w:p>
    <w:p>
      <w:pPr>
        <w:sectPr>
          <w:pgSz w:w="11900" w:h="16838" w:orient="portrait"/>
          <w:cols w:equalWidth="0" w:num="1">
            <w:col w:w="11420"/>
          </w:cols>
          <w:pgMar w:left="240" w:top="30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SEACOR Holdings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SEACOR Holdings share award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Shared services allocation for administrative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22"/>
        </w:trPr>
        <w:tc>
          <w:tcPr>
            <w:tcW w:w="2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8,383</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r>
      <w:tr>
        <w:trPr>
          <w:trHeight w:val="223"/>
        </w:trPr>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80" w:space="720"/>
            <w:col w:w="2020"/>
          </w:cols>
          <w:pgMar w:left="240" w:top="301" w:right="239" w:bottom="1440" w:gutter="0" w:footer="0" w:header="0"/>
          <w:type w:val="continuous"/>
        </w:sectPr>
      </w:pPr>
    </w:p>
    <w:p>
      <w:pPr>
        <w:spacing w:after="0" w:line="2" w:lineRule="exact"/>
        <w:rPr>
          <w:sz w:val="20"/>
          <w:szCs w:val="20"/>
          <w:color w:val="auto"/>
        </w:rPr>
      </w:pPr>
    </w:p>
    <w:p>
      <w:pPr>
        <w:jc w:val="both"/>
        <w:ind w:left="1140" w:hanging="376"/>
        <w:spacing w:after="0" w:line="264"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SEACOR Holdings maintained self-insured health benefit plans for participating employees, including those of the Company, and charged the Company for its share of total plan costs incurred based on the percentage of its participating employees. Following the Spin-off, the Company no longer participates in SEACOR Holdings’ self-insured health benefit plans;</w:t>
      </w:r>
    </w:p>
    <w:p>
      <w:pPr>
        <w:spacing w:after="0" w:line="140" w:lineRule="exact"/>
        <w:rPr>
          <w:rFonts w:ascii="Arial" w:cs="Arial" w:eastAsia="Arial" w:hAnsi="Arial"/>
          <w:sz w:val="18"/>
          <w:szCs w:val="18"/>
          <w:color w:val="auto"/>
        </w:rPr>
      </w:pPr>
    </w:p>
    <w:p>
      <w:pPr>
        <w:jc w:val="both"/>
        <w:ind w:left="1140" w:hanging="376"/>
        <w:spacing w:after="0" w:line="290" w:lineRule="auto"/>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certain officers and employees of the Company received compensation through participation in SEACOR Holdings’ share award plans. The Company paid SEACOR Holdings for the fair value of its employees’ share awards. Pursuant to the Employee Matters Agreement with SEACOR Holdings, participating Company personnel vested in all outstanding SEACOR Holdings share awards upon the Spin-off and received SEACOR Marine restricted stock from the Spin-off distribution in connection with outstanding SEACOR Holdings restricted stock held. As a consequence, the Company paid SEACOR Holdings $9.4 million upon completion of the Spin-off, including $2.7 million for the distribution of 120,693 shares of SEACOR Marine restricted stock (see Note 16), which is being amortized over the participants’ remaining original vesting periods, and $6.7 million on the accelerated vesting of SEACOR Holdings share awards, which was immediately recognized. In addition, the Company recognized and paid share award expense of $1.7 million through the date of the Spin-off; and</w:t>
      </w:r>
    </w:p>
    <w:p>
      <w:pPr>
        <w:spacing w:after="0" w:line="125" w:lineRule="exact"/>
        <w:rPr>
          <w:rFonts w:ascii="Arial" w:cs="Arial" w:eastAsia="Arial" w:hAnsi="Arial"/>
          <w:sz w:val="16"/>
          <w:szCs w:val="16"/>
          <w:color w:val="auto"/>
        </w:rPr>
      </w:pPr>
    </w:p>
    <w:p>
      <w:pPr>
        <w:jc w:val="both"/>
        <w:ind w:left="1140" w:hanging="376"/>
        <w:spacing w:after="0" w:line="259"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the Spin-off, SEACOR Holdings provided certain administrative support services to the Company under a shared services arrangement, including but not limited to payroll processing, information systems support, benefit plan management, cash disbursement support and treasury management. The Company was charged for its share of actual costs incurred generally based on volume processed or units supported.</w:t>
      </w:r>
    </w:p>
    <w:p>
      <w:pPr>
        <w:spacing w:after="0" w:line="146"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b w:val="1"/>
          <w:bCs w:val="1"/>
          <w:i w:val="1"/>
          <w:iCs w:val="1"/>
          <w:u w:val="single" w:color="auto"/>
          <w:color w:val="auto"/>
        </w:rPr>
        <w:t>Transactions regarding OSV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Charles Fabrikant (Non-Executive Chairman of SEACOR Marine), John Gellert (President,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Director of SEACOR Marine), Jesús Llorca (Executive Vice President and Chief Financial Officer of SEACOR Marine), other members of the Company’s management and board of directors and other unaffiliated individuals indirectly invested in OSV Partners by purchasing interests from three unaffiliated limited partners of OSV Partners who wished to dispose of their interests. During 2018, OSV Partners (i) raised $7.5 million of cash: $5 million in the form of second lien debt and $2.5 million in the form of class A preferred interests and (ii) obtained commitments from the limited partners of OSV Partners for an additional $2.5 million in the form of class a preferred interest. On December 18, 2019, the general partner of OSV Partners called these remaining commitments. As of December 31, 2019, limited liability companies controlled by management and directors of the Company had invested $1.5 million, or 3.9%, in the limited partner interests; $0.3 million, or 5.0%, in preferred interests; $0.2 million, or 3.9%, in the form of second lien debt; and $0.2 million, or 3.9%, in the class A preferred interests of OSV Partners. As of December 31, 2019, the investments of Messrs. Fabrikant, Gellert and Llorca in such limited liability companies were $0.3 million, $0.4 million and $0.2 million, respectively, representing 39.6% of such limited liability companies’ membership interests. The general partner of OSV Partners is a joint venture managed by the Company and an unaffiliated third-party. The Company owns 30.4% in the limited partner interests, 38.6% in the preferred interests, 43.0% of the second lien debt, and 43.0% in the class A preferred interest of OSV Partners. The Company agreed to abate to zero the management fees it charges to OSV Partners through December 31, 2020.</w:t>
      </w:r>
    </w:p>
    <w:p>
      <w:pPr>
        <w:spacing w:after="0" w:line="134"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i w:val="1"/>
          <w:iCs w:val="1"/>
          <w:u w:val="single" w:color="auto"/>
          <w:color w:val="auto"/>
        </w:rPr>
        <w:t>Transactions regarding Windcat Workboats.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25, 2019, Seabulk Overseas, a wholly-owned subsidiary of SEACOR Marine, acquired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6.25% minority interest in Windcat Workboats that it did not previously own upon the exercise of a put option by one of the two minority owners, each of whom is a member (or an affiliate of a member) of management of Windcat Workboats, pursuant to the terms of a certain Subscription and Shareholders Agreement, as amended, for consideration of £1.6 ($2.0 million). On March 15, 2019, Seabulk Overseas acquired the other 6.25% minority interest in Windcat Workboats that it did not previously own for consideration of 50,000 shares of Common Stock and €1.2 million (approximately $1.4 million) in cash. The two acquisitions resulted in Seabulk Overseas owning 100% of Windcat Workboats, a consolidated subsidiary which owns and operates the Company’s CTV that are primarily used to move personnel and supplies in Europe’s offshore wind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16" w:name="page117"/>
    <w:bookmarkEnd w:id="116"/>
    <w:p>
      <w:pPr>
        <w:jc w:val="both"/>
        <w:ind w:firstLine="761"/>
        <w:spacing w:after="0" w:line="264" w:lineRule="auto"/>
        <w:rPr>
          <w:sz w:val="20"/>
          <w:szCs w:val="20"/>
          <w:color w:val="auto"/>
        </w:rPr>
      </w:pPr>
      <w:r>
        <w:rPr>
          <w:rFonts w:ascii="Arial" w:cs="Arial" w:eastAsia="Arial" w:hAnsi="Arial"/>
          <w:sz w:val="18"/>
          <w:szCs w:val="18"/>
          <w:b w:val="1"/>
          <w:bCs w:val="1"/>
          <w:i w:val="1"/>
          <w:iCs w:val="1"/>
          <w:u w:val="single" w:color="auto"/>
          <w:color w:val="auto"/>
        </w:rPr>
        <w:t>Transactions with Carlyle.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December 1, 2015, the Company issued $175.0 million aggregate principal amount of its Convertible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managed and controlled by Carlyle. Interest on the Convertible Notes is payable semi-annually on June 15 and December 15 of each year, commencing June 15, 2016 (see Note 8).</w:t>
      </w:r>
    </w:p>
    <w:p>
      <w:pPr>
        <w:spacing w:after="0" w:line="154"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Pursuant to the note purchase agreement for the Convertible Notes and the Investment Agreement, the Company must use reasonable best efforts, subject to its directors’ fiduciary duties, to cause a person designated by Carlyle to be appointed as a director on the Board, if Carlyle, solely as a result of the conversion of the Convertible Notes, collectively owns, continues to own, or would (upon conversion) own 10.0% or more of the Company’s outstanding shares of Common Stock. During 2017, Ferris Hussein served on the Board as the director designated by Carlyle until his resignation on April 17, 2018. Carlyle has not exercised this right subsequent to Mr. Hussein’s resignation but retains the right to appoint a Board member. Mr. Hussein has been designated by Carlyle to observe meetings of the Board pursuant to Carlyle’s observer rights under the Convertible Notes. This observation right will terminate at the time Carlyle owns less than $50.0 million in aggregate principal amount of the Convertible Notes or a combination of the Convertible Notes and our Common Stock representing less than 5.0% of the Company’s Common Stock outstanding on a fully diluted basis, assuming the conversion of all of the Convertible Notes and Warrants to purchase Common Stock held by Carlyle.</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April 2018, the Company entered into the following Exchange and other transactions with Carlyle pursuant to which:</w:t>
      </w:r>
    </w:p>
    <w:p>
      <w:pPr>
        <w:spacing w:after="0" w:line="185" w:lineRule="exact"/>
        <w:rPr>
          <w:sz w:val="20"/>
          <w:szCs w:val="20"/>
          <w:color w:val="auto"/>
        </w:rPr>
      </w:pPr>
    </w:p>
    <w:p>
      <w:pPr>
        <w:jc w:val="both"/>
        <w:ind w:left="1140" w:hanging="376"/>
        <w:spacing w:after="0" w:line="259"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exchanged $50.0 million in principal amount of the Convertible Notes for Common Stock (or warrants to purchase an equivalent number of shares of Common Stock at an exercise price of $0.01 per share) at an exchange rate of 37.73 per $1,000 principal amount of the Notes (equivalent to an exchange price of $26.50) for a total of approximately 1.9 million shares of Common Stock including Common Stock issuable upon exercise of the Exchange Warrants (the “Exchange”);</w:t>
      </w:r>
    </w:p>
    <w:p>
      <w:pPr>
        <w:spacing w:after="0" w:line="146"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and Carlyle amended the $125.0 million in principal amount of Convertible Notes that remains outstanding after the Exchange to (i) increase the interest rate from 3.75% per annum to 4.25% per annum and (ii) extend the maturity of the Convertible Notes by 12 months to December 1, 2023; and</w:t>
      </w:r>
    </w:p>
    <w:p>
      <w:pPr>
        <w:spacing w:after="0" w:line="140" w:lineRule="exact"/>
        <w:rPr>
          <w:rFonts w:ascii="Arial" w:cs="Arial" w:eastAsia="Arial" w:hAnsi="Arial"/>
          <w:sz w:val="18"/>
          <w:szCs w:val="18"/>
          <w:color w:val="auto"/>
        </w:rPr>
      </w:pPr>
    </w:p>
    <w:p>
      <w:pPr>
        <w:jc w:val="both"/>
        <w:ind w:left="1140" w:hanging="376"/>
        <w:spacing w:after="0" w:line="286" w:lineRule="auto"/>
        <w:tabs>
          <w:tab w:leader="none" w:pos="11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Carlyle purchased 750,000 shares of Common Stock in a private placement whereby the Company issued an aggregate of 2,168,586 shares of Common Stock and warrants to purchase 674,164 shares of Common Stock at an exercise price of $0.01 per share in a private placement exempt from registration under the Securities Act (the “PIPE Issuance”) for aggregate consideration of $15.0 million.</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u w:val="single" w:color="auto"/>
          <w:color w:val="auto"/>
        </w:rPr>
        <w:t>Transactions with CME</w:t>
      </w:r>
      <w:r>
        <w:rPr>
          <w:rFonts w:ascii="Arial" w:cs="Arial" w:eastAsia="Arial" w:hAnsi="Arial"/>
          <w:sz w:val="16"/>
          <w:szCs w:val="16"/>
          <w:color w:val="auto"/>
        </w:rPr>
        <w:t>. Mr. Alfredo Miguel Bejos, who was elected as a director at the Company’s 2019 annual meeting, currently serves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of CME. The Company entered into the following transactions with CME in 2018:</w:t>
      </w:r>
    </w:p>
    <w:p>
      <w:pPr>
        <w:spacing w:after="0" w:line="184" w:lineRule="exact"/>
        <w:rPr>
          <w:sz w:val="20"/>
          <w:szCs w:val="20"/>
          <w:color w:val="auto"/>
        </w:rPr>
      </w:pPr>
    </w:p>
    <w:p>
      <w:pPr>
        <w:ind w:left="1140" w:hanging="376"/>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April 26, 2018, CME purchased 325,836 shares of Common Stock and 674,164 warrants to purchase the Company’s Common Stock in the PIPE Issuance for aggregate consideration of $20.0 million.</w:t>
      </w:r>
    </w:p>
    <w:p>
      <w:pPr>
        <w:spacing w:after="0" w:line="129" w:lineRule="exact"/>
        <w:rPr>
          <w:rFonts w:ascii="Arial" w:cs="Arial" w:eastAsia="Arial" w:hAnsi="Arial"/>
          <w:sz w:val="18"/>
          <w:szCs w:val="18"/>
          <w:color w:val="auto"/>
        </w:rPr>
      </w:pPr>
    </w:p>
    <w:p>
      <w:pPr>
        <w:jc w:val="both"/>
        <w:ind w:left="1140" w:hanging="376"/>
        <w:spacing w:after="0" w:line="255"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December 20, 2018, MEXMAR Offshore, a joint venture that is 49.0% owned by a subsidiary of the Company and 51.0% owned by a subsidiary of CME, acquired UP Offshore. UP Offshore was acquired for nominal consideration. In connection with the acquisition, UP Offshore’s existing debt was refinanced with $95.0 million of new indebtedness composed of (i) a $70.0 million six-year debt facility provided by UP Offshore’s existing lenders that is non-recourse to the Company, CME or any of their respective subsidiaries, (ii) a $15.0 million loan from MexMar, a joint venture between CME and the Company, to fund capital expenditures on two vessels and (iii) a $10.0 million loan from MEXMAR Offshore to fund working capital requirements funded by an approximate $5.0 million capital contribution to MEXMAR Offshore by each of the Company and CME.</w:t>
      </w:r>
    </w:p>
    <w:p>
      <w:pPr>
        <w:spacing w:after="0" w:line="14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 also participates in a variety of other joint ventures with CME, including MexMar, SMLLC and OVH. During 2018, the Company earned charter revenue of $16.5 million and management fees of $300,000 from MexMar. These agreements with MexMar were negotiated at arms-length in the ordinary course of business. In addition, in 2018:</w:t>
      </w:r>
    </w:p>
    <w:p>
      <w:pPr>
        <w:spacing w:after="0" w:line="141" w:lineRule="exact"/>
        <w:rPr>
          <w:sz w:val="20"/>
          <w:szCs w:val="20"/>
          <w:color w:val="auto"/>
        </w:rPr>
      </w:pPr>
    </w:p>
    <w:p>
      <w:pPr>
        <w:jc w:val="both"/>
        <w:ind w:left="1140" w:hanging="376"/>
        <w:spacing w:after="0" w:line="286"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created a new subsidiary, SMLLC and contributed the Seacor Marlin supply vessel into SMLLC. On September 13, 2018, the Company sold 51.0% of SMLLC to MEXMAR Offshore, a wholly-owned subsidiary of MexMar, for $8.0 million in cash. The Seacor Marlin supply vessel was pledged as collateral under the MexMar credit facility, for which the Company receives an annual collateral fee.</w:t>
      </w:r>
    </w:p>
    <w:p>
      <w:pPr>
        <w:spacing w:after="0" w:line="125" w:lineRule="exact"/>
        <w:rPr>
          <w:rFonts w:ascii="Arial" w:cs="Arial" w:eastAsia="Arial" w:hAnsi="Arial"/>
          <w:sz w:val="17"/>
          <w:szCs w:val="17"/>
          <w:color w:val="auto"/>
        </w:rPr>
      </w:pPr>
    </w:p>
    <w:p>
      <w:pPr>
        <w:ind w:left="1140" w:hanging="376"/>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received a return of a capital advance from MexMar of $9.8 million.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2019, the Company sold an FSV to OVH for $2.4 million through a seller’s finance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7" w:name="page118"/>
    <w:bookmarkEnd w:id="117"/>
    <w:p>
      <w:pPr>
        <w:ind w:firstLine="761"/>
        <w:spacing w:after="0" w:line="277" w:lineRule="auto"/>
        <w:rPr>
          <w:sz w:val="20"/>
          <w:szCs w:val="20"/>
          <w:color w:val="auto"/>
        </w:rPr>
      </w:pPr>
      <w:r>
        <w:rPr>
          <w:rFonts w:ascii="Arial" w:cs="Arial" w:eastAsia="Arial" w:hAnsi="Arial"/>
          <w:sz w:val="18"/>
          <w:szCs w:val="18"/>
          <w:b w:val="1"/>
          <w:bCs w:val="1"/>
          <w:i w:val="1"/>
          <w:iCs w:val="1"/>
          <w:u w:val="single" w:color="auto"/>
          <w:color w:val="auto"/>
        </w:rPr>
        <w:t>Other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JMG GST LLC, an entity managed by Mr. John Gellert, President, Chief Executive Officer and director of SEACOR Marine,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$1,000,000, or 50,000 shares, of Common Stock in the PIPE Issuance.</w:t>
      </w:r>
    </w:p>
    <w:p>
      <w:pPr>
        <w:spacing w:after="0" w:line="166"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As of December 31, 2019, the Company had capital commitments of $35.9 million for four PSVs, one CTV and other equipment, to be delivered in 2020. The Company has indefinitely deferred an additional $30.2 million of orders with respect to three FSVs.</w:t>
      </w:r>
    </w:p>
    <w:p>
      <w:pPr>
        <w:spacing w:after="0" w:line="130"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In 2015, the Brazilian Federal Revenue Office issued a tax-deficiency notice to Seabulk Offshore do Brasil Ltda (“Seabulk Offshore do Brasil”), an indirectly wholly owned subsidiary of SEACOR Marine, with respect to certain profit participation contribution (“PIS”) and social security financing contribution (“COFINS”) requirements alleged to be due from Seabulk Offshore do Brasil (“Deficiency Notice”). In February 2015, Company deposited with the relevant Brazilian court an amount equal to USD $1.2 million and appealed the Deficiency Notice on the basis that such contributions were not applicable in the circumstances of a 70%/30% cost allocation structure. The case was remitted to the second instance and is currently awaiting trial.</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The potential range of levies arising from the Deficiency Notice is R$12.8 million - R$17.5 million (USD $3.2 million – USD $4.3 million based on the exchange rate as of December 31, 2019).</w:t>
      </w:r>
    </w:p>
    <w:p>
      <w:pPr>
        <w:spacing w:after="0" w:line="13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growth prospects.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$2.0 million available under its Windcat Workboats credit facilities.</w:t>
      </w:r>
    </w:p>
    <w:p>
      <w:pPr>
        <w:spacing w:after="0" w:line="181"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SEGMENT INFORMATION</w:t>
      </w:r>
    </w:p>
    <w:p>
      <w:pPr>
        <w:spacing w:after="0" w:line="18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During the year ended December 31, 2019, Seacor Marine Arabia LLC was responsible for $30.8 million or 15% ($20.3 million or 10% from Zamil Offshore and $10.5 million or 5% from Saudi Aramco) of the Company’s total consolidated operating revenues from continuing operations. During the year ended December 31, 2018, Seacor Marine Arabia LLC was responsible for $21.4 million or 10% ($12.2 million or 6% from Zamil Offshore and $9.2 million or 4% from Saudi Aramco) of the Company’s total consolidated operating revenues from continuing operations. During the year ended December 31, 2017, Seacor Marine Arabia LLC was responsible for $16.0 million or 13% ($4.5 million or 4% from Zamil Offshore and $11.2 million or 9% from Saudi Aramco) of the Company’s total consolidated operating revenues from continuing operations.</w:t>
      </w:r>
    </w:p>
    <w:p>
      <w:pPr>
        <w:spacing w:after="0" w:line="13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During the years ended December 31, 2019, 2018 and 2017, the ten largest customers of the Company accounted for approximately 44%, 49%, and 58%, respectively, of the Company’s operating revenues from continuing operations. The loss of one or more of these customers could have a material adverse effect on the Company’s results of operations and cash flows.</w:t>
      </w:r>
    </w:p>
    <w:p>
      <w:pPr>
        <w:spacing w:after="0" w:line="154"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For the years ended December 31, 2019, 2018 and 2017, approximately 78%, 36%, and 82%, respectively, of the Company’s operating revenues and $(12.8) million, $(3.0) million, and $2.0 million, respectively, of equity in (losses) earnings from 50% or less owned companies, net of tax, were derived from its continuing foreign operations.</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Company’s offshore support vessels are highly mobile and regularly and routinely move between countries within a geographic region of the world. In addition, these vessels may be redeployed among the geographic regions, subject to flag restrictions, as changes in market conditions dictate. Because of this asset mobility, operating revenues and long-lived assets in any one country and capital expenditures for long-lived assets and gains or losses on asset dispositions and impairments in any one geographic region are not considered meaningful.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8" w:name="page119"/>
    <w:bookmarkEnd w:id="118"/>
    <w:p>
      <w:pPr>
        <w:jc w:val="both"/>
        <w:ind w:firstLine="761"/>
        <w:spacing w:after="0" w:line="279" w:lineRule="auto"/>
        <w:rPr>
          <w:sz w:val="20"/>
          <w:szCs w:val="20"/>
          <w:color w:val="auto"/>
        </w:rPr>
      </w:pPr>
      <w:r>
        <w:rPr>
          <w:rFonts w:ascii="Arial" w:cs="Arial" w:eastAsia="Arial" w:hAnsi="Arial"/>
          <w:sz w:val="17"/>
          <w:szCs w:val="17"/>
          <w:color w:val="auto"/>
        </w:rPr>
        <w:t>The following tables summarize (in thousands) the operating results and property and equipment of the Company’s reportable segments. Direct vessel profit is the Company’s measure of segment profitability, a key metric in assessing the performance of its fleet. Direct vessel profit is defined as operating revenues less direct operating expenses excluding leased-in equipment expense. The Company utilizes direct vessel profit as its primary financial measure to analyze and compare the operating performance of its individual vessels, fleet categories, regions and combined fleet.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Europe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Gulf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(primarily</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Middle East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Latin</w:t>
            </w: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Continuing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Mexico)</w:t>
            </w:r>
          </w:p>
        </w:tc>
        <w:tc>
          <w:tcPr>
            <w:tcW w:w="100" w:type="dxa"/>
            <w:vAlign w:val="bottom"/>
          </w:tcPr>
          <w:p>
            <w:pPr>
              <w:spacing w:after="0"/>
              <w:rPr>
                <w:sz w:val="20"/>
                <w:szCs w:val="20"/>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West Africa)</w:t>
            </w:r>
          </w:p>
        </w:tc>
        <w:tc>
          <w:tcPr>
            <w:tcW w:w="14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and Asia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America</w:t>
            </w:r>
          </w:p>
        </w:tc>
        <w:tc>
          <w:tcPr>
            <w:tcW w:w="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Operations</w:t>
            </w:r>
          </w:p>
        </w:tc>
        <w:tc>
          <w:tcPr>
            <w:tcW w:w="16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2019</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16,419</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39,148</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Profit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19,135</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Leased-in equipment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Losses on Asset Dispositions and</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Impairments, Net</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Historical cost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297,392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292,446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(57,136)</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(16,239)</w:t>
            </w:r>
          </w:p>
        </w:tc>
        <w:tc>
          <w:tcPr>
            <w:tcW w:w="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(55,034)</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(358,962)</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b w:val="1"/>
                <w:bCs w:val="1"/>
                <w:color w:val="auto"/>
              </w:rPr>
              <w:t>(1)</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161,915</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116,736</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109,874</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Total assets exclude $145,232 thousand of corporate assets.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Europe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Gulf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(primarily</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Middle East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Latin</w:t>
            </w: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Continuing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Mexico)</w:t>
            </w:r>
          </w:p>
        </w:tc>
        <w:tc>
          <w:tcPr>
            <w:tcW w:w="100" w:type="dxa"/>
            <w:vAlign w:val="bottom"/>
          </w:tcPr>
          <w:p>
            <w:pPr>
              <w:spacing w:after="0"/>
              <w:rPr>
                <w:sz w:val="20"/>
                <w:szCs w:val="20"/>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West Africa)</w:t>
            </w:r>
          </w:p>
        </w:tc>
        <w:tc>
          <w:tcPr>
            <w:tcW w:w="14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and Asia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America</w:t>
            </w:r>
          </w:p>
        </w:tc>
        <w:tc>
          <w:tcPr>
            <w:tcW w:w="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Operations</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2018</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charter</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Bareboat charter</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51,508</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23,532</w:t>
            </w:r>
          </w:p>
        </w:tc>
        <w:tc>
          <w:tcPr>
            <w:tcW w:w="2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25,778</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500"/>
              <w:spacing w:after="0"/>
              <w:rPr>
                <w:sz w:val="20"/>
                <w:szCs w:val="20"/>
                <w:color w:val="auto"/>
              </w:rPr>
            </w:pPr>
            <w:r>
              <w:rPr>
                <w:rFonts w:ascii="Arial" w:cs="Arial" w:eastAsia="Arial" w:hAnsi="Arial"/>
                <w:sz w:val="18"/>
                <w:szCs w:val="18"/>
                <w:color w:val="auto"/>
              </w:rPr>
              <w:t>Repairs and maintenance</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Drydocking</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500"/>
              <w:spacing w:after="0"/>
              <w:rPr>
                <w:sz w:val="20"/>
                <w:szCs w:val="20"/>
                <w:color w:val="auto"/>
              </w:rPr>
            </w:pPr>
            <w:r>
              <w:rPr>
                <w:rFonts w:ascii="Arial" w:cs="Arial" w:eastAsia="Arial" w:hAnsi="Arial"/>
                <w:sz w:val="18"/>
                <w:szCs w:val="18"/>
                <w:color w:val="auto"/>
              </w:rPr>
              <w:t>Insurance and loss reserves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Fuel, lubes and supplies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Profit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17,320</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15,144</w:t>
            </w: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Leased-in equipment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Administrative and general</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Losses on Asset Dispositions and</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Impairments, Net</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(68,509</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Historical cost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432,336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184,361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306,897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124,177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1,116,583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6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(224,737)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(55,206)</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(57,002)</w:t>
            </w:r>
          </w:p>
        </w:tc>
        <w:tc>
          <w:tcPr>
            <w:tcW w:w="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(43,076)</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(461,399)</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655,184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b w:val="1"/>
                <w:bCs w:val="1"/>
                <w:color w:val="auto"/>
              </w:rPr>
              <w:t>(1)</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140,335</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137,983</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18,217</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52" w:lineRule="exact"/>
        <w:rPr>
          <w:sz w:val="20"/>
          <w:szCs w:val="20"/>
          <w:color w:val="auto"/>
        </w:rPr>
      </w:pPr>
    </w:p>
    <w:p>
      <w:pPr>
        <w:ind w:left="760" w:hanging="752"/>
        <w:spacing w:after="0"/>
        <w:tabs>
          <w:tab w:leader="none" w:pos="760" w:val="left"/>
        </w:tabs>
        <w:numPr>
          <w:ilvl w:val="0"/>
          <w:numId w:val="79"/>
        </w:numPr>
        <w:rPr>
          <w:rFonts w:ascii="Arial" w:cs="Arial" w:eastAsia="Arial" w:hAnsi="Arial"/>
          <w:sz w:val="29"/>
          <w:szCs w:val="29"/>
          <w:color w:val="auto"/>
          <w:vertAlign w:val="superscript"/>
        </w:rPr>
      </w:pPr>
      <w:r>
        <w:rPr>
          <w:rFonts w:ascii="Arial" w:cs="Arial" w:eastAsia="Arial" w:hAnsi="Arial"/>
          <w:sz w:val="14"/>
          <w:szCs w:val="14"/>
          <w:color w:val="auto"/>
        </w:rPr>
        <w:t>Total assets exclude $153,151 thousand of corporate assets, and $41,502 thousand of assets held-for-sale</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Africa</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Europe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Gulf</w:t>
            </w: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(primarily</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Middle East</w:t>
            </w: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Latin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Continuing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of Mexico)</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West Africa)</w:t>
            </w:r>
          </w:p>
        </w:tc>
        <w:tc>
          <w:tcPr>
            <w:tcW w:w="14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and Asia</w:t>
            </w: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America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Operations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For the year ended December 31, 2017</w:t>
            </w: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Time charter</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Bareboat charter</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22,296</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Repairs and maintenance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Drydocking</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Insurance and loss reserves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Fuel, lubes and supplies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26,063</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Direct Vessel Profit (Loss)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Costs and Expenses: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Leased-in equipment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Administrative and general</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Losses on Asset Dispositions and</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Impairments, Net</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(129,644</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2017</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Historical cost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56,367</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1,058,304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(230,636)</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(57,228)</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(100,435)</w:t>
            </w: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(459,892)</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(1)</w:t>
            </w: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310,675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140,173</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234,471</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Total assets exclude $169,346 thousand of corporate assets, and $37,054 thousand of assets held-for-sale.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1" w:name="page122"/>
    <w:bookmarkEnd w:id="121"/>
    <w:p>
      <w:pPr>
        <w:ind w:left="760" w:right="4140" w:hanging="752"/>
        <w:spacing w:after="0" w:line="554" w:lineRule="auto"/>
        <w:tabs>
          <w:tab w:leader="none" w:pos="755"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FOR STATEMENTS OF CASH FLOWS </w:t>
      </w:r>
      <w:r>
        <w:rPr>
          <w:rFonts w:ascii="Arial" w:cs="Arial" w:eastAsia="Arial" w:hAnsi="Arial"/>
          <w:sz w:val="16"/>
          <w:szCs w:val="16"/>
          <w:color w:val="auto"/>
        </w:rPr>
        <w:t>Supplemental information for the years ended December 31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(paid) refunded, net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Interest paid, excluding capitalized interest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21,031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02" w:lineRule="exact"/>
        <w:rPr>
          <w:sz w:val="20"/>
          <w:szCs w:val="20"/>
          <w:color w:val="auto"/>
        </w:rPr>
      </w:pPr>
    </w:p>
    <w:p>
      <w:pPr>
        <w:jc w:val="both"/>
        <w:ind w:right="20" w:firstLine="761"/>
        <w:spacing w:after="0" w:line="312" w:lineRule="auto"/>
        <w:rPr>
          <w:sz w:val="20"/>
          <w:szCs w:val="20"/>
          <w:color w:val="auto"/>
        </w:rPr>
      </w:pPr>
      <w:r>
        <w:rPr>
          <w:rFonts w:ascii="Arial" w:cs="Arial" w:eastAsia="Arial" w:hAnsi="Arial"/>
          <w:sz w:val="16"/>
          <w:szCs w:val="16"/>
          <w:color w:val="auto"/>
        </w:rPr>
        <w:t>On December 2, 2019, the Company completed the sale of its North Sea standby safety business, which was previously classified as assets held for sale. Following the completion of the Sale, the Company has no continuing involvement in this business, which is considered a strategic shift in the Company’s operations. Summarized selected operating result of the Company’s assets, previously classified as held for sale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Assets from Discontinued Operations:</w:t>
            </w:r>
          </w:p>
        </w:tc>
        <w:tc>
          <w:tcPr>
            <w:tcW w:w="3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3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property and equipment</w:t>
            </w:r>
          </w:p>
        </w:tc>
        <w:tc>
          <w:tcPr>
            <w:tcW w:w="3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26,280</w:t>
            </w:r>
          </w:p>
        </w:tc>
        <w:tc>
          <w:tcPr>
            <w:tcW w:w="100" w:type="dxa"/>
            <w:vAlign w:val="bottom"/>
            <w:shd w:val="clear" w:color="auto" w:fill="CFF0FC"/>
          </w:tcPr>
          <w:p>
            <w:pPr>
              <w:spacing w:after="0"/>
              <w:rPr>
                <w:sz w:val="19"/>
                <w:szCs w:val="19"/>
                <w:color w:val="auto"/>
              </w:rPr>
            </w:pPr>
          </w:p>
        </w:tc>
      </w:tr>
      <w:tr>
        <w:trPr>
          <w:trHeight w:val="263"/>
        </w:trPr>
        <w:tc>
          <w:tcPr>
            <w:tcW w:w="6080" w:type="dxa"/>
            <w:vAlign w:val="bottom"/>
            <w:tcBorders>
              <w:bottom w:val="single" w:sz="8" w:color="CFF0FC"/>
            </w:tcBorders>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w:t>
            </w:r>
          </w:p>
        </w:tc>
        <w:tc>
          <w:tcPr>
            <w:tcW w:w="100" w:type="dxa"/>
            <w:vAlign w:val="bottom"/>
            <w:tcBorders>
              <w:bottom w:val="single" w:sz="8" w:color="CFF0FC"/>
            </w:tcBorders>
          </w:tcPr>
          <w:p>
            <w:pPr>
              <w:spacing w:after="0"/>
              <w:rPr>
                <w:sz w:val="22"/>
                <w:szCs w:val="22"/>
                <w:color w:val="auto"/>
              </w:rPr>
            </w:pPr>
          </w:p>
        </w:tc>
      </w:tr>
      <w:tr>
        <w:trPr>
          <w:trHeight w:val="210"/>
        </w:trPr>
        <w:tc>
          <w:tcPr>
            <w:tcW w:w="6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3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3"/>
              </w:rPr>
              <w:t>For the years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Time charter</w:t>
            </w:r>
          </w:p>
        </w:tc>
        <w:tc>
          <w:tcPr>
            <w:tcW w:w="30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41,214</w:t>
            </w:r>
          </w:p>
        </w:tc>
        <w:tc>
          <w:tcPr>
            <w:tcW w:w="160" w:type="dxa"/>
            <w:vAlign w:val="bottom"/>
          </w:tcPr>
          <w:p>
            <w:pPr>
              <w:spacing w:after="0"/>
              <w:rPr>
                <w:sz w:val="19"/>
                <w:szCs w:val="19"/>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49,902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2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w:t>
            </w:r>
          </w:p>
        </w:tc>
        <w:tc>
          <w:tcPr>
            <w:tcW w:w="2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Vessel Profit</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Lease Expense</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(Loss) Gain on Asset Dispositions and Impairments, Net</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2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loss</w:t>
            </w:r>
          </w:p>
        </w:tc>
        <w:tc>
          <w:tcPr>
            <w:tcW w:w="2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 Before Equity Earnings of 50% or</w:t>
            </w:r>
          </w:p>
        </w:tc>
        <w:tc>
          <w:tcPr>
            <w:tcW w:w="2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Owned Companies, Net of Tax</w:t>
            </w:r>
          </w:p>
        </w:tc>
        <w:tc>
          <w:tcPr>
            <w:tcW w:w="2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Expense</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Income Before Equity Earnings of 50% or</w:t>
            </w:r>
          </w:p>
        </w:tc>
        <w:tc>
          <w:tcPr>
            <w:tcW w:w="2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Owned Companies</w:t>
            </w:r>
          </w:p>
        </w:tc>
        <w:tc>
          <w:tcPr>
            <w:tcW w:w="2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Arial" w:cs="Arial" w:eastAsia="Arial" w:hAnsi="Arial"/>
                <w:sz w:val="18"/>
                <w:szCs w:val="18"/>
                <w:color w:val="auto"/>
              </w:rPr>
              <w:t>Equity in Earnings (Losses) of 50% or Less Owned Companies,</w:t>
            </w:r>
          </w:p>
        </w:tc>
        <w:tc>
          <w:tcPr>
            <w:tcW w:w="2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of Tax</w:t>
            </w:r>
          </w:p>
        </w:tc>
        <w:tc>
          <w:tcPr>
            <w:tcW w:w="27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from Discontinued Operations</w:t>
            </w:r>
          </w:p>
        </w:tc>
        <w:tc>
          <w:tcPr>
            <w:tcW w:w="2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760" w:type="dxa"/>
            <w:vAlign w:val="bottom"/>
            <w:vMerge w:val="restart"/>
          </w:tcPr>
          <w:p>
            <w:pPr>
              <w:jc w:val="right"/>
              <w:ind w:right="1930"/>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2" w:name="page123"/>
    <w:bookmarkEnd w:id="122"/>
    <w:p>
      <w:pPr>
        <w:ind w:left="760" w:hanging="752"/>
        <w:spacing w:after="0"/>
        <w:tabs>
          <w:tab w:leader="none" w:pos="7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jc w:val="both"/>
        <w:ind w:right="20" w:firstLine="761"/>
        <w:spacing w:after="0" w:line="253" w:lineRule="auto"/>
        <w:rPr>
          <w:sz w:val="20"/>
          <w:szCs w:val="20"/>
          <w:color w:val="auto"/>
        </w:rPr>
      </w:pPr>
      <w:r>
        <w:rPr>
          <w:rFonts w:ascii="Arial" w:cs="Arial" w:eastAsia="Arial" w:hAnsi="Arial"/>
          <w:sz w:val="18"/>
          <w:szCs w:val="18"/>
          <w:color w:val="auto"/>
        </w:rPr>
        <w:t>On February 7, 2020, SEACOR Marine Holdings Inc. (“SEACOR Marine”), Falcon Global USA LLC (“FGUSA”), an indirect subsidiary of SEACOR Marine, and certain subsidiaries of FGUSA, entered into a Consent, Agreement and Omnibus Amendments agreement (the “Omnibus Amendment”) to that certain (i) $131.1 million term and revolving loan facility, dated as of February 8, 2018, with a syndicate of lenders administered by JP Morgan Chase Bank, N.A. (the “Credit Facility”) and (ii) obligation guaranty issued by SEACOR Marine, dated February 8, 2018, pursuant to which SEACOR Marine provides a guarantee of certain limited obligations of FGUSA under the Credit Facility (the “Guaranty”). The Omnibus Amendment provides for, among other things, (i) the extension from March 2020 to March 2021 of the commencement of monthly repayment of the term loan, with payments being the lesser of (a) $0.8 million per month and (b) the amount outstanding under the term loan and (ii) the extension of the term of the Guaranty for an additional one year from February 8, 2020 to February 8, 2021. As of February 7, 2020, there was $117.3 million of principal outstanding under the Credit Facility, comprised of $102.3 million of principal outstanding under the term loan facility and $15.0 million outstanding under the revolving loan facility.</w:t>
      </w:r>
    </w:p>
    <w:p>
      <w:pPr>
        <w:spacing w:after="0" w:line="150" w:lineRule="exact"/>
        <w:rPr>
          <w:sz w:val="20"/>
          <w:szCs w:val="20"/>
          <w:color w:val="auto"/>
        </w:rPr>
      </w:pPr>
    </w:p>
    <w:p>
      <w:pPr>
        <w:ind w:left="760" w:hanging="752"/>
        <w:spacing w:after="0"/>
        <w:tabs>
          <w:tab w:leader="none" w:pos="7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89"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Selected financial information for interim quarterly periods is presented below (in thousands, except share data). Earnings (loss) per common share of SEACOR Marine Holdings Inc. are computed independently for each of the quarters presented and the sum of the quarterly earnings per share may not necessarily equal the total for the year.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00" w:type="dxa"/>
            <w:vAlign w:val="bottom"/>
            <w:tcBorders>
              <w:top w:val="single" w:sz="8" w:color="auto"/>
              <w:bottom w:val="single" w:sz="8" w:color="auto"/>
            </w:tcBorders>
          </w:tcPr>
          <w:p>
            <w:pPr>
              <w:ind w:left="250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54,700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(10,497)</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(17,640)</w:t>
            </w: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(21,034)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(19,176)</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(31,438)</w:t>
            </w: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(28,273)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(2,742)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53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(21,918)</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(30,264)</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attributable to SEACOR Marine Holdings Inc: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Basic and Diluted Loss Per Common Share of SEACOR</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rPr>
              <w:t>Marine Holdings Inc.</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53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r>
      <w:tr>
        <w:trPr>
          <w:trHeight w:val="143"/>
        </w:trPr>
        <w:tc>
          <w:tcPr>
            <w:tcW w:w="20" w:type="dxa"/>
            <w:vAlign w:val="bottom"/>
          </w:tcPr>
          <w:p>
            <w:pPr>
              <w:spacing w:after="0"/>
              <w:rPr>
                <w:sz w:val="12"/>
                <w:szCs w:val="12"/>
                <w:color w:val="auto"/>
              </w:rPr>
            </w:pPr>
          </w:p>
        </w:tc>
        <w:tc>
          <w:tcPr>
            <w:tcW w:w="5300" w:type="dxa"/>
            <w:vAlign w:val="bottom"/>
            <w:tcBorders>
              <w:top w:val="single" w:sz="8" w:color="auto"/>
              <w:bottom w:val="single" w:sz="8" w:color="auto"/>
            </w:tcBorders>
          </w:tcPr>
          <w:p>
            <w:pPr>
              <w:ind w:left="2500"/>
              <w:spacing w:after="0" w:line="14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1160" w:type="dxa"/>
            <w:vAlign w:val="bottom"/>
            <w:tcBorders>
              <w:top w:val="single" w:sz="8" w:color="auto"/>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1080" w:type="dxa"/>
            <w:vAlign w:val="bottom"/>
            <w:tcBorders>
              <w:top w:val="single" w:sz="8" w:color="auto"/>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47,871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(11,253)</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(20,842)</w:t>
            </w: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(24,206)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(7,780)</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(26,505)</w:t>
            </w: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(31,430)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53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(26,629)</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attributable to SEACOR Marine Holdings Inc: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Basic and Diluted Loss Per Common Share of SEACOR</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rPr>
              <w:t>Marine Holdings Inc.</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(0.85)</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91"/>
              <w:spacing w:after="0"/>
              <w:rPr>
                <w:sz w:val="20"/>
                <w:szCs w:val="20"/>
                <w:color w:val="auto"/>
              </w:rPr>
            </w:pPr>
            <w:r>
              <w:rPr>
                <w:rFonts w:ascii="Arial" w:cs="Arial" w:eastAsia="Arial" w:hAnsi="Arial"/>
                <w:sz w:val="18"/>
                <w:szCs w:val="18"/>
                <w:color w:val="auto"/>
                <w:w w:val="86"/>
              </w:rPr>
              <w:t>121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Charges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(Recoveries)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 Cost and</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End</w:t>
            </w: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of Year</w:t>
            </w: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Expenses</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 xml:space="preserve">Deductions </w:t>
            </w:r>
            <w:r>
              <w:rPr>
                <w:rFonts w:ascii="Arial" w:cs="Arial" w:eastAsia="Arial" w:hAnsi="Arial"/>
                <w:sz w:val="15"/>
                <w:szCs w:val="15"/>
                <w:b w:val="1"/>
                <w:bCs w:val="1"/>
                <w:color w:val="auto"/>
                <w:w w:val="90"/>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of Year</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Allowance for doubtful accounts (deducted from trade and notes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Allowance for doubtful accounts (deducted from trade and notes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Allowance for doubtful accounts (deducted from trade and notes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5,359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(1,283)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Trade receivable amounts deemed uncollectible that were removed from accounts receivable and allowance for doubtful accounts.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1" w:right="239" w:bottom="1440" w:gutter="0" w:footer="0" w:header="0"/>
        </w:sectPr>
      </w:pPr>
    </w:p>
    <w:bookmarkStart w:id="124" w:name="page125"/>
    <w:bookmarkEnd w:id="124"/>
    <w:p>
      <w:pPr>
        <w:ind w:left="10500"/>
        <w:spacing w:after="0"/>
        <w:rPr>
          <w:sz w:val="20"/>
          <w:szCs w:val="20"/>
          <w:color w:val="auto"/>
        </w:rPr>
      </w:pPr>
      <w:r>
        <w:rPr>
          <w:rFonts w:ascii="Arial" w:cs="Arial" w:eastAsia="Arial" w:hAnsi="Arial"/>
          <w:sz w:val="16"/>
          <w:szCs w:val="16"/>
          <w:b w:val="1"/>
          <w:bCs w:val="1"/>
          <w:color w:val="auto"/>
        </w:rPr>
        <w:t>Exhibit 4.11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The following description sets forth material terms and provisions of the securities that are registered under Section 12 of the Securities Exchange Act of 1934, as amended. This information does not purport to be complete and is subject to, and is qualified in its entirety by reference to, the applicable provisions of the Third Amended and Restated Certificate of Incorporation of the Company (“Certificate of Incorporation”), the Third Amended and Restated Bylaws of the Company (“Bylaws”), each of which is incorporated by reference as an exhibit to the Annual Report on Form 10-K of which this Exhibit 4.11 is a part. We encourage you to read our Certificate of Incorporation and our By-Laws for additional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As of March 4, 2020, SEACOR Marine Holdings Inc. (the “Company”) has one class of securities registered under Section 12 of the Securities Exchange Act of 1934, as amended (the “Act”), the Company’s common stock, par value $0.01 per share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authorized capital stock of the Company consists of 60,000,000 shares of Common Stock, and 10,000,000 shares of preferred stock, $0.01 par value per share. No shares of preferred stock have been issued or are outstanding.</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598"/>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The Common Stock votes together as a single class. Directors will be elected by a plurality of the votes of the shares of Common Stock present in person or by proxy at a meeting of stockholders and voting for nominees in the election of directors. Except as otherwise provided in the Certificate of Incorporation or required by law, all matters to be voted on by the stockholders of the Company must be approved by a majority of the shares present in person or by proxy at a meeting of stockholders and entitled to vote on the subject matter.</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the board of directors of the Company (the “Board of Directors”), subject to any preferential dividend rights of outstanding preferred stock.</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598"/>
        <w:spacing w:after="0" w:line="308" w:lineRule="auto"/>
        <w:rPr>
          <w:sz w:val="20"/>
          <w:szCs w:val="20"/>
          <w:color w:val="auto"/>
        </w:rPr>
      </w:pPr>
      <w:r>
        <w:rPr>
          <w:rFonts w:ascii="Arial" w:cs="Arial" w:eastAsia="Arial" w:hAnsi="Arial"/>
          <w:sz w:val="17"/>
          <w:szCs w:val="17"/>
          <w:color w:val="auto"/>
        </w:rPr>
        <w:t>Upon the Company’s liquidation, dissolution or winding up, the holders of Common Stock are entitled to receive proportionately the Company’s net assets available after the payment of all debts and other liabilities and subject to the prior rights of any outstanding preferred stock.</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Rights</w:t>
      </w:r>
    </w:p>
    <w:p>
      <w:pPr>
        <w:spacing w:after="0" w:line="225"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Holders of Common Stock have no preemptive, subscription, redemption or other conversion rights and do not have any sinking fund provisions. The rights, preferences and privileges of holders of Common Stock are subject to, and may be adversely affected by, the rights of the holders of shares of any series of preferred stock which the Company may designate and issue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9"/>
          <w:szCs w:val="9"/>
          <w:color w:val="FFFFFF"/>
        </w:rPr>
        <w:t>43325.00000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ind w:left="600"/>
        <w:spacing w:after="0"/>
        <w:rPr>
          <w:sz w:val="20"/>
          <w:szCs w:val="20"/>
          <w:color w:val="auto"/>
        </w:rPr>
      </w:pPr>
      <w:r>
        <w:rPr>
          <w:rFonts w:ascii="Arial" w:cs="Arial" w:eastAsia="Arial" w:hAnsi="Arial"/>
          <w:sz w:val="18"/>
          <w:szCs w:val="18"/>
          <w:color w:val="auto"/>
        </w:rPr>
        <w:t>Shares of Common Stock are not convertible into any other shares of the Company’s capital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2019, there were no shares of our preferred stock outstanding.</w:t>
      </w:r>
    </w:p>
    <w:p>
      <w:pPr>
        <w:spacing w:after="0" w:line="225"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Pursuant to our Certificate of Incorporation, the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and to increase or decrease the number of shares of any such series, but not below the number of shares of such series then outstanding.</w:t>
      </w:r>
    </w:p>
    <w:p>
      <w:pPr>
        <w:spacing w:after="0" w:line="17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Board of Directors, without stockholder approval, can issue preferred stock with conversion or other rights that could adversely affect the voting power and other rights of the holders of Common Stock. Preferred stock could be issued quickly with terms designed to delay or prevent a change in control of the Company or make removal of management more difficult. Additionally, the issuance of preferred stock may have the effect of decreasing the market price of the Common Stock and may adversely affect the voting power of holders of Common Stock and reduce the likelihood that holders of Common Stock will receive dividend payments and payments upon liquidation.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for Ownership</w:t>
      </w:r>
    </w:p>
    <w:p>
      <w:pPr>
        <w:spacing w:after="0" w:line="121"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The U.S. cabotage laws impose certain restrictions on the ownership and operation of vessels in the U.S. coastwise trade (i.e., trade between points in the United States), including the transportation of cargo and passengers. These laws are principally contained in 46. U.S.C. § 50501 and 46 U.S.C. Chapter 551 and related regulations and are commonly referred to collectively as the “Jones Act.” Subject to limited exceptions, the Jones Act requires that vessels engaged in U.S. coastwise trade be built in the United States, registered under the U.S.-flag, manned by predominantly U.S. crews, and owned and operated by U.S. citizens within the meaning of the Jones Act. For purposes of the Jones Act, a corporation, for example, must satisfy the following requirement to be deemed a U.S. citizen: (i) the corporation must be organized under the laws of the United States or of a state, territory or possession thereof; (ii) each of the chief executive officer and the chairman of the board of directors of such corporation must be a U.S. citizen; (iii) no more than a minority of the number of directors of such corporation necessary to constitute a quorum for the transaction of business may be non-U.S. citizens; and (iv) at least 75% of each class or series of stock in such corporation must be owned by U.S. citizens within the meaning of the Jones Act.</w:t>
      </w:r>
    </w:p>
    <w:p>
      <w:pPr>
        <w:spacing w:after="0" w:line="16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Should the Company fail to comply with the U.S. citizenship requirements of the Jones Act, it would be prohibited from operating its U.S.-flag vessels in the U.S. coastwise trade during the period of such non-compliance. In addition, the Company could be subject to fines and its vessels could be subject to seizure and forfeiture for violations of the Jones Act and the related U.S. vessel documentation laws.</w:t>
      </w:r>
    </w:p>
    <w:p>
      <w:pPr>
        <w:spacing w:after="0" w:line="181"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To facilitate compliance with the Jones Act, the Certificate of Incorporation and Bylaws: (i) limit (a) the aggregate percentage ownership by non-U.S. citizens of any class or series of the Company’s capital stock (including Common Stock) to 22.5% of the outstanding shares of each such class or series to ensure that ownership by non-U.S. citizens will not exceed the maximum percentage permitted by applicable maritime law (presently 25%) but authorize the Board of Directors, under certain circumstances, to increase the foregoing percentage to not more than 24% and (b) ownership of shares of any class or series of the Company’s capital stock by an individual non-U.S. citizen (and any other non-U.S. citizen whose ownership position would be aggregated with such non-U.S. citizen for purposes of the Jones Act) to not more than 4.9% of the outstanding shares of each such class or series; (ii) allow for the institution of a dual stock certification system to help determine such ownership; (iii) provide that any issuance or transfer of shares in excess of such permitted percentage shall be ineffective as against the Company and that neither the Company nor its transfer agent shall register such purported issuance or transfer of shares or be required to recognize the purported transferee or owner as a stockholder of the Company for any purpose whatsoever except to exercise the Company’s remedies under the Certificate of Incorporation; (iv) provide that any such excess shares shall not have</w:t>
      </w:r>
    </w:p>
    <w:p>
      <w:pPr>
        <w:spacing w:after="0" w:line="176" w:lineRule="exact"/>
        <w:rPr>
          <w:sz w:val="20"/>
          <w:szCs w:val="20"/>
          <w:color w:val="auto"/>
        </w:rPr>
      </w:pPr>
    </w:p>
    <w:p>
      <w:pPr>
        <w:spacing w:after="0"/>
        <w:rPr>
          <w:sz w:val="20"/>
          <w:szCs w:val="20"/>
          <w:color w:val="auto"/>
        </w:rPr>
      </w:pPr>
      <w:r>
        <w:rPr>
          <w:rFonts w:ascii="Arial" w:cs="Arial" w:eastAsia="Arial" w:hAnsi="Arial"/>
          <w:sz w:val="9"/>
          <w:szCs w:val="9"/>
          <w:color w:val="FFFFFF"/>
        </w:rPr>
        <w:t>43325.00000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jc w:val="both"/>
        <w:spacing w:after="0" w:line="285" w:lineRule="auto"/>
        <w:rPr>
          <w:sz w:val="20"/>
          <w:szCs w:val="20"/>
          <w:color w:val="auto"/>
        </w:rPr>
      </w:pPr>
      <w:r>
        <w:rPr>
          <w:rFonts w:ascii="Arial" w:cs="Arial" w:eastAsia="Arial" w:hAnsi="Arial"/>
          <w:sz w:val="16"/>
          <w:szCs w:val="16"/>
          <w:color w:val="auto"/>
        </w:rPr>
        <w:t>any voting or dividend rights; (v) permit the Company to redeem or transfer to a charitable trust any such excess shares; and (vi) permit the Board of Directors to make such reasonable determinations as may be necessary to ascertain such ownership and implement such limitations. In addition, the Bylaws provide (w) that the number of non-U.S. citizen directors shall not exceed a minority of the number necessary to constitute a quorum for the transaction of business, (x) for an increase in the number of directors necessary to constitute a quorum when the number of non-U.S. citizen directors is equal to or greater than 50% of the number of directors present at a meeting, (y) that the President and the Chief Executive Officer of the Company must be a U.S. citizen and</w:t>
      </w:r>
    </w:p>
    <w:p>
      <w:pPr>
        <w:spacing w:after="0" w:line="2" w:lineRule="exact"/>
        <w:rPr>
          <w:sz w:val="20"/>
          <w:szCs w:val="20"/>
          <w:color w:val="auto"/>
        </w:rPr>
      </w:pPr>
    </w:p>
    <w:p>
      <w:pPr>
        <w:ind w:firstLine="8"/>
        <w:spacing w:after="0" w:line="261"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any non-U.S. citizen officer is restricted from acting in the absence or disability of the Chairman of the Board of Directors, the Chief Executive Officer or the President of the Company. For more information, see the Certificate of Incorporation and Bylaws.</w:t>
      </w:r>
    </w:p>
    <w:p>
      <w:pPr>
        <w:spacing w:after="0" w:line="193" w:lineRule="exact"/>
        <w:rPr>
          <w:sz w:val="20"/>
          <w:szCs w:val="20"/>
          <w:color w:val="auto"/>
        </w:rPr>
      </w:pPr>
    </w:p>
    <w:p>
      <w:pPr>
        <w:ind w:right="4340"/>
        <w:spacing w:after="0" w:line="378" w:lineRule="auto"/>
        <w:rPr>
          <w:sz w:val="20"/>
          <w:szCs w:val="20"/>
          <w:color w:val="auto"/>
        </w:rPr>
      </w:pPr>
      <w:r>
        <w:rPr>
          <w:rFonts w:ascii="Arial" w:cs="Arial" w:eastAsia="Arial" w:hAnsi="Arial"/>
          <w:sz w:val="18"/>
          <w:szCs w:val="18"/>
          <w:b w:val="1"/>
          <w:bCs w:val="1"/>
          <w:color w:val="auto"/>
        </w:rPr>
        <w:t xml:space="preserve">Delaware Anti-Takeover Law and Provisions of our Certificate of Incorporation and Bylaws </w:t>
      </w:r>
      <w:r>
        <w:rPr>
          <w:rFonts w:ascii="Arial" w:cs="Arial" w:eastAsia="Arial" w:hAnsi="Arial"/>
          <w:sz w:val="18"/>
          <w:szCs w:val="18"/>
          <w:b w:val="1"/>
          <w:bCs w:val="1"/>
          <w:i w:val="1"/>
          <w:iCs w:val="1"/>
          <w:color w:val="auto"/>
        </w:rPr>
        <w:t>Section 203 of the Delaware General Corporate Law.</w:t>
      </w:r>
    </w:p>
    <w:p>
      <w:pPr>
        <w:jc w:val="both"/>
        <w:ind w:firstLine="598"/>
        <w:spacing w:after="0" w:line="272" w:lineRule="auto"/>
        <w:rPr>
          <w:sz w:val="20"/>
          <w:szCs w:val="20"/>
          <w:color w:val="auto"/>
        </w:rPr>
      </w:pPr>
      <w:r>
        <w:rPr>
          <w:rFonts w:ascii="Arial" w:cs="Arial" w:eastAsia="Arial" w:hAnsi="Arial"/>
          <w:sz w:val="17"/>
          <w:szCs w:val="17"/>
          <w:color w:val="auto"/>
        </w:rPr>
        <w:t>The Company is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owns 15% or more of the corporation’s outstanding stock, or an affiliate or associate of the corporation who did own 15% or more of the corporation’s voting stock within three years prior to the determination of interested stockholder status. Under Section 203, a business combination between a corporation and an interested stockholder is prohibited unless it satisfies one of the following conditions:</w:t>
      </w:r>
    </w:p>
    <w:p>
      <w:pPr>
        <w:spacing w:after="0" w:line="83" w:lineRule="exact"/>
        <w:rPr>
          <w:sz w:val="20"/>
          <w:szCs w:val="20"/>
          <w:color w:val="auto"/>
        </w:rPr>
      </w:pPr>
    </w:p>
    <w:p>
      <w:pPr>
        <w:ind w:left="880" w:right="40" w:hanging="345"/>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880" w:right="120" w:hanging="345"/>
        <w:spacing w:after="0" w:line="312" w:lineRule="auto"/>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38" w:lineRule="exact"/>
        <w:rPr>
          <w:rFonts w:ascii="Arial" w:cs="Arial" w:eastAsia="Arial" w:hAnsi="Arial"/>
          <w:sz w:val="16"/>
          <w:szCs w:val="16"/>
          <w:color w:val="auto"/>
        </w:rPr>
      </w:pPr>
    </w:p>
    <w:p>
      <w:pPr>
        <w:ind w:left="880" w:right="120" w:hanging="345"/>
        <w:spacing w:after="0" w:line="264"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 Delaware corporation may opt out of Section 203 either with an express provision in its original certificate of incorporation or in an amendment to its certificate of incorporation or bylaws approved by its stockholders. However, the Company has not opted out, and does not currently intend to opt out, of this provision. The statute could prohibit or delay mergers or other takeover or change in control attempts and, accordingly, may discourage attempts to acquire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The Certificate of Incorporation and Bylaws contain provisions that may delay, defer or discourage another party from acquiring control of the Company. These provisions, which are summarized below, discourage coercive takeover practices or inadequate takeover bids. These provisions are designed to encourage persons seeking to acquire control of the Company to first negotiate with the Board of Directors, which the Company believes may result in an improvement of the terms of any such acquisition in favor of the Company’s stockholders. However, these provisions also give the Board of Directors the power to discourage acquisitions that some stockholders may favor.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Filling Vacancies on the Board of Directors.</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In accordance with Article II, Section 12 of the Bylaws, any vacancy on the Board of Directors, however occurring, including a vacancy resulting from an increase in the size of the Board of Directors, may only be filled by</w:t>
      </w:r>
    </w:p>
    <w:p>
      <w:pPr>
        <w:spacing w:after="0" w:line="178" w:lineRule="exact"/>
        <w:rPr>
          <w:sz w:val="20"/>
          <w:szCs w:val="20"/>
          <w:color w:val="auto"/>
        </w:rPr>
      </w:pPr>
    </w:p>
    <w:p>
      <w:pPr>
        <w:spacing w:after="0"/>
        <w:rPr>
          <w:sz w:val="20"/>
          <w:szCs w:val="20"/>
          <w:color w:val="auto"/>
        </w:rPr>
      </w:pPr>
      <w:r>
        <w:rPr>
          <w:rFonts w:ascii="Arial" w:cs="Arial" w:eastAsia="Arial" w:hAnsi="Arial"/>
          <w:sz w:val="9"/>
          <w:szCs w:val="9"/>
          <w:color w:val="FFFFFF"/>
        </w:rPr>
        <w:t>43325.00000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jc w:val="both"/>
        <w:spacing w:after="0" w:line="277" w:lineRule="auto"/>
        <w:rPr>
          <w:sz w:val="20"/>
          <w:szCs w:val="20"/>
          <w:color w:val="auto"/>
        </w:rPr>
      </w:pPr>
      <w:r>
        <w:rPr>
          <w:rFonts w:ascii="Arial" w:cs="Arial" w:eastAsia="Arial" w:hAnsi="Arial"/>
          <w:sz w:val="18"/>
          <w:szCs w:val="18"/>
          <w:color w:val="auto"/>
        </w:rPr>
        <w:t>the affirmative vote of a majority of our directors then in office even if less than a quorum. Any director appointed to fill a vacancy will hold office until the next election of directors or until their successors are duly elected and qualified.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Bylaws provide that only a majority of the members of the Board of Directors then in office or the Chairman of the Board of Directors or the President may call special meetings of the stockholders and only those matters set forth in the notice of the special meeting may be considered or acted upon at a special meeting of stockholders. The Bylaws limit the business that may be conducted at an annual meeting of stockholders to those matters properly brought before the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The Bylaws establish an advance notice procedure for stockholders to make nominations of candidates for election as directors or to bring other business before an annual meeting of the Company’s stockholders. The Bylaws provide that any stockholder wishing to nominate persons for election as directors at, or bring other business before, an annual meeting must deliver to our secretary a written notice of the stockholder’s intention to do so. To be timely, the stockholder’s notice must be delivered to us not later than the 120th day nor earlier than the 150th day prior to the anniversary date of the preceding annual meeting. If there was no such prior annual meeting, then a stockholder’s notice must be delivered not earlier than the close of business on the 150th day nor later than the 120th day prior to the date which represents the second Tuesday in May of the current year. In the event that the date of the annual meeting is more than 25 days before or after such anniversary date, then, to be considered timely, notice by the stockholders must be received not later than the close of business on the 10th day following the date on which public announcement of the date of such meeting is first made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 Matters</w:t>
      </w:r>
    </w:p>
    <w:p>
      <w:pPr>
        <w:spacing w:after="0" w:line="158"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As permitted by applicable Delaware law, the Bylaws provide that we are required to indemnify our officers and directors under a variety of circumstances, including those circumstances in which indemnification would otherwise be discretionary, and we are required to advance expenses to our officers and directors as incurred in connection with proceedings against them for which they may be indemnified. We have also obtained insurance in amounts commensurate with similar public companies covering our directors and officers from claims made in connection with their serving as our directors and officers.</w:t>
      </w:r>
    </w:p>
    <w:p>
      <w:pPr>
        <w:spacing w:after="0" w:line="107"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among other things, require us to indemnify, either fully or partially,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The agreements also permit us to assume the defense of these directors and officers. We believe that these indemnification provisions are necessary to attract and retain qualified persons as directors and officers.</w:t>
      </w:r>
    </w:p>
    <w:p>
      <w:pPr>
        <w:spacing w:after="0" w:line="12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At present, we are not aware of any pending or threatened litigation or proceeding involving a director, officer, employee or agent of ours in which indemnification would be required or permitted.</w:t>
      </w:r>
    </w:p>
    <w:p>
      <w:pPr>
        <w:spacing w:after="0" w:line="103"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granted to directors, officers or persons controlling us under the foregoing provisions, we have been informed that in the opinion of the Securities and Exchange Commission this indemnification is against public policy as expressed in the Securities Act and is therefore unenforceable.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 6201 15th Avenue, Brooklyn, NY 11219.</w:t>
      </w:r>
    </w:p>
    <w:p>
      <w:pPr>
        <w:spacing w:after="0" w:line="255" w:lineRule="exact"/>
        <w:rPr>
          <w:sz w:val="20"/>
          <w:szCs w:val="20"/>
          <w:color w:val="auto"/>
        </w:rPr>
      </w:pPr>
    </w:p>
    <w:p>
      <w:pPr>
        <w:spacing w:after="0"/>
        <w:rPr>
          <w:sz w:val="20"/>
          <w:szCs w:val="20"/>
          <w:color w:val="auto"/>
        </w:rPr>
      </w:pPr>
      <w:r>
        <w:rPr>
          <w:rFonts w:ascii="Arial" w:cs="Arial" w:eastAsia="Arial" w:hAnsi="Arial"/>
          <w:sz w:val="9"/>
          <w:szCs w:val="9"/>
          <w:color w:val="FFFFFF"/>
        </w:rPr>
        <w:t>43325.00000</w:t>
      </w:r>
    </w:p>
    <w:p>
      <w:pPr>
        <w:sectPr>
          <w:pgSz w:w="11900" w:h="16838" w:orient="portrait"/>
          <w:cols w:equalWidth="0" w:num="1">
            <w:col w:w="11420"/>
          </w:cols>
          <w:pgMar w:left="240" w:top="23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Directors who are not employees of SEACOR Marine Holdings Inc. (the “Company”) receive an annual retainer of $50,000 and each of such directors is also granted options and Common Stock pursuant to the SEACOR Marine Holding Inc.'s 2017 Equity Incentive Plan (Exhibit 10.5 in this Annual Report on Form 10-K).</w:t>
      </w:r>
    </w:p>
    <w:p>
      <w:pPr>
        <w:sectPr>
          <w:pgSz w:w="11900" w:h="16838" w:orient="portrait"/>
          <w:cols w:equalWidth="0" w:num="1">
            <w:col w:w="11420"/>
          </w:cols>
          <w:pgMar w:left="240" w:top="121" w:right="239" w:bottom="1440" w:gutter="0" w:footer="0" w:header="0"/>
        </w:sectPr>
      </w:pPr>
    </w:p>
    <w:bookmarkStart w:id="129" w:name="page130"/>
    <w:bookmarkEnd w:id="129"/>
    <w:p>
      <w:pPr>
        <w:ind w:left="1032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SEACOR MARINE HOLDINGS INC.</w:t>
            </w:r>
          </w:p>
        </w:tc>
      </w:tr>
      <w:tr>
        <w:trPr>
          <w:trHeight w:val="216"/>
        </w:trPr>
        <w:tc>
          <w:tcPr>
            <w:tcW w:w="4540" w:type="dxa"/>
            <w:vAlign w:val="bottom"/>
          </w:tcPr>
          <w:p>
            <w:pPr>
              <w:spacing w:after="0"/>
              <w:rPr>
                <w:sz w:val="18"/>
                <w:szCs w:val="18"/>
                <w:color w:val="auto"/>
              </w:rPr>
            </w:pPr>
          </w:p>
        </w:tc>
        <w:tc>
          <w:tcPr>
            <w:tcW w:w="690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99"/>
              </w:rPr>
              <w:t>SUBSIDIARIES</w:t>
            </w:r>
          </w:p>
        </w:tc>
      </w:tr>
      <w:tr>
        <w:trPr>
          <w:trHeight w:val="234"/>
        </w:trPr>
        <w:tc>
          <w:tcPr>
            <w:tcW w:w="4540" w:type="dxa"/>
            <w:vAlign w:val="bottom"/>
          </w:tcPr>
          <w:p>
            <w:pPr>
              <w:spacing w:after="0"/>
              <w:rPr>
                <w:sz w:val="20"/>
                <w:szCs w:val="20"/>
                <w:color w:val="auto"/>
              </w:rPr>
            </w:pPr>
          </w:p>
        </w:tc>
        <w:tc>
          <w:tcPr>
            <w:tcW w:w="690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95"/>
              </w:rPr>
              <w:t>AS OF DECEMBER 31, 2019</w:t>
            </w:r>
          </w:p>
        </w:tc>
      </w:tr>
      <w:tr>
        <w:trPr>
          <w:trHeight w:val="630"/>
        </w:trPr>
        <w:tc>
          <w:tcPr>
            <w:tcW w:w="4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gridSpan w:val="2"/>
          </w:tcPr>
          <w:p>
            <w:pPr>
              <w:ind w:left="580"/>
              <w:spacing w:after="0"/>
              <w:rPr>
                <w:sz w:val="20"/>
                <w:szCs w:val="20"/>
                <w:color w:val="auto"/>
              </w:rPr>
            </w:pPr>
            <w:r>
              <w:rPr>
                <w:rFonts w:ascii="Arial" w:cs="Arial" w:eastAsia="Arial" w:hAnsi="Arial"/>
                <w:sz w:val="18"/>
                <w:szCs w:val="18"/>
                <w:b w:val="1"/>
                <w:bCs w:val="1"/>
                <w:color w:val="auto"/>
              </w:rPr>
              <w:t>Jurisdiction</w:t>
            </w:r>
          </w:p>
        </w:tc>
      </w:tr>
      <w:tr>
        <w:trPr>
          <w:trHeight w:val="194"/>
        </w:trPr>
        <w:tc>
          <w:tcPr>
            <w:tcW w:w="4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5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of Incorporation/Formation</w:t>
            </w:r>
          </w:p>
        </w:tc>
      </w:tr>
      <w:tr>
        <w:trPr>
          <w:trHeight w:val="222"/>
        </w:trPr>
        <w:tc>
          <w:tcPr>
            <w:tcW w:w="4540" w:type="dxa"/>
            <w:vAlign w:val="bottom"/>
          </w:tcPr>
          <w:p>
            <w:pPr>
              <w:ind w:left="180"/>
              <w:spacing w:after="0"/>
              <w:rPr>
                <w:sz w:val="20"/>
                <w:szCs w:val="20"/>
                <w:color w:val="auto"/>
              </w:rPr>
            </w:pPr>
            <w:r>
              <w:rPr>
                <w:rFonts w:ascii="Arial" w:cs="Arial" w:eastAsia="Arial" w:hAnsi="Arial"/>
                <w:sz w:val="18"/>
                <w:szCs w:val="18"/>
                <w:color w:val="auto"/>
              </w:rPr>
              <w:t>Aaron S McCall LLC</w:t>
            </w:r>
          </w:p>
        </w:tc>
        <w:tc>
          <w:tcPr>
            <w:tcW w:w="238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380" w:type="dxa"/>
            <w:vAlign w:val="bottom"/>
          </w:tcPr>
          <w:p>
            <w:pPr>
              <w:spacing w:after="0"/>
              <w:rPr>
                <w:sz w:val="19"/>
                <w:szCs w:val="19"/>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Alya McCall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C-Lift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w w:val="91"/>
              </w:rPr>
              <w:t>Compania Empresarial Del Mar Y Navegacion S.A. de C.V.</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CTV Crewing Services Ltd</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Cypress Ckor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Diamond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Holdings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International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Jill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Offshore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Offshore II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Robert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Global USA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Falcon Pearl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Graham Offshore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Infraestructura Del Mar, S. de R.L. de C.V.</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Liam J McCall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Maranta S.A.</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McCall’s Boat Rentals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Michael G McCall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Montco Global,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Putford Daring Limited</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Putford Dawn Limited</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Putford Defender Limited</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Putford Phoenix Limited</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SAN Offshore Marine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 Mar Offshore LLC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Angola Holdings,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Command,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Congo,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Liberia</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E. G. Holdings,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Eagle II,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Freedom,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Ghana Holdings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Global Carriers,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Marshall Islands</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Marine International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Seabulk Offshore Dubai, Inc.</w:t>
            </w:r>
          </w:p>
        </w:tc>
        <w:tc>
          <w:tcPr>
            <w:tcW w:w="238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Seabulk Offshore Equatorial Guinea, S.L.</w:t>
            </w:r>
          </w:p>
        </w:tc>
        <w:tc>
          <w:tcPr>
            <w:tcW w:w="238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Equatorial Guinea</w:t>
            </w:r>
          </w:p>
        </w:tc>
      </w:tr>
      <w:tr>
        <w:trPr>
          <w:trHeight w:val="763"/>
        </w:trPr>
        <w:tc>
          <w:tcPr>
            <w:tcW w:w="45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Offshore Holdings,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Offshore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Offshore Operators,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Offshore Venture Holdings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Offshore Vessel Holdings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Operators,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Overseas Transport,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South Atlantic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Tims I,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Seabulk Transmarine II, Inc.</w:t>
            </w:r>
          </w:p>
        </w:tc>
        <w:tc>
          <w:tcPr>
            <w:tcW w:w="6220" w:type="dxa"/>
            <w:vAlign w:val="bottom"/>
          </w:tcPr>
          <w:p>
            <w:pPr>
              <w:ind w:left="1700"/>
              <w:spacing w:after="0"/>
              <w:rPr>
                <w:sz w:val="20"/>
                <w:szCs w:val="20"/>
                <w:color w:val="auto"/>
              </w:rPr>
            </w:pPr>
            <w:r>
              <w:rPr>
                <w:rFonts w:ascii="Arial" w:cs="Arial" w:eastAsia="Arial" w:hAnsi="Arial"/>
                <w:sz w:val="18"/>
                <w:szCs w:val="18"/>
                <w:color w:val="auto"/>
              </w:rPr>
              <w:t>Florida</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Sea-cat Crewzer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Sea-cat Crewzer II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Sea-cat Crewzer III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88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888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Acadian Companies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Acadian Marine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Alps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Andes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Atlas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Capital (Singapore) Pte. Ltd.</w:t>
            </w:r>
          </w:p>
        </w:tc>
        <w:tc>
          <w:tcPr>
            <w:tcW w:w="6220" w:type="dxa"/>
            <w:vAlign w:val="bottom"/>
          </w:tcPr>
          <w:p>
            <w:pPr>
              <w:ind w:left="1700"/>
              <w:spacing w:after="0"/>
              <w:rPr>
                <w:sz w:val="20"/>
                <w:szCs w:val="20"/>
                <w:color w:val="auto"/>
              </w:rPr>
            </w:pPr>
            <w:r>
              <w:rPr>
                <w:rFonts w:ascii="Arial" w:cs="Arial" w:eastAsia="Arial" w:hAnsi="Arial"/>
                <w:sz w:val="18"/>
                <w:szCs w:val="18"/>
                <w:color w:val="auto"/>
              </w:rPr>
              <w:t>Singapore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Capital (UK) Limited</w:t>
            </w:r>
          </w:p>
        </w:tc>
        <w:tc>
          <w:tcPr>
            <w:tcW w:w="6220" w:type="dxa"/>
            <w:vAlign w:val="bottom"/>
          </w:tcPr>
          <w:p>
            <w:pPr>
              <w:ind w:left="1700"/>
              <w:spacing w:after="0"/>
              <w:rPr>
                <w:sz w:val="20"/>
                <w:szCs w:val="20"/>
                <w:color w:val="auto"/>
              </w:rPr>
            </w:pPr>
            <w:r>
              <w:rPr>
                <w:rFonts w:ascii="Arial" w:cs="Arial" w:eastAsia="Arial" w:hAnsi="Arial"/>
                <w:sz w:val="18"/>
                <w:szCs w:val="18"/>
                <w:color w:val="auto"/>
              </w:rPr>
              <w:t>England and Wales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Doha Holdings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Eagle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Flex AS</w:t>
            </w:r>
          </w:p>
        </w:tc>
        <w:tc>
          <w:tcPr>
            <w:tcW w:w="6220" w:type="dxa"/>
            <w:vAlign w:val="bottom"/>
          </w:tcPr>
          <w:p>
            <w:pPr>
              <w:ind w:left="1700"/>
              <w:spacing w:after="0"/>
              <w:rPr>
                <w:sz w:val="20"/>
                <w:szCs w:val="20"/>
                <w:color w:val="auto"/>
              </w:rPr>
            </w:pPr>
            <w:r>
              <w:rPr>
                <w:rFonts w:ascii="Arial" w:cs="Arial" w:eastAsia="Arial" w:hAnsi="Arial"/>
                <w:sz w:val="18"/>
                <w:szCs w:val="18"/>
                <w:color w:val="auto"/>
              </w:rPr>
              <w:t>Norway</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Ghana Holdings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(GP) KS</w:t>
            </w:r>
          </w:p>
        </w:tc>
        <w:tc>
          <w:tcPr>
            <w:tcW w:w="6220" w:type="dxa"/>
            <w:vAlign w:val="bottom"/>
          </w:tcPr>
          <w:p>
            <w:pPr>
              <w:ind w:left="1700"/>
              <w:spacing w:after="0"/>
              <w:rPr>
                <w:sz w:val="20"/>
                <w:szCs w:val="20"/>
                <w:color w:val="auto"/>
              </w:rPr>
            </w:pPr>
            <w:r>
              <w:rPr>
                <w:rFonts w:ascii="Arial" w:cs="Arial" w:eastAsia="Arial" w:hAnsi="Arial"/>
                <w:sz w:val="18"/>
                <w:szCs w:val="18"/>
                <w:color w:val="auto"/>
              </w:rPr>
              <w:t>Norway</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Hawk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International Chartering Inc.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LB Holdings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LB Offshore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LB Offshore (MI)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LB Realty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Liftboats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Alpine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Asia Holdings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(Asia) Pte. Ltd.</w:t>
            </w:r>
          </w:p>
        </w:tc>
        <w:tc>
          <w:tcPr>
            <w:tcW w:w="6220" w:type="dxa"/>
            <w:vAlign w:val="bottom"/>
          </w:tcPr>
          <w:p>
            <w:pPr>
              <w:ind w:left="1700"/>
              <w:spacing w:after="0"/>
              <w:rPr>
                <w:sz w:val="20"/>
                <w:szCs w:val="20"/>
                <w:color w:val="auto"/>
              </w:rPr>
            </w:pPr>
            <w:r>
              <w:rPr>
                <w:rFonts w:ascii="Arial" w:cs="Arial" w:eastAsia="Arial" w:hAnsi="Arial"/>
                <w:sz w:val="18"/>
                <w:szCs w:val="18"/>
                <w:color w:val="auto"/>
              </w:rPr>
              <w:t>Singapore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Australia Pty Ltd</w:t>
            </w:r>
          </w:p>
        </w:tc>
        <w:tc>
          <w:tcPr>
            <w:tcW w:w="6220" w:type="dxa"/>
            <w:vAlign w:val="bottom"/>
          </w:tcPr>
          <w:p>
            <w:pPr>
              <w:ind w:left="1700"/>
              <w:spacing w:after="0"/>
              <w:rPr>
                <w:sz w:val="20"/>
                <w:szCs w:val="20"/>
                <w:color w:val="auto"/>
              </w:rPr>
            </w:pPr>
            <w:r>
              <w:rPr>
                <w:rFonts w:ascii="Arial" w:cs="Arial" w:eastAsia="Arial" w:hAnsi="Arial"/>
                <w:sz w:val="18"/>
                <w:szCs w:val="18"/>
                <w:color w:val="auto"/>
              </w:rPr>
              <w:t>Australia</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AZ LLC</w:t>
            </w:r>
          </w:p>
        </w:tc>
        <w:tc>
          <w:tcPr>
            <w:tcW w:w="6220" w:type="dxa"/>
            <w:vAlign w:val="bottom"/>
          </w:tcPr>
          <w:p>
            <w:pPr>
              <w:ind w:left="1700"/>
              <w:spacing w:after="0"/>
              <w:rPr>
                <w:sz w:val="20"/>
                <w:szCs w:val="20"/>
                <w:color w:val="auto"/>
              </w:rPr>
            </w:pPr>
            <w:r>
              <w:rPr>
                <w:rFonts w:ascii="Arial" w:cs="Arial" w:eastAsia="Arial" w:hAnsi="Arial"/>
                <w:sz w:val="18"/>
                <w:szCs w:val="18"/>
                <w:color w:val="auto"/>
              </w:rPr>
              <w:t>Azerbaijan</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(Bahamas)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Capital Inc.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(Cyprus) Ltd.</w:t>
            </w:r>
          </w:p>
        </w:tc>
        <w:tc>
          <w:tcPr>
            <w:tcW w:w="6220" w:type="dxa"/>
            <w:vAlign w:val="bottom"/>
          </w:tcPr>
          <w:p>
            <w:pPr>
              <w:ind w:left="1700"/>
              <w:spacing w:after="0"/>
              <w:rPr>
                <w:sz w:val="20"/>
                <w:szCs w:val="20"/>
                <w:color w:val="auto"/>
              </w:rPr>
            </w:pPr>
            <w:r>
              <w:rPr>
                <w:rFonts w:ascii="Arial" w:cs="Arial" w:eastAsia="Arial" w:hAnsi="Arial"/>
                <w:sz w:val="18"/>
                <w:szCs w:val="18"/>
                <w:color w:val="auto"/>
              </w:rPr>
              <w:t>Cyprus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Foreign Holdings Inc.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(Guernsey) Ltd.</w:t>
            </w:r>
          </w:p>
        </w:tc>
        <w:tc>
          <w:tcPr>
            <w:tcW w:w="6220" w:type="dxa"/>
            <w:vAlign w:val="bottom"/>
          </w:tcPr>
          <w:p>
            <w:pPr>
              <w:ind w:left="1700"/>
              <w:spacing w:after="0"/>
              <w:rPr>
                <w:sz w:val="20"/>
                <w:szCs w:val="20"/>
                <w:color w:val="auto"/>
              </w:rPr>
            </w:pPr>
            <w:r>
              <w:rPr>
                <w:rFonts w:ascii="Arial" w:cs="Arial" w:eastAsia="Arial" w:hAnsi="Arial"/>
                <w:sz w:val="18"/>
                <w:szCs w:val="18"/>
                <w:color w:val="auto"/>
              </w:rPr>
              <w:t>Guernsey</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(International) Limited</w:t>
            </w:r>
          </w:p>
        </w:tc>
        <w:tc>
          <w:tcPr>
            <w:tcW w:w="6220" w:type="dxa"/>
            <w:vAlign w:val="bottom"/>
          </w:tcPr>
          <w:p>
            <w:pPr>
              <w:ind w:left="1700"/>
              <w:spacing w:after="0"/>
              <w:rPr>
                <w:sz w:val="20"/>
                <w:szCs w:val="20"/>
                <w:color w:val="auto"/>
              </w:rPr>
            </w:pPr>
            <w:r>
              <w:rPr>
                <w:rFonts w:ascii="Arial" w:cs="Arial" w:eastAsia="Arial" w:hAnsi="Arial"/>
                <w:sz w:val="18"/>
                <w:szCs w:val="18"/>
                <w:color w:val="auto"/>
              </w:rPr>
              <w:t>England and Wales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International B.V.</w:t>
            </w:r>
          </w:p>
        </w:tc>
        <w:tc>
          <w:tcPr>
            <w:tcW w:w="6220" w:type="dxa"/>
            <w:vAlign w:val="bottom"/>
          </w:tcPr>
          <w:p>
            <w:pPr>
              <w:ind w:left="1700"/>
              <w:spacing w:after="0"/>
              <w:rPr>
                <w:sz w:val="20"/>
                <w:szCs w:val="20"/>
                <w:color w:val="auto"/>
              </w:rPr>
            </w:pPr>
            <w:r>
              <w:rPr>
                <w:rFonts w:ascii="Arial" w:cs="Arial" w:eastAsia="Arial" w:hAnsi="Arial"/>
                <w:sz w:val="18"/>
                <w:szCs w:val="18"/>
                <w:color w:val="auto"/>
              </w:rPr>
              <w:t>Netherlands</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International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International 2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International Holdings LLC</w:t>
            </w:r>
          </w:p>
        </w:tc>
        <w:tc>
          <w:tcPr>
            <w:tcW w:w="6220" w:type="dxa"/>
            <w:vAlign w:val="bottom"/>
          </w:tcPr>
          <w:p>
            <w:pPr>
              <w:ind w:left="1700"/>
              <w:spacing w:after="0"/>
              <w:rPr>
                <w:sz w:val="20"/>
                <w:szCs w:val="20"/>
                <w:color w:val="auto"/>
              </w:rPr>
            </w:pPr>
            <w:r>
              <w:rPr>
                <w:rFonts w:ascii="Arial" w:cs="Arial" w:eastAsia="Arial" w:hAnsi="Arial"/>
                <w:sz w:val="18"/>
                <w:szCs w:val="18"/>
                <w:color w:val="auto"/>
              </w:rPr>
              <w:t>Marshall Islands</w:t>
            </w: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SEACOR Marine LLC</w:t>
            </w:r>
          </w:p>
        </w:tc>
        <w:tc>
          <w:tcPr>
            <w:tcW w:w="6220" w:type="dxa"/>
            <w:vAlign w:val="bottom"/>
          </w:tcPr>
          <w:p>
            <w:pPr>
              <w:ind w:left="1700"/>
              <w:spacing w:after="0"/>
              <w:rPr>
                <w:sz w:val="20"/>
                <w:szCs w:val="20"/>
                <w:color w:val="auto"/>
              </w:rPr>
            </w:pPr>
            <w:r>
              <w:rPr>
                <w:rFonts w:ascii="Arial" w:cs="Arial" w:eastAsia="Arial" w:hAnsi="Arial"/>
                <w:sz w:val="18"/>
                <w:szCs w:val="18"/>
                <w:color w:val="auto"/>
              </w:rPr>
              <w:t>Delaware</w:t>
            </w:r>
          </w:p>
        </w:tc>
      </w:tr>
      <w:tr>
        <w:trPr>
          <w:trHeight w:val="763"/>
        </w:trPr>
        <w:tc>
          <w:tcPr>
            <w:tcW w:w="52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SEACOR Marine (Malta)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SEACOR Marine (Nigeria)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SEACOR Marine Payroll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SEACOR Marine Property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Marine Services Doha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Ocean Boats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Abu Dhabi,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Dubai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Eight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SEACOR Offshore (Marshall Islands)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McCall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Mischief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Mystery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Safety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Offshore Vessel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OSV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OSV Partners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Paula McCall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SEACOR-SMIT Offshore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SEACOR Supplyships 1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(AZ)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(Ghana)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SEACOR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Sea Serviços Marítimos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Offshore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Shipping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Stirling Shipping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VEESEA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VENSEA Marine,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(NL)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(Scotland)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(Wales) CYF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Windcat Workboats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Windgrip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Windlift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Yarnell Offshore (MI)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Malta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w:t>
      </w:r>
    </w:p>
    <w:p>
      <w:pPr>
        <w:sectPr>
          <w:pgSz w:w="11900" w:h="16838" w:orient="portrait"/>
          <w:cols w:equalWidth="0" w:num="2">
            <w:col w:w="6020" w:space="720"/>
            <w:col w:w="3299"/>
          </w:cols>
          <w:pgMar w:left="420" w:top="341"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issued our report dated March 4, 2020 with respect to the consolidated financial statements and schedule included in the Annual Report of SEACOR Marine Holdings Inc. on Form 10-K for the year ended December 31, 2019. We consent to the incorporation by reference of said report in the Registration Statements of SEACOR Marine Holdings Inc. on Form S-8 (File No. 333-221680) and Forms S-3 (File No. 333-225686, File No. 333-230667).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185"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84"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60" w:hanging="447"/>
        <w:spacing w:after="0" w:line="342" w:lineRule="auto"/>
        <w:tabs>
          <w:tab w:leader="none" w:pos="13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60" w:hanging="447"/>
        <w:spacing w:after="0" w:line="264" w:lineRule="auto"/>
        <w:tabs>
          <w:tab w:leader="none" w:pos="13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60" w:hanging="447"/>
        <w:spacing w:after="0" w:line="308" w:lineRule="auto"/>
        <w:tabs>
          <w:tab w:leader="none" w:pos="13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60" w:hanging="447"/>
        <w:spacing w:after="0" w:line="277" w:lineRule="auto"/>
        <w:tabs>
          <w:tab w:leader="none" w:pos="13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980" w:type="dxa"/>
            <w:vAlign w:val="bottom"/>
          </w:tcPr>
          <w:p>
            <w:pPr>
              <w:ind w:left="240"/>
              <w:spacing w:after="0"/>
              <w:rPr>
                <w:sz w:val="20"/>
                <w:szCs w:val="20"/>
                <w:color w:val="auto"/>
              </w:rPr>
            </w:pPr>
            <w:r>
              <w:rPr>
                <w:rFonts w:ascii="Arial" w:cs="Arial" w:eastAsia="Arial" w:hAnsi="Arial"/>
                <w:sz w:val="18"/>
                <w:szCs w:val="18"/>
                <w:color w:val="auto"/>
              </w:rPr>
              <w:t>March 4, 2020</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ind w:left="24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ind w:left="24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720" w:type="dxa"/>
            <w:vAlign w:val="bottom"/>
          </w:tcPr>
          <w:p>
            <w:pPr>
              <w:spacing w:after="0"/>
              <w:rPr>
                <w:sz w:val="20"/>
                <w:szCs w:val="20"/>
                <w:color w:val="auto"/>
              </w:rPr>
            </w:pPr>
          </w:p>
        </w:tc>
        <w:tc>
          <w:tcPr>
            <w:tcW w:w="4980" w:type="dxa"/>
            <w:vAlign w:val="bottom"/>
          </w:tcPr>
          <w:p>
            <w:pPr>
              <w:ind w:left="2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185"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SEACOR Marine Holdings Inc.;</w:t>
      </w:r>
    </w:p>
    <w:p>
      <w:pPr>
        <w:spacing w:after="0" w:line="184"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60" w:hanging="447"/>
        <w:spacing w:after="0" w:line="342" w:lineRule="auto"/>
        <w:tabs>
          <w:tab w:leader="none" w:pos="13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60" w:hanging="447"/>
        <w:spacing w:after="0" w:line="264"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60" w:hanging="447"/>
        <w:spacing w:after="0" w:line="308" w:lineRule="auto"/>
        <w:tabs>
          <w:tab w:leader="none" w:pos="13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60" w:hanging="447"/>
        <w:spacing w:after="0" w:line="277" w:lineRule="auto"/>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Jesús Llorca</w:t>
      </w:r>
    </w:p>
    <w:p>
      <w:pPr>
        <w:spacing w:after="0" w:line="23" w:lineRule="exact"/>
        <w:rPr>
          <w:sz w:val="20"/>
          <w:szCs w:val="20"/>
          <w:color w:val="auto"/>
        </w:rPr>
      </w:pPr>
    </w:p>
    <w:p>
      <w:pPr>
        <w:ind w:left="572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his knowledge and belief, that the Annual Report on Form 10-K of the Company for the year ended December 31, 2019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193"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March 4, 2020</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62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March 4, 2020</w:t>
            </w:r>
          </w:p>
        </w:tc>
      </w:tr>
      <w:tr>
        <w:trPr>
          <w:trHeight w:val="43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Jesús Llorca</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Jesús Llorca</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w:t>
            </w:r>
          </w:p>
        </w:tc>
      </w:tr>
      <w:tr>
        <w:trPr>
          <w:trHeight w:val="216"/>
        </w:trPr>
        <w:tc>
          <w:tcPr>
            <w:tcW w:w="6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346"/>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lowerRoman"/>
      <w:start w:val="3"/>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lowerLetter"/>
      <w:start w:val="1"/>
    </w:lvl>
    <w:lvl w:ilvl="1">
      <w:lvlJc w:val="left"/>
      <w:lvlText w:val="%2."/>
      <w:numFmt w:val="decimal"/>
      <w:start w:val="1"/>
    </w:lvl>
  </w:abstractNum>
  <w:abstractNum w:abstractNumId="36">
    <w:nsid w:val="77AE35EB"/>
    <w:multiLevelType w:val="hybridMultilevel"/>
    <w:lvl w:ilvl="0">
      <w:lvlJc w:val="left"/>
      <w:lvlText w:val="%1"/>
      <w:numFmt w:val="upperLetter"/>
      <w:start w:val="35"/>
    </w:lvl>
  </w:abstractNum>
  <w:abstractNum w:abstractNumId="37">
    <w:nsid w:val="579BE4F1"/>
    <w:multiLevelType w:val="hybridMultilevel"/>
    <w:lvl w:ilvl="0">
      <w:lvlJc w:val="left"/>
      <w:lvlText w:val="%1"/>
      <w:numFmt w:val="decimal"/>
      <w:start w:val="32"/>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4"/>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5"/>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6"/>
    </w:lvl>
  </w:abstractNum>
  <w:abstractNum w:abstractNumId="52">
    <w:nsid w:val="799D0247"/>
    <w:multiLevelType w:val="hybridMultilevel"/>
    <w:lvl w:ilvl="0">
      <w:lvlJc w:val="left"/>
      <w:lvlText w:val="%1."/>
      <w:numFmt w:val="decimal"/>
      <w:start w:val="7"/>
    </w:lvl>
  </w:abstractNum>
  <w:abstractNum w:abstractNumId="53">
    <w:nsid w:val="6B94764"/>
    <w:multiLevelType w:val="hybridMultilevel"/>
    <w:lvl w:ilvl="0">
      <w:lvlJc w:val="left"/>
      <w:lvlText w:val="%1."/>
      <w:numFmt w:val="decimal"/>
      <w:start w:val="8"/>
    </w:lvl>
  </w:abstractNum>
  <w:abstractNum w:abstractNumId="54">
    <w:nsid w:val="42C296BD"/>
    <w:multiLevelType w:val="hybridMultilevel"/>
    <w:lvl w:ilvl="0">
      <w:lvlJc w:val="left"/>
      <w:lvlText w:val="(%1)"/>
      <w:numFmt w:val="lowerRoman"/>
      <w:start w:val="2"/>
    </w:lvl>
  </w:abstractNum>
  <w:abstractNum w:abstractNumId="55">
    <w:nsid w:val="168E121F"/>
    <w:multiLevelType w:val="hybridMultilevel"/>
    <w:lvl w:ilvl="0">
      <w:lvlJc w:val="left"/>
      <w:lvlText w:val="%1"/>
      <w:numFmt w:val="upperLetter"/>
      <w:start w:val="61"/>
    </w:lvl>
  </w:abstractNum>
  <w:abstractNum w:abstractNumId="56">
    <w:nsid w:val="1EBA5D23"/>
    <w:multiLevelType w:val="hybridMultilevel"/>
    <w:lvl w:ilvl="0">
      <w:lvlJc w:val="left"/>
      <w:lvlText w:val="%1."/>
      <w:numFmt w:val="decimal"/>
      <w:start w:val="9"/>
    </w:lvl>
  </w:abstractNum>
  <w:abstractNum w:abstractNumId="57">
    <w:nsid w:val="661E3F1E"/>
    <w:multiLevelType w:val="hybridMultilevel"/>
    <w:lvl w:ilvl="0">
      <w:lvlJc w:val="left"/>
      <w:lvlText w:val="%1."/>
      <w:numFmt w:val="decimal"/>
      <w:start w:val="10"/>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1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2"/>
    </w:lvl>
  </w:abstractNum>
  <w:abstractNum w:abstractNumId="63">
    <w:nsid w:val="BF72B14"/>
    <w:multiLevelType w:val="hybridMultilevel"/>
    <w:lvl w:ilvl="0">
      <w:lvlJc w:val="left"/>
      <w:lvlText w:val="%1."/>
      <w:numFmt w:val="decimal"/>
      <w:start w:val="13"/>
    </w:lvl>
  </w:abstractNum>
  <w:abstractNum w:abstractNumId="64">
    <w:nsid w:val="11447B73"/>
    <w:multiLevelType w:val="hybridMultilevel"/>
    <w:lvl w:ilvl="0">
      <w:lvlJc w:val="left"/>
      <w:lvlText w:val="%1."/>
      <w:numFmt w:val="decimal"/>
      <w:start w:val="14"/>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15"/>
    </w:lvl>
  </w:abstractNum>
  <w:abstractNum w:abstractNumId="67">
    <w:nsid w:val="8F2B15E"/>
    <w:multiLevelType w:val="hybridMultilevel"/>
    <w:lvl w:ilvl="0">
      <w:lvlJc w:val="left"/>
      <w:lvlText w:val="%1."/>
      <w:numFmt w:val="decimal"/>
      <w:start w:val="16"/>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7"/>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18"/>
    </w:lvl>
  </w:abstractNum>
  <w:abstractNum w:abstractNumId="76">
    <w:nsid w:val="1A27709E"/>
    <w:multiLevelType w:val="hybridMultilevel"/>
    <w:lvl w:ilvl="0">
      <w:lvlJc w:val="left"/>
      <w:lvlText w:val="%1."/>
      <w:numFmt w:val="decimal"/>
      <w:start w:val="19"/>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20"/>
    </w:lvl>
  </w:abstractNum>
  <w:abstractNum w:abstractNumId="81">
    <w:nsid w:val="6F6DD9AC"/>
    <w:multiLevelType w:val="hybridMultilevel"/>
    <w:lvl w:ilvl="0">
      <w:lvlJc w:val="left"/>
      <w:lvlText w:val="%1."/>
      <w:numFmt w:val="decimal"/>
      <w:start w:val="21"/>
    </w:lvl>
  </w:abstractNum>
  <w:abstractNum w:abstractNumId="82">
    <w:nsid w:val="94211F2"/>
    <w:multiLevelType w:val="hybridMultilevel"/>
    <w:lvl w:ilvl="0">
      <w:lvlJc w:val="left"/>
      <w:lvlText w:val="%1."/>
      <w:numFmt w:val="decimal"/>
      <w:start w:val="22"/>
    </w:lvl>
  </w:abstractNum>
  <w:abstractNum w:abstractNumId="83">
    <w:nsid w:val="885E1B"/>
    <w:multiLevelType w:val="hybridMultilevel"/>
    <w:lvl w:ilvl="0">
      <w:lvlJc w:val="left"/>
      <w:lvlText w:val="%1."/>
      <w:numFmt w:val="decimal"/>
      <w:start w:val="23"/>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lowerLetter"/>
      <w:start w:val="26"/>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48"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103" Type="http://schemas.openxmlformats.org/officeDocument/2006/relationships/hyperlink" Target="http://www.sec.gov/Archives/edgar/data/859598/000085959817000073/distributionagreement.htm" TargetMode="External"/><Relationship Id="rId104" Type="http://schemas.openxmlformats.org/officeDocument/2006/relationships/hyperlink" Target="http://www.sec.gov/Archives/edgar/data/1690334/000143774917014456/ex2-1.htm" TargetMode="External"/><Relationship Id="rId105" Type="http://schemas.openxmlformats.org/officeDocument/2006/relationships/hyperlink" Target="http://www.sec.gov/Archives/edgar/data/1690334/000143774918000427/ex_102792.htm" TargetMode="External"/><Relationship Id="rId106" Type="http://schemas.openxmlformats.org/officeDocument/2006/relationships/hyperlink" Target="http://www.sec.gov/Archives/edgar/data/1690334/000156459019030155/smhi-ex101_9.htm" TargetMode="External"/><Relationship Id="rId107" Type="http://schemas.openxmlformats.org/officeDocument/2006/relationships/hyperlink" Target="http://www.sec.gov/Archives/edgar/data/1690334/000143774919005293/ex_138221.htm" TargetMode="External"/><Relationship Id="rId108" Type="http://schemas.openxmlformats.org/officeDocument/2006/relationships/hyperlink" Target="http://www.sec.gov/Archives/edgar/data/859598/000085959816000211/exhibit44convertiblesenior.htm" TargetMode="External"/><Relationship Id="rId109" Type="http://schemas.openxmlformats.org/officeDocument/2006/relationships/hyperlink" Target="http://www.sec.gov/Archives/edgar/data/859598/000085959817000025/exhibit101amendmentno1toth.htm" TargetMode="External"/><Relationship Id="rId110" Type="http://schemas.openxmlformats.org/officeDocument/2006/relationships/hyperlink" Target="http://www.sec.gov/Archives/edgar/data/859598/000085959816000211/exhibit45investmentagreeme.htm" TargetMode="External"/><Relationship Id="rId111" Type="http://schemas.openxmlformats.org/officeDocument/2006/relationships/hyperlink" Target="http://www.sec.gov/Archives/edgar/data/859598/000085959816000211/exhibit47companyregistrati.htm" TargetMode="External"/><Relationship Id="rId112" Type="http://schemas.openxmlformats.org/officeDocument/2006/relationships/hyperlink" Target="http://www.sec.gov/Archives/edgar/data/1690334/000143774919000656/ex_132760.htm" TargetMode="External"/><Relationship Id="rId113" Type="http://schemas.openxmlformats.org/officeDocument/2006/relationships/hyperlink" Target="http://www.sec.gov/Archives/edgar/data/1690334/000143774918011923/ex_116292.htm" TargetMode="External"/><Relationship Id="rId116" Type="http://schemas.openxmlformats.org/officeDocument/2006/relationships/hyperlink" Target="http://www.sec.gov/Archives/edgar/data/1690334/000143774918011923/ex_116293.htm" TargetMode="External"/><Relationship Id="rId117" Type="http://schemas.openxmlformats.org/officeDocument/2006/relationships/hyperlink" Target="http://www.sec.gov/Archives/edgar/data/1690334/000143774918011923/ex_116290.htm" TargetMode="External"/><Relationship Id="rId118" Type="http://schemas.openxmlformats.org/officeDocument/2006/relationships/hyperlink" Target="http://www.sec.gov/Archives/edgar/data/1690334/000143774918011923/ex_116291.htm" TargetMode="External"/><Relationship Id="rId119" Type="http://schemas.openxmlformats.org/officeDocument/2006/relationships/hyperlink" Target="http://www.sec.gov/Archives/edgar/data/1690334/000143774918009472/ex_113638.htm" TargetMode="External"/><Relationship Id="rId120" Type="http://schemas.openxmlformats.org/officeDocument/2006/relationships/hyperlink" Target="http://www.sec.gov/Archives/edgar/data/859598/000085959817000073/tsackh-smhi.htm" TargetMode="External"/><Relationship Id="rId121" Type="http://schemas.openxmlformats.org/officeDocument/2006/relationships/hyperlink" Target="http://www.sec.gov/Archives/edgar/data/859598/000085959817000073/tsasmhi-ckh.htm" TargetMode="External"/><Relationship Id="rId122" Type="http://schemas.openxmlformats.org/officeDocument/2006/relationships/hyperlink" Target="http://www.sec.gov/Archives/edgar/data/859598/000085959817000073/employeemattersagreement.htm" TargetMode="External"/><Relationship Id="rId123" Type="http://schemas.openxmlformats.org/officeDocument/2006/relationships/hyperlink" Target="http://www.sec.gov/Archives/edgar/data/859598/000085959817000073/taxmattersagreement.htm" TargetMode="External"/><Relationship Id="rId124" Type="http://schemas.openxmlformats.org/officeDocument/2006/relationships/hyperlink" Target="http://www.sec.gov/Archives/edgar/data/1690334/000169033417000039/smhi2017equityincentiveplan.htm" TargetMode="External"/><Relationship Id="rId125" Type="http://schemas.openxmlformats.org/officeDocument/2006/relationships/hyperlink" Target="http://www.sec.gov/Archives/edgar/data/1690334/000169033417000039/smhi2017employeestockpurch.htm" TargetMode="External"/><Relationship Id="rId126" Type="http://schemas.openxmlformats.org/officeDocument/2006/relationships/hyperlink" Target="http://www.sec.gov/Archives/edgar/data/1690334/000169033417000002/exhibit107seacormarineinde.htm" TargetMode="External"/><Relationship Id="rId127" Type="http://schemas.openxmlformats.org/officeDocument/2006/relationships/hyperlink" Target="http://www.sec.gov/Archives/edgar/data/1690334/000169033417000007/exhibit108letteragreement.htm" TargetMode="External"/><Relationship Id="rId128" Type="http://schemas.openxmlformats.org/officeDocument/2006/relationships/hyperlink" Target="http://www.sec.gov/Archives/edgar/data/1690334/000169033417000076/exhibit992formofsmhistocko.htm" TargetMode="External"/><Relationship Id="rId129" Type="http://schemas.openxmlformats.org/officeDocument/2006/relationships/hyperlink" Target="http://www.sec.gov/Archives/edgar/data/1690334/000169033417000076/exhibit993formofsmhirestri.htm" TargetMode="External"/><Relationship Id="rId130" Type="http://schemas.openxmlformats.org/officeDocument/2006/relationships/hyperlink" Target="http://www.sec.gov/Archives/edgar/data/1690334/000156459019018265/smhi-ex101_200.htm" TargetMode="External"/><Relationship Id="rId135" Type="http://schemas.openxmlformats.org/officeDocument/2006/relationships/hyperlink" Target="http://www.sec.gov/Archives/edgar/data/1690334/000143774918002112/ex_104720.htm" TargetMode="External"/><Relationship Id="rId136" Type="http://schemas.openxmlformats.org/officeDocument/2006/relationships/hyperlink" Target="http://www.sec.gov/Archives/edgar/data/1690334/000143774918002112/ex_104722.htm" TargetMode="External"/><Relationship Id="rId137" Type="http://schemas.openxmlformats.org/officeDocument/2006/relationships/hyperlink" Target="http://www.sec.gov/Archives/edgar/data/1690334/000143774918002112/ex_104721.htm" TargetMode="External"/><Relationship Id="rId138" Type="http://schemas.openxmlformats.org/officeDocument/2006/relationships/hyperlink" Target="http://www.sec.gov/Archives/edgar/data/1690334/000143774918002112/ex_104649.htm" TargetMode="External"/><Relationship Id="rId139" Type="http://schemas.openxmlformats.org/officeDocument/2006/relationships/hyperlink" Target="http://www.sec.gov/Archives/edgar/data/1690334/000143774918020355/ex_124873.htm" TargetMode="External"/><Relationship Id="rId140" Type="http://schemas.openxmlformats.org/officeDocument/2006/relationships/hyperlink" Target="http://www.sec.gov/Archives/edgar/data/1690334/000143774918020355/ex_124874.htm" TargetMode="External"/><Relationship Id="rId141" Type="http://schemas.openxmlformats.org/officeDocument/2006/relationships/hyperlink" Target="http://www.sec.gov/Archives/edgar/data/1690334/000143774918015130/ex_119738.htm" TargetMode="External"/><Relationship Id="rId142" Type="http://schemas.openxmlformats.org/officeDocument/2006/relationships/hyperlink" Target="http://www.sec.gov/Archives/edgar/data/1690334/000143774918009472/ex_113637.htm" TargetMode="External"/><Relationship Id="rId143" Type="http://schemas.openxmlformats.org/officeDocument/2006/relationships/hyperlink" Target="http://www.sec.gov/Archives/edgar/data/1690334/000143774918008386/ex_112260.htm" TargetMode="External"/><Relationship Id="rId144" Type="http://schemas.openxmlformats.org/officeDocument/2006/relationships/hyperlink" Target="http://www.sec.gov/Archives/edgar/data/1690334/000156459019030155/smhi-ex102_133.htm" TargetMode="External"/><Relationship Id="rId145" Type="http://schemas.openxmlformats.org/officeDocument/2006/relationships/hyperlink" Target="http://www.sec.gov/Archives/edgar/data/1690334/000156459019042390/smhi-ex102_11.htm" TargetMode="External"/><Relationship Id="rId146" Type="http://schemas.openxmlformats.org/officeDocument/2006/relationships/hyperlink" Target="http://www.sec.gov/Archives/edgar/data/1690334/000156459019042390/smhi-ex103_8.htm" TargetMode="External"/><Relationship Id="rId147" Type="http://schemas.openxmlformats.org/officeDocument/2006/relationships/hyperlink" Target="http://www.sec.gov/Archives/edgar/data/1690334/000156459019042390/smhi-ex104_202.htm" TargetMode="External"/><Relationship Id="rId149" Type="http://schemas.openxmlformats.org/officeDocument/2006/relationships/hyperlink" Target="http://www.sec.gov/Archives/edgar/data/1690334/000156459019042390/smhi-ex105_201.htm" TargetMode="External"/><Relationship Id="rId150" Type="http://schemas.openxmlformats.org/officeDocument/2006/relationships/hyperlink" Target="http://www.sec.gov/Archives/edgar/data/1690334/000156459019042390/smhi-ex101_338.htm" TargetMode="External"/><Relationship Id="rId151" Type="http://schemas.openxmlformats.org/officeDocument/2006/relationships/hyperlink" Target="http://www.sec.gov/Archives/edgar/data/1690334/000119312519305291/d821626dex101.htm" TargetMode="External"/><Relationship Id="rId152" Type="http://schemas.openxmlformats.org/officeDocument/2006/relationships/hyperlink" Target="http://www.sec.gov/Archives/edgar/data/1690334/000119312520030121/d8700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2020-03-04T15:26:05Z</dcterms:created>
  <dcterms:modified xsi:type="dcterms:W3CDTF">2020-03-04T15:26:05Z</dcterms:modified>
</cp:coreProperties>
</file>