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-199390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108585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1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1" w:lineRule="exact"/>
        <w:rPr>
          <w:sz w:val="24"/>
          <w:szCs w:val="24"/>
          <w:color w:val="auto"/>
        </w:rPr>
      </w:pPr>
    </w:p>
    <w:p>
      <w:pPr>
        <w:ind w:left="3200"/>
        <w:spacing w:after="0"/>
        <w:tabs>
          <w:tab w:leader="none" w:pos="7440" w:val="left"/>
        </w:tabs>
        <w:rPr>
          <w:sz w:val="20"/>
          <w:szCs w:val="20"/>
          <w:color w:val="auto"/>
        </w:rPr>
      </w:pPr>
      <w:r>
        <w:rPr>
          <w:rFonts w:ascii="Arial" w:cs="Arial" w:eastAsia="Arial" w:hAnsi="Arial"/>
          <w:sz w:val="18"/>
          <w:szCs w:val="18"/>
          <w:b w:val="1"/>
          <w:bCs w:val="1"/>
          <w:color w:val="auto"/>
        </w:rPr>
        <w:t>For the quarterly period ended March 31, 201</w:t>
      </w: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or</w:t>
      </w:r>
    </w:p>
    <w:p>
      <w:pPr>
        <w:spacing w:after="0" w:line="117"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4160"/>
        <w:spacing w:after="0"/>
        <w:tabs>
          <w:tab w:leader="none" w:pos="7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1-37966</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SEACOR Marine Holdings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86360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2" w:lineRule="exact"/>
        <w:rPr>
          <w:sz w:val="24"/>
          <w:szCs w:val="24"/>
          <w:color w:val="auto"/>
        </w:rPr>
      </w:pPr>
    </w:p>
    <w:tbl>
      <w:tblPr>
        <w:tblLayout w:type="fixed"/>
        <w:tblInd w:w="1200" w:type="dxa"/>
        <w:tblCellMar>
          <w:top w:w="0" w:type="dxa"/>
          <w:left w:w="0" w:type="dxa"/>
          <w:bottom w:w="0" w:type="dxa"/>
          <w:right w:w="0" w:type="dxa"/>
        </w:tblCellMar>
      </w:tblPr>
      <w:tr>
        <w:trPr>
          <w:trHeight w:val="216"/>
        </w:trPr>
        <w:tc>
          <w:tcPr>
            <w:tcW w:w="49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47-2564547</w:t>
            </w:r>
          </w:p>
        </w:tc>
      </w:tr>
      <w:tr>
        <w:trPr>
          <w:trHeight w:val="216"/>
        </w:trPr>
        <w:tc>
          <w:tcPr>
            <w:tcW w:w="49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0"/>
              </w:rPr>
              <w:t>(State or Other Jurisdiction of</w:t>
            </w:r>
          </w:p>
        </w:tc>
        <w:tc>
          <w:tcPr>
            <w:tcW w:w="3300" w:type="dxa"/>
            <w:vAlign w:val="bottom"/>
          </w:tcPr>
          <w:p>
            <w:pPr>
              <w:jc w:val="center"/>
              <w:ind w:left="18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3"/>
              </w:rPr>
              <w:t>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41"/>
        </w:trPr>
        <w:tc>
          <w:tcPr>
            <w:tcW w:w="4980" w:type="dxa"/>
            <w:vAlign w:val="bottom"/>
          </w:tcPr>
          <w:p>
            <w:pPr>
              <w:jc w:val="center"/>
              <w:ind w:right="1810"/>
              <w:spacing w:after="0"/>
              <w:rPr>
                <w:sz w:val="20"/>
                <w:szCs w:val="20"/>
                <w:color w:val="auto"/>
              </w:rPr>
            </w:pPr>
            <w:r>
              <w:rPr>
                <w:rFonts w:ascii="Arial" w:cs="Arial" w:eastAsia="Arial" w:hAnsi="Arial"/>
                <w:sz w:val="18"/>
                <w:szCs w:val="18"/>
                <w:b w:val="1"/>
                <w:bCs w:val="1"/>
                <w:color w:val="auto"/>
                <w:w w:val="89"/>
              </w:rPr>
              <w:t>12121 Wickchester Suite 500</w:t>
            </w:r>
          </w:p>
        </w:tc>
        <w:tc>
          <w:tcPr>
            <w:tcW w:w="3300" w:type="dxa"/>
            <w:vAlign w:val="bottom"/>
          </w:tcPr>
          <w:p>
            <w:pPr>
              <w:spacing w:after="0"/>
              <w:rPr>
                <w:sz w:val="24"/>
                <w:szCs w:val="24"/>
                <w:color w:val="auto"/>
              </w:rPr>
            </w:pPr>
          </w:p>
        </w:tc>
      </w:tr>
      <w:tr>
        <w:trPr>
          <w:trHeight w:val="216"/>
        </w:trPr>
        <w:tc>
          <w:tcPr>
            <w:tcW w:w="49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4"/>
              </w:rPr>
              <w:t>Houston, TX</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77079</w:t>
            </w:r>
          </w:p>
        </w:tc>
      </w:tr>
      <w:tr>
        <w:trPr>
          <w:trHeight w:val="234"/>
        </w:trPr>
        <w:tc>
          <w:tcPr>
            <w:tcW w:w="49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jc w:val="center"/>
              <w:ind w:left="1810"/>
              <w:spacing w:after="0"/>
              <w:rPr>
                <w:sz w:val="20"/>
                <w:szCs w:val="20"/>
                <w:color w:val="auto"/>
              </w:rPr>
            </w:pPr>
            <w:r>
              <w:rPr>
                <w:rFonts w:ascii="Arial" w:cs="Arial" w:eastAsia="Arial" w:hAnsi="Arial"/>
                <w:sz w:val="18"/>
                <w:szCs w:val="18"/>
                <w:b w:val="1"/>
                <w:bCs w:val="1"/>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3" w:lineRule="exact"/>
        <w:rPr>
          <w:sz w:val="24"/>
          <w:szCs w:val="24"/>
          <w:color w:val="auto"/>
        </w:rPr>
      </w:pPr>
    </w:p>
    <w:p>
      <w:pPr>
        <w:jc w:val="both"/>
        <w:ind w:firstLine="761"/>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6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6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Smaller reporting</w:t>
      </w:r>
    </w:p>
    <w:p>
      <w:pPr>
        <w:spacing w:after="0" w:line="46" w:lineRule="exact"/>
        <w:rPr>
          <w:sz w:val="24"/>
          <w:szCs w:val="24"/>
          <w:color w:val="auto"/>
        </w:rPr>
      </w:pPr>
    </w:p>
    <w:p>
      <w:pPr>
        <w:jc w:val="center"/>
        <w:ind w:right="24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ind w:right="42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7">
            <w:col w:w="1620" w:space="100"/>
            <w:col w:w="160" w:space="620"/>
            <w:col w:w="1200" w:space="80"/>
            <w:col w:w="320" w:space="720"/>
            <w:col w:w="1980" w:space="720"/>
            <w:col w:w="1500" w:space="720"/>
            <w:col w:w="1680"/>
          </w:cols>
          <w:pgMar w:left="240" w:top="233" w:right="239" w:bottom="1440" w:gutter="0" w:footer="0" w:header="0"/>
          <w:type w:val="continuous"/>
        </w:sectPr>
      </w:pPr>
    </w:p>
    <w:p>
      <w:pPr>
        <w:spacing w:after="0" w:line="11" w:lineRule="exact"/>
        <w:rPr>
          <w:sz w:val="24"/>
          <w:szCs w:val="24"/>
          <w:color w:val="auto"/>
        </w:rPr>
      </w:pPr>
    </w:p>
    <w:p>
      <w:pPr>
        <w:ind w:right="20" w:firstLine="76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760"/>
        <w:spacing w:after="0" w:line="207" w:lineRule="exact"/>
        <w:tabs>
          <w:tab w:leader="none" w:pos="96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left="7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820" w:type="dxa"/>
            <w:vAlign w:val="bottom"/>
          </w:tcPr>
          <w:p>
            <w:pPr>
              <w:spacing w:after="0"/>
              <w:rPr>
                <w:sz w:val="19"/>
                <w:szCs w:val="19"/>
                <w:color w:val="auto"/>
              </w:rPr>
            </w:pPr>
          </w:p>
        </w:tc>
        <w:tc>
          <w:tcPr>
            <w:tcW w:w="3400" w:type="dxa"/>
            <w:vAlign w:val="bottom"/>
            <w:gridSpan w:val="3"/>
          </w:tcPr>
          <w:p>
            <w:pPr>
              <w:ind w:left="820"/>
              <w:spacing w:after="0"/>
              <w:rPr>
                <w:sz w:val="20"/>
                <w:szCs w:val="20"/>
                <w:color w:val="auto"/>
              </w:rPr>
            </w:pPr>
            <w:r>
              <w:rPr>
                <w:rFonts w:ascii="Arial" w:cs="Arial" w:eastAsia="Arial" w:hAnsi="Arial"/>
                <w:sz w:val="18"/>
                <w:szCs w:val="18"/>
                <w:b w:val="1"/>
                <w:bCs w:val="1"/>
                <w:color w:val="auto"/>
              </w:rPr>
              <w:t>Trading Symbol(s)</w:t>
            </w:r>
          </w:p>
        </w:tc>
        <w:tc>
          <w:tcPr>
            <w:tcW w:w="3180" w:type="dxa"/>
            <w:vAlign w:val="bottom"/>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218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820" w:type="dxa"/>
            <w:vAlign w:val="bottom"/>
          </w:tcPr>
          <w:p>
            <w:pPr>
              <w:spacing w:after="0"/>
              <w:rPr>
                <w:sz w:val="24"/>
                <w:szCs w:val="24"/>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color w:val="auto"/>
              </w:rPr>
              <w:t>SMHI</w:t>
            </w:r>
          </w:p>
        </w:tc>
        <w:tc>
          <w:tcPr>
            <w:tcW w:w="3180" w:type="dxa"/>
            <w:vAlign w:val="bottom"/>
          </w:tcPr>
          <w:p>
            <w:pPr>
              <w:spacing w:after="0"/>
              <w:rPr>
                <w:sz w:val="20"/>
                <w:szCs w:val="20"/>
                <w:color w:val="auto"/>
              </w:rPr>
            </w:pPr>
            <w:r>
              <w:rPr>
                <w:rFonts w:ascii="Arial" w:cs="Arial" w:eastAsia="Arial" w:hAnsi="Arial"/>
                <w:sz w:val="18"/>
                <w:szCs w:val="18"/>
                <w:color w:val="auto"/>
              </w:rPr>
              <w:t>New York Stock Exchange (“NYSE”)</w:t>
            </w:r>
          </w:p>
        </w:tc>
      </w:tr>
    </w:tbl>
    <w:p>
      <w:pPr>
        <w:spacing w:after="0" w:line="200" w:lineRule="exact"/>
        <w:rPr>
          <w:sz w:val="24"/>
          <w:szCs w:val="24"/>
          <w:color w:val="auto"/>
        </w:rPr>
      </w:pPr>
    </w:p>
    <w:p>
      <w:pPr>
        <w:spacing w:after="0" w:line="204" w:lineRule="exact"/>
        <w:rPr>
          <w:sz w:val="24"/>
          <w:szCs w:val="24"/>
          <w:color w:val="auto"/>
        </w:rPr>
      </w:pPr>
    </w:p>
    <w:p>
      <w:pPr>
        <w:ind w:firstLine="761"/>
        <w:spacing w:after="0" w:line="277" w:lineRule="auto"/>
        <w:rPr>
          <w:sz w:val="20"/>
          <w:szCs w:val="20"/>
          <w:color w:val="auto"/>
        </w:rPr>
      </w:pPr>
      <w:r>
        <w:rPr>
          <w:rFonts w:ascii="Arial" w:cs="Arial" w:eastAsia="Arial" w:hAnsi="Arial"/>
          <w:sz w:val="18"/>
          <w:szCs w:val="18"/>
          <w:color w:val="auto"/>
        </w:rPr>
        <w:t>The total number of shares of common stock, par value $.01 per share, outstanding as of May 3, 2019 was 21,290,779.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9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746"/>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00" w:type="dxa"/>
            <w:vAlign w:val="bottom"/>
            <w:gridSpan w:val="12"/>
          </w:tcPr>
          <w:p>
            <w:pPr>
              <w:jc w:val="center"/>
              <w:ind w:right="3000"/>
              <w:spacing w:after="0"/>
              <w:rPr>
                <w:sz w:val="20"/>
                <w:szCs w:val="20"/>
                <w:color w:val="auto"/>
              </w:rPr>
            </w:pPr>
            <w:r>
              <w:rPr>
                <w:rFonts w:ascii="Arial" w:cs="Arial" w:eastAsia="Arial" w:hAnsi="Arial"/>
                <w:sz w:val="22"/>
                <w:szCs w:val="22"/>
                <w:b w:val="1"/>
                <w:bCs w:val="1"/>
                <w:color w:val="auto"/>
                <w:w w:val="99"/>
              </w:rPr>
              <w:t>SEACOR MARINE HOLDINGS INC.</w:t>
            </w:r>
          </w:p>
        </w:tc>
        <w:tc>
          <w:tcPr>
            <w:tcW w:w="560" w:type="dxa"/>
            <w:vAlign w:val="bottom"/>
          </w:tcPr>
          <w:p>
            <w:pPr>
              <w:spacing w:after="0"/>
              <w:rPr>
                <w:sz w:val="24"/>
                <w:szCs w:val="24"/>
                <w:color w:val="auto"/>
              </w:rPr>
            </w:pPr>
          </w:p>
        </w:tc>
      </w:tr>
      <w:tr>
        <w:trPr>
          <w:trHeight w:val="419"/>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20" w:type="dxa"/>
            <w:vAlign w:val="bottom"/>
            <w:gridSpan w:val="9"/>
          </w:tcPr>
          <w:p>
            <w:pPr>
              <w:jc w:val="center"/>
              <w:ind w:right="4280"/>
              <w:spacing w:after="0"/>
              <w:rPr>
                <w:sz w:val="20"/>
                <w:szCs w:val="20"/>
                <w:color w:val="auto"/>
              </w:rPr>
            </w:pPr>
            <w:r>
              <w:rPr>
                <w:rFonts w:ascii="Arial" w:cs="Arial" w:eastAsia="Arial" w:hAnsi="Arial"/>
                <w:sz w:val="22"/>
                <w:szCs w:val="22"/>
                <w:b w:val="1"/>
                <w:bCs w:val="1"/>
                <w:color w:val="auto"/>
                <w:w w:val="87"/>
              </w:rPr>
              <w:t>Table of Contents</w:t>
            </w:r>
          </w:p>
        </w:tc>
        <w:tc>
          <w:tcPr>
            <w:tcW w:w="560" w:type="dxa"/>
            <w:vAlign w:val="bottom"/>
          </w:tcPr>
          <w:p>
            <w:pPr>
              <w:spacing w:after="0"/>
              <w:rPr>
                <w:sz w:val="24"/>
                <w:szCs w:val="24"/>
                <w:color w:val="auto"/>
              </w:rPr>
            </w:pPr>
          </w:p>
        </w:tc>
      </w:tr>
      <w:tr>
        <w:trPr>
          <w:trHeight w:val="436"/>
        </w:trPr>
        <w:tc>
          <w:tcPr>
            <w:tcW w:w="940" w:type="dxa"/>
            <w:vAlign w:val="bottom"/>
          </w:tcPr>
          <w:p>
            <w:pPr>
              <w:spacing w:after="0"/>
              <w:rPr>
                <w:sz w:val="20"/>
                <w:szCs w:val="20"/>
                <w:color w:val="auto"/>
              </w:rPr>
            </w:pPr>
            <w:r>
              <w:rPr>
                <w:rFonts w:ascii="Arial" w:cs="Arial" w:eastAsia="Arial" w:hAnsi="Arial"/>
                <w:sz w:val="22"/>
                <w:szCs w:val="22"/>
                <w:color w:val="auto"/>
              </w:rPr>
              <w:t>Part I.</w:t>
            </w:r>
          </w:p>
        </w:tc>
        <w:tc>
          <w:tcPr>
            <w:tcW w:w="1900" w:type="dxa"/>
            <w:vAlign w:val="bottom"/>
            <w:tcBorders>
              <w:bottom w:val="single" w:sz="8" w:color="0000EE"/>
            </w:tcBorders>
            <w:gridSpan w:val="7"/>
          </w:tcPr>
          <w:p>
            <w:pPr>
              <w:spacing w:after="0"/>
              <w:rPr>
                <w:rFonts w:ascii="Arial" w:cs="Arial" w:eastAsia="Arial" w:hAnsi="Arial"/>
                <w:sz w:val="22"/>
                <w:szCs w:val="22"/>
                <w:color w:val="0000EE"/>
                <w:w w:val="92"/>
              </w:rPr>
            </w:pPr>
            <w:hyperlink w:anchor="page3">
              <w:r>
                <w:rPr>
                  <w:rFonts w:ascii="Arial" w:cs="Arial" w:eastAsia="Arial" w:hAnsi="Arial"/>
                  <w:sz w:val="22"/>
                  <w:szCs w:val="22"/>
                  <w:color w:val="0000EE"/>
                  <w:w w:val="92"/>
                </w:rPr>
                <w:t>Financial Information</w:t>
              </w:r>
            </w:hyperlink>
          </w:p>
        </w:tc>
        <w:tc>
          <w:tcPr>
            <w:tcW w:w="8020" w:type="dxa"/>
            <w:vAlign w:val="bottom"/>
            <w:gridSpan w:val="1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45"/>
        </w:trPr>
        <w:tc>
          <w:tcPr>
            <w:tcW w:w="9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rPr>
              <w:t>Item 1.</w:t>
            </w:r>
          </w:p>
        </w:tc>
        <w:tc>
          <w:tcPr>
            <w:tcW w:w="8920" w:type="dxa"/>
            <w:vAlign w:val="bottom"/>
            <w:gridSpan w:val="21"/>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40" w:type="dxa"/>
            <w:vAlign w:val="bottom"/>
            <w:tcBorders>
              <w:bottom w:val="single" w:sz="8" w:color="0000EE"/>
            </w:tcBorders>
            <w:gridSpan w:val="16"/>
          </w:tcPr>
          <w:p>
            <w:pPr>
              <w:spacing w:after="0"/>
              <w:rPr>
                <w:rFonts w:ascii="Arial" w:cs="Arial" w:eastAsia="Arial" w:hAnsi="Arial"/>
                <w:sz w:val="22"/>
                <w:szCs w:val="22"/>
                <w:color w:val="0000EE"/>
                <w:w w:val="87"/>
              </w:rPr>
            </w:pPr>
            <w:hyperlink w:anchor="page4">
              <w:r>
                <w:rPr>
                  <w:rFonts w:ascii="Arial" w:cs="Arial" w:eastAsia="Arial" w:hAnsi="Arial"/>
                  <w:sz w:val="22"/>
                  <w:szCs w:val="22"/>
                  <w:color w:val="0000EE"/>
                  <w:w w:val="87"/>
                </w:rPr>
                <w:t>Condensed Consolidated Balance Sheets as of March 31, 2019 and December 31, 2018</w:t>
              </w:r>
            </w:hyperlink>
          </w:p>
        </w:tc>
        <w:tc>
          <w:tcPr>
            <w:tcW w:w="138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45"/>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920" w:type="dxa"/>
            <w:vAlign w:val="bottom"/>
            <w:gridSpan w:val="21"/>
          </w:tcPr>
          <w:p>
            <w:pPr>
              <w:spacing w:after="0"/>
              <w:rPr>
                <w:rFonts w:ascii="Arial" w:cs="Arial" w:eastAsia="Arial" w:hAnsi="Arial"/>
                <w:sz w:val="22"/>
                <w:szCs w:val="22"/>
                <w:color w:val="0000EE"/>
                <w:w w:val="91"/>
              </w:rPr>
            </w:pPr>
            <w:hyperlink w:anchor="page5">
              <w:r>
                <w:rPr>
                  <w:rFonts w:ascii="Arial" w:cs="Arial" w:eastAsia="Arial" w:hAnsi="Arial"/>
                  <w:sz w:val="22"/>
                  <w:szCs w:val="22"/>
                  <w:color w:val="0000EE"/>
                  <w:w w:val="91"/>
                </w:rPr>
                <w:t>Condensed Consolidated Statements of Loss for the Three Months Ended March 31 2019 and 2018</w:t>
              </w:r>
            </w:hyperlink>
          </w:p>
        </w:tc>
        <w:tc>
          <w:tcPr>
            <w:tcW w:w="5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45"/>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80" w:type="dxa"/>
            <w:vAlign w:val="bottom"/>
            <w:tcBorders>
              <w:top w:val="single" w:sz="8" w:color="0000EE"/>
            </w:tcBorders>
            <w:gridSpan w:val="20"/>
          </w:tcPr>
          <w:p>
            <w:pPr>
              <w:spacing w:after="0"/>
              <w:rPr>
                <w:rFonts w:ascii="Arial" w:cs="Arial" w:eastAsia="Arial" w:hAnsi="Arial"/>
                <w:sz w:val="22"/>
                <w:szCs w:val="22"/>
                <w:color w:val="0000EE"/>
                <w:w w:val="90"/>
              </w:rPr>
            </w:pPr>
            <w:hyperlink w:anchor="page6">
              <w:r>
                <w:rPr>
                  <w:rFonts w:ascii="Arial" w:cs="Arial" w:eastAsia="Arial" w:hAnsi="Arial"/>
                  <w:sz w:val="22"/>
                  <w:szCs w:val="22"/>
                  <w:color w:val="0000EE"/>
                  <w:w w:val="90"/>
                </w:rPr>
                <w:t>Condensed Consolidated Statements of Comprehensive Loss for the Three Months Ended March</w:t>
              </w:r>
            </w:hyperlink>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23"/>
        </w:trPr>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Borders>
              <w:top w:val="single" w:sz="8" w:color="0000EE"/>
              <w:bottom w:val="single" w:sz="8" w:color="0000EE"/>
            </w:tcBorders>
            <w:gridSpan w:val="9"/>
          </w:tcPr>
          <w:p>
            <w:pPr>
              <w:spacing w:after="0" w:line="223" w:lineRule="exact"/>
              <w:rPr>
                <w:rFonts w:ascii="Arial" w:cs="Arial" w:eastAsia="Arial" w:hAnsi="Arial"/>
                <w:sz w:val="22"/>
                <w:szCs w:val="22"/>
                <w:color w:val="0000EE"/>
                <w:w w:val="87"/>
              </w:rPr>
            </w:pPr>
            <w:hyperlink w:anchor="page6">
              <w:r>
                <w:rPr>
                  <w:rFonts w:ascii="Arial" w:cs="Arial" w:eastAsia="Arial" w:hAnsi="Arial"/>
                  <w:sz w:val="22"/>
                  <w:szCs w:val="22"/>
                  <w:color w:val="0000EE"/>
                  <w:w w:val="87"/>
                </w:rPr>
                <w:t>31, 2019 and 2018</w:t>
              </w:r>
            </w:hyperlink>
          </w:p>
        </w:tc>
        <w:tc>
          <w:tcPr>
            <w:tcW w:w="6760" w:type="dxa"/>
            <w:vAlign w:val="bottom"/>
            <w:tcBorders>
              <w:top w:val="single" w:sz="8" w:color="0000EE"/>
            </w:tcBorders>
            <w:gridSpan w:val="9"/>
          </w:tcPr>
          <w:p>
            <w:pPr>
              <w:spacing w:after="0"/>
              <w:rPr>
                <w:sz w:val="19"/>
                <w:szCs w:val="19"/>
                <w:color w:val="auto"/>
              </w:rPr>
            </w:pPr>
          </w:p>
        </w:tc>
        <w:tc>
          <w:tcPr>
            <w:tcW w:w="540" w:type="dxa"/>
            <w:vAlign w:val="bottom"/>
            <w:gridSpan w:val="3"/>
          </w:tcPr>
          <w:p>
            <w:pPr>
              <w:spacing w:after="0"/>
              <w:rPr>
                <w:sz w:val="19"/>
                <w:szCs w:val="19"/>
                <w:color w:val="auto"/>
              </w:rPr>
            </w:pPr>
          </w:p>
        </w:tc>
        <w:tc>
          <w:tcPr>
            <w:tcW w:w="560" w:type="dxa"/>
            <w:vAlign w:val="bottom"/>
          </w:tcPr>
          <w:p>
            <w:pPr>
              <w:spacing w:after="0"/>
              <w:rPr>
                <w:sz w:val="19"/>
                <w:szCs w:val="19"/>
                <w:color w:val="auto"/>
              </w:rPr>
            </w:pPr>
          </w:p>
        </w:tc>
      </w:tr>
      <w:tr>
        <w:trPr>
          <w:trHeight w:val="345"/>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920" w:type="dxa"/>
            <w:vAlign w:val="bottom"/>
            <w:gridSpan w:val="21"/>
          </w:tcPr>
          <w:p>
            <w:pPr>
              <w:spacing w:after="0"/>
              <w:rPr>
                <w:rFonts w:ascii="Arial" w:cs="Arial" w:eastAsia="Arial" w:hAnsi="Arial"/>
                <w:sz w:val="22"/>
                <w:szCs w:val="22"/>
                <w:color w:val="0000EE"/>
                <w:w w:val="94"/>
              </w:rPr>
            </w:pPr>
            <w:hyperlink w:anchor="page7">
              <w:r>
                <w:rPr>
                  <w:rFonts w:ascii="Arial" w:cs="Arial" w:eastAsia="Arial" w:hAnsi="Arial"/>
                  <w:sz w:val="22"/>
                  <w:szCs w:val="22"/>
                  <w:color w:val="0000EE"/>
                  <w:w w:val="94"/>
                </w:rPr>
                <w:t>Condensed Consolidated Statement of Changes in Equity for the Three Months Ended March 31,</w:t>
              </w:r>
            </w:hyperlink>
          </w:p>
        </w:tc>
        <w:tc>
          <w:tcPr>
            <w:tcW w:w="5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23"/>
        </w:trPr>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85"/>
              </w:rPr>
            </w:pPr>
            <w:hyperlink w:anchor="page7">
              <w:r>
                <w:rPr>
                  <w:rFonts w:ascii="Arial" w:cs="Arial" w:eastAsia="Arial" w:hAnsi="Arial"/>
                  <w:sz w:val="22"/>
                  <w:szCs w:val="22"/>
                  <w:color w:val="0000EE"/>
                  <w:w w:val="85"/>
                </w:rPr>
                <w:t>2019</w:t>
              </w:r>
            </w:hyperlink>
          </w:p>
        </w:tc>
        <w:tc>
          <w:tcPr>
            <w:tcW w:w="1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9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3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45"/>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920" w:type="dxa"/>
            <w:vAlign w:val="bottom"/>
            <w:gridSpan w:val="21"/>
          </w:tcPr>
          <w:p>
            <w:pPr>
              <w:spacing w:after="0"/>
              <w:rPr>
                <w:rFonts w:ascii="Arial" w:cs="Arial" w:eastAsia="Arial" w:hAnsi="Arial"/>
                <w:sz w:val="22"/>
                <w:szCs w:val="22"/>
                <w:color w:val="0000EE"/>
                <w:w w:val="93"/>
              </w:rPr>
            </w:pPr>
            <w:hyperlink w:anchor="page8">
              <w:r>
                <w:rPr>
                  <w:rFonts w:ascii="Arial" w:cs="Arial" w:eastAsia="Arial" w:hAnsi="Arial"/>
                  <w:sz w:val="22"/>
                  <w:szCs w:val="22"/>
                  <w:color w:val="0000EE"/>
                  <w:w w:val="93"/>
                </w:rPr>
                <w:t>Condensed Consolidated Statements of Cash Flows for the Three Months Ended March 31, 2019</w:t>
              </w:r>
            </w:hyperlink>
          </w:p>
        </w:tc>
        <w:tc>
          <w:tcPr>
            <w:tcW w:w="5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23"/>
        </w:trPr>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color w:val="0000EE"/>
                <w:w w:val="84"/>
              </w:rPr>
            </w:pPr>
            <w:hyperlink w:anchor="page8">
              <w:r>
                <w:rPr>
                  <w:rFonts w:ascii="Arial" w:cs="Arial" w:eastAsia="Arial" w:hAnsi="Arial"/>
                  <w:sz w:val="22"/>
                  <w:szCs w:val="22"/>
                  <w:color w:val="0000EE"/>
                  <w:w w:val="84"/>
                </w:rPr>
                <w:t>and 2018</w:t>
              </w:r>
            </w:hyperlink>
          </w:p>
        </w:tc>
        <w:tc>
          <w:tcPr>
            <w:tcW w:w="7580" w:type="dxa"/>
            <w:vAlign w:val="bottom"/>
            <w:tcBorders>
              <w:top w:val="single" w:sz="8" w:color="0000EE"/>
            </w:tcBorders>
            <w:gridSpan w:val="14"/>
          </w:tcPr>
          <w:p>
            <w:pPr>
              <w:spacing w:after="0"/>
              <w:rPr>
                <w:sz w:val="19"/>
                <w:szCs w:val="19"/>
                <w:color w:val="auto"/>
              </w:rPr>
            </w:pPr>
          </w:p>
        </w:tc>
        <w:tc>
          <w:tcPr>
            <w:tcW w:w="540" w:type="dxa"/>
            <w:vAlign w:val="bottom"/>
            <w:gridSpan w:val="3"/>
          </w:tcPr>
          <w:p>
            <w:pPr>
              <w:spacing w:after="0"/>
              <w:rPr>
                <w:sz w:val="19"/>
                <w:szCs w:val="19"/>
                <w:color w:val="auto"/>
              </w:rPr>
            </w:pPr>
          </w:p>
        </w:tc>
        <w:tc>
          <w:tcPr>
            <w:tcW w:w="560" w:type="dxa"/>
            <w:vAlign w:val="bottom"/>
          </w:tcPr>
          <w:p>
            <w:pPr>
              <w:spacing w:after="0"/>
              <w:rPr>
                <w:sz w:val="19"/>
                <w:szCs w:val="19"/>
                <w:color w:val="auto"/>
              </w:rPr>
            </w:pPr>
          </w:p>
        </w:tc>
      </w:tr>
      <w:tr>
        <w:trPr>
          <w:trHeight w:val="345"/>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rFonts w:ascii="Arial" w:cs="Arial" w:eastAsia="Arial" w:hAnsi="Arial"/>
                <w:sz w:val="22"/>
                <w:szCs w:val="22"/>
                <w:color w:val="0000EE"/>
                <w:w w:val="87"/>
              </w:rPr>
            </w:pPr>
            <w:hyperlink w:anchor="page9">
              <w:r>
                <w:rPr>
                  <w:rFonts w:ascii="Arial" w:cs="Arial" w:eastAsia="Arial" w:hAnsi="Arial"/>
                  <w:sz w:val="22"/>
                  <w:szCs w:val="22"/>
                  <w:color w:val="0000EE"/>
                  <w:w w:val="87"/>
                </w:rPr>
                <w:t>Notes to Condensed Consolidated Financial Statements</w:t>
              </w:r>
            </w:hyperlink>
          </w:p>
        </w:tc>
        <w:tc>
          <w:tcPr>
            <w:tcW w:w="41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45"/>
        </w:trPr>
        <w:tc>
          <w:tcPr>
            <w:tcW w:w="9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rPr>
              <w:t>Item 2.</w:t>
            </w:r>
          </w:p>
        </w:tc>
        <w:tc>
          <w:tcPr>
            <w:tcW w:w="7760" w:type="dxa"/>
            <w:vAlign w:val="bottom"/>
            <w:tcBorders>
              <w:bottom w:val="single" w:sz="8" w:color="0000EE"/>
            </w:tcBorders>
            <w:gridSpan w:val="17"/>
          </w:tcPr>
          <w:p>
            <w:pPr>
              <w:spacing w:after="0"/>
              <w:rPr>
                <w:rFonts w:ascii="Arial" w:cs="Arial" w:eastAsia="Arial" w:hAnsi="Arial"/>
                <w:sz w:val="22"/>
                <w:szCs w:val="22"/>
                <w:color w:val="0000EE"/>
                <w:w w:val="89"/>
              </w:rPr>
            </w:pPr>
            <w:hyperlink w:anchor="page24">
              <w:r>
                <w:rPr>
                  <w:rFonts w:ascii="Arial" w:cs="Arial" w:eastAsia="Arial" w:hAnsi="Arial"/>
                  <w:sz w:val="22"/>
                  <w:szCs w:val="22"/>
                  <w:color w:val="0000EE"/>
                  <w:w w:val="89"/>
                </w:rPr>
                <w:t>Management’s Discussion and Analysis of Financial Condition and Results of Operations</w:t>
              </w:r>
            </w:hyperlink>
          </w:p>
        </w:tc>
        <w:tc>
          <w:tcPr>
            <w:tcW w:w="11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45"/>
        </w:trPr>
        <w:tc>
          <w:tcPr>
            <w:tcW w:w="9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rPr>
              <w:t>Item 3.</w:t>
            </w:r>
          </w:p>
        </w:tc>
        <w:tc>
          <w:tcPr>
            <w:tcW w:w="5240" w:type="dxa"/>
            <w:vAlign w:val="bottom"/>
            <w:tcBorders>
              <w:bottom w:val="single" w:sz="8" w:color="0000EE"/>
            </w:tcBorders>
            <w:gridSpan w:val="15"/>
          </w:tcPr>
          <w:p>
            <w:pPr>
              <w:spacing w:after="0"/>
              <w:rPr>
                <w:rFonts w:ascii="Arial" w:cs="Arial" w:eastAsia="Arial" w:hAnsi="Arial"/>
                <w:sz w:val="22"/>
                <w:szCs w:val="22"/>
                <w:color w:val="0000EE"/>
                <w:w w:val="90"/>
              </w:rPr>
            </w:pPr>
            <w:hyperlink w:anchor="page41">
              <w:r>
                <w:rPr>
                  <w:rFonts w:ascii="Arial" w:cs="Arial" w:eastAsia="Arial" w:hAnsi="Arial"/>
                  <w:sz w:val="22"/>
                  <w:szCs w:val="22"/>
                  <w:color w:val="0000EE"/>
                  <w:w w:val="90"/>
                </w:rPr>
                <w:t>Quantitative and Qualitative Disclosures About Market Risk</w:t>
              </w:r>
            </w:hyperlink>
          </w:p>
        </w:tc>
        <w:tc>
          <w:tcPr>
            <w:tcW w:w="368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45"/>
        </w:trPr>
        <w:tc>
          <w:tcPr>
            <w:tcW w:w="9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rPr>
              <w:t>Item 4.</w:t>
            </w:r>
          </w:p>
        </w:tc>
        <w:tc>
          <w:tcPr>
            <w:tcW w:w="8920" w:type="dxa"/>
            <w:vAlign w:val="bottom"/>
            <w:gridSpan w:val="21"/>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0"/>
        </w:trPr>
        <w:tc>
          <w:tcPr>
            <w:tcW w:w="9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940" w:type="dxa"/>
            <w:vAlign w:val="bottom"/>
          </w:tcPr>
          <w:p>
            <w:pPr>
              <w:spacing w:after="0"/>
              <w:rPr>
                <w:sz w:val="20"/>
                <w:szCs w:val="20"/>
                <w:color w:val="auto"/>
              </w:rPr>
            </w:pPr>
            <w:r>
              <w:rPr>
                <w:rFonts w:ascii="Arial" w:cs="Arial" w:eastAsia="Arial" w:hAnsi="Arial"/>
                <w:sz w:val="22"/>
                <w:szCs w:val="22"/>
                <w:color w:val="auto"/>
              </w:rPr>
              <w:t>Part II.</w:t>
            </w:r>
          </w:p>
        </w:tc>
        <w:tc>
          <w:tcPr>
            <w:tcW w:w="1580" w:type="dxa"/>
            <w:vAlign w:val="bottom"/>
            <w:tcBorders>
              <w:bottom w:val="single" w:sz="8" w:color="0000EE"/>
            </w:tcBorders>
            <w:gridSpan w:val="4"/>
          </w:tcPr>
          <w:p>
            <w:pPr>
              <w:spacing w:after="0"/>
              <w:rPr>
                <w:rFonts w:ascii="Arial" w:cs="Arial" w:eastAsia="Arial" w:hAnsi="Arial"/>
                <w:sz w:val="22"/>
                <w:szCs w:val="22"/>
                <w:color w:val="0000EE"/>
                <w:w w:val="91"/>
              </w:rPr>
            </w:pPr>
            <w:hyperlink w:anchor="page43">
              <w:r>
                <w:rPr>
                  <w:rFonts w:ascii="Arial" w:cs="Arial" w:eastAsia="Arial" w:hAnsi="Arial"/>
                  <w:sz w:val="22"/>
                  <w:szCs w:val="22"/>
                  <w:color w:val="0000EE"/>
                  <w:w w:val="91"/>
                </w:rPr>
                <w:t>Other Information</w:t>
              </w:r>
            </w:hyperlink>
          </w:p>
        </w:tc>
        <w:tc>
          <w:tcPr>
            <w:tcW w:w="834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45"/>
        </w:trPr>
        <w:tc>
          <w:tcPr>
            <w:tcW w:w="9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rPr>
              <w:t>Item 1.</w:t>
            </w:r>
          </w:p>
        </w:tc>
        <w:tc>
          <w:tcPr>
            <w:tcW w:w="8920" w:type="dxa"/>
            <w:vAlign w:val="bottom"/>
            <w:gridSpan w:val="21"/>
          </w:tcPr>
          <w:p>
            <w:pPr>
              <w:spacing w:after="0"/>
              <w:rPr>
                <w:rFonts w:ascii="Arial" w:cs="Arial" w:eastAsia="Arial" w:hAnsi="Arial"/>
                <w:sz w:val="22"/>
                <w:szCs w:val="22"/>
                <w:color w:val="0000EE"/>
              </w:rPr>
            </w:pPr>
            <w:hyperlink w:anchor="page43">
              <w:r>
                <w:rPr>
                  <w:rFonts w:ascii="Arial" w:cs="Arial" w:eastAsia="Arial" w:hAnsi="Arial"/>
                  <w:sz w:val="22"/>
                  <w:szCs w:val="22"/>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45"/>
        </w:trPr>
        <w:tc>
          <w:tcPr>
            <w:tcW w:w="9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rPr>
              <w:t>Item 1A.</w:t>
            </w:r>
          </w:p>
        </w:tc>
        <w:tc>
          <w:tcPr>
            <w:tcW w:w="1600" w:type="dxa"/>
            <w:vAlign w:val="bottom"/>
            <w:tcBorders>
              <w:top w:val="single" w:sz="8" w:color="0000EE"/>
            </w:tcBorders>
            <w:gridSpan w:val="8"/>
          </w:tcPr>
          <w:p>
            <w:pPr>
              <w:spacing w:after="0"/>
              <w:rPr>
                <w:rFonts w:ascii="Arial" w:cs="Arial" w:eastAsia="Arial" w:hAnsi="Arial"/>
                <w:sz w:val="22"/>
                <w:szCs w:val="22"/>
                <w:color w:val="0000EE"/>
              </w:rPr>
            </w:pPr>
            <w:hyperlink w:anchor="page43">
              <w:r>
                <w:rPr>
                  <w:rFonts w:ascii="Arial" w:cs="Arial" w:eastAsia="Arial" w:hAnsi="Arial"/>
                  <w:sz w:val="22"/>
                  <w:szCs w:val="22"/>
                  <w:color w:val="0000EE"/>
                </w:rPr>
                <w:t>Risk Factors</w:t>
              </w:r>
            </w:hyperlink>
          </w:p>
        </w:tc>
        <w:tc>
          <w:tcPr>
            <w:tcW w:w="732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0"/>
        </w:trPr>
        <w:tc>
          <w:tcPr>
            <w:tcW w:w="9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9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rPr>
              <w:t>Item 2.</w:t>
            </w:r>
          </w:p>
        </w:tc>
        <w:tc>
          <w:tcPr>
            <w:tcW w:w="8920" w:type="dxa"/>
            <w:vAlign w:val="bottom"/>
            <w:gridSpan w:val="21"/>
          </w:tcPr>
          <w:p>
            <w:pPr>
              <w:spacing w:after="0"/>
              <w:rPr>
                <w:rFonts w:ascii="Arial" w:cs="Arial" w:eastAsia="Arial" w:hAnsi="Arial"/>
                <w:sz w:val="22"/>
                <w:szCs w:val="22"/>
                <w:color w:val="0000EE"/>
              </w:rPr>
            </w:pPr>
            <w:hyperlink w:anchor="page43">
              <w:r>
                <w:rPr>
                  <w:rFonts w:ascii="Arial" w:cs="Arial" w:eastAsia="Arial" w:hAnsi="Arial"/>
                  <w:sz w:val="22"/>
                  <w:szCs w:val="22"/>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45"/>
        </w:trPr>
        <w:tc>
          <w:tcPr>
            <w:tcW w:w="9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rPr>
              <w:t>Item 3.</w:t>
            </w:r>
          </w:p>
        </w:tc>
        <w:tc>
          <w:tcPr>
            <w:tcW w:w="5220" w:type="dxa"/>
            <w:vAlign w:val="bottom"/>
            <w:tcBorders>
              <w:top w:val="single" w:sz="8" w:color="0000EE"/>
            </w:tcBorders>
            <w:gridSpan w:val="14"/>
          </w:tcPr>
          <w:p>
            <w:pPr>
              <w:spacing w:after="0"/>
              <w:rPr>
                <w:rFonts w:ascii="Arial" w:cs="Arial" w:eastAsia="Arial" w:hAnsi="Arial"/>
                <w:sz w:val="22"/>
                <w:szCs w:val="22"/>
                <w:color w:val="0000EE"/>
              </w:rPr>
            </w:pPr>
            <w:hyperlink w:anchor="page44">
              <w:r>
                <w:rPr>
                  <w:rFonts w:ascii="Arial" w:cs="Arial" w:eastAsia="Arial" w:hAnsi="Arial"/>
                  <w:sz w:val="22"/>
                  <w:szCs w:val="22"/>
                  <w:color w:val="0000EE"/>
                </w:rPr>
                <w:t>Default Upon Senior Securities</w:t>
              </w:r>
            </w:hyperlink>
          </w:p>
        </w:tc>
        <w:tc>
          <w:tcPr>
            <w:tcW w:w="370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45"/>
        </w:trPr>
        <w:tc>
          <w:tcPr>
            <w:tcW w:w="9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rPr>
              <w:t>Item 4.</w:t>
            </w:r>
          </w:p>
        </w:tc>
        <w:tc>
          <w:tcPr>
            <w:tcW w:w="2700" w:type="dxa"/>
            <w:vAlign w:val="bottom"/>
            <w:tcBorders>
              <w:top w:val="single" w:sz="8" w:color="0000EE"/>
            </w:tcBorders>
            <w:gridSpan w:val="11"/>
          </w:tcPr>
          <w:p>
            <w:pPr>
              <w:spacing w:after="0"/>
              <w:rPr>
                <w:rFonts w:ascii="Arial" w:cs="Arial" w:eastAsia="Arial" w:hAnsi="Arial"/>
                <w:sz w:val="22"/>
                <w:szCs w:val="22"/>
                <w:color w:val="0000EE"/>
              </w:rPr>
            </w:pPr>
            <w:hyperlink w:anchor="page44">
              <w:r>
                <w:rPr>
                  <w:rFonts w:ascii="Arial" w:cs="Arial" w:eastAsia="Arial" w:hAnsi="Arial"/>
                  <w:sz w:val="22"/>
                  <w:szCs w:val="22"/>
                  <w:color w:val="0000EE"/>
                </w:rPr>
                <w:t>Mine Safety Disclosures</w:t>
              </w:r>
            </w:hyperlink>
          </w:p>
        </w:tc>
        <w:tc>
          <w:tcPr>
            <w:tcW w:w="622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45"/>
        </w:trPr>
        <w:tc>
          <w:tcPr>
            <w:tcW w:w="9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rPr>
              <w:t>Item 5.</w:t>
            </w:r>
          </w:p>
        </w:tc>
        <w:tc>
          <w:tcPr>
            <w:tcW w:w="1580" w:type="dxa"/>
            <w:vAlign w:val="bottom"/>
            <w:tcBorders>
              <w:top w:val="single" w:sz="8" w:color="0000EE"/>
              <w:bottom w:val="single" w:sz="8" w:color="0000EE"/>
            </w:tcBorders>
            <w:gridSpan w:val="7"/>
          </w:tcPr>
          <w:p>
            <w:pPr>
              <w:spacing w:after="0"/>
              <w:rPr>
                <w:rFonts w:ascii="Arial" w:cs="Arial" w:eastAsia="Arial" w:hAnsi="Arial"/>
                <w:sz w:val="22"/>
                <w:szCs w:val="22"/>
                <w:color w:val="0000EE"/>
                <w:w w:val="91"/>
              </w:rPr>
            </w:pPr>
            <w:hyperlink w:anchor="page44">
              <w:r>
                <w:rPr>
                  <w:rFonts w:ascii="Arial" w:cs="Arial" w:eastAsia="Arial" w:hAnsi="Arial"/>
                  <w:sz w:val="22"/>
                  <w:szCs w:val="22"/>
                  <w:color w:val="0000EE"/>
                  <w:w w:val="91"/>
                </w:rPr>
                <w:t>Other Information</w:t>
              </w:r>
            </w:hyperlink>
          </w:p>
        </w:tc>
        <w:tc>
          <w:tcPr>
            <w:tcW w:w="540" w:type="dxa"/>
            <w:vAlign w:val="bottom"/>
            <w:tcBorders>
              <w:top w:val="single" w:sz="8" w:color="0000EE"/>
            </w:tcBorders>
            <w:gridSpan w:val="3"/>
          </w:tcPr>
          <w:p>
            <w:pPr>
              <w:spacing w:after="0"/>
              <w:rPr>
                <w:sz w:val="24"/>
                <w:szCs w:val="24"/>
                <w:color w:val="auto"/>
              </w:rPr>
            </w:pPr>
          </w:p>
        </w:tc>
        <w:tc>
          <w:tcPr>
            <w:tcW w:w="680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45"/>
        </w:trPr>
        <w:tc>
          <w:tcPr>
            <w:tcW w:w="9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rPr>
              <w:t>Item 6.</w:t>
            </w:r>
          </w:p>
        </w:tc>
        <w:tc>
          <w:tcPr>
            <w:tcW w:w="720" w:type="dxa"/>
            <w:vAlign w:val="bottom"/>
            <w:tcBorders>
              <w:bottom w:val="single" w:sz="8" w:color="0000EE"/>
            </w:tcBorders>
            <w:gridSpan w:val="3"/>
          </w:tcPr>
          <w:p>
            <w:pPr>
              <w:spacing w:after="0"/>
              <w:rPr>
                <w:rFonts w:ascii="Arial" w:cs="Arial" w:eastAsia="Arial" w:hAnsi="Arial"/>
                <w:sz w:val="22"/>
                <w:szCs w:val="22"/>
                <w:color w:val="0000EE"/>
                <w:w w:val="90"/>
              </w:rPr>
            </w:pPr>
            <w:hyperlink w:anchor="page45">
              <w:r>
                <w:rPr>
                  <w:rFonts w:ascii="Arial" w:cs="Arial" w:eastAsia="Arial" w:hAnsi="Arial"/>
                  <w:sz w:val="22"/>
                  <w:szCs w:val="22"/>
                  <w:color w:val="0000EE"/>
                  <w:w w:val="90"/>
                </w:rPr>
                <w:t>Exhibits</w:t>
              </w:r>
            </w:hyperlink>
          </w:p>
        </w:tc>
        <w:tc>
          <w:tcPr>
            <w:tcW w:w="8200" w:type="dxa"/>
            <w:vAlign w:val="bottom"/>
            <w:gridSpan w:val="1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1.FINANCIAL STATEMENTS</w:t>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left="260" w:right="2440"/>
        <w:spacing w:after="0" w:line="243" w:lineRule="auto"/>
        <w:rPr>
          <w:sz w:val="20"/>
          <w:szCs w:val="20"/>
          <w:color w:val="auto"/>
        </w:rPr>
      </w:pPr>
      <w:r>
        <w:rPr>
          <w:rFonts w:ascii="Arial" w:cs="Arial" w:eastAsia="Arial" w:hAnsi="Arial"/>
          <w:sz w:val="22"/>
          <w:szCs w:val="22"/>
          <w:b w:val="1"/>
          <w:bCs w:val="1"/>
          <w:color w:val="auto"/>
        </w:rPr>
        <w:t>SEACOR MARINE HOLDINGS INC. UNAUDITED CONDENSED CONSOLIDATED BALANCE SHEETS (in thousands, except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7"/>
                <w:szCs w:val="17"/>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shd w:val="clear" w:color="auto" w:fill="CFF0FC"/>
          </w:tcPr>
          <w:p>
            <w:pPr>
              <w:ind w:left="3540"/>
              <w:spacing w:after="0"/>
              <w:rPr>
                <w:sz w:val="20"/>
                <w:szCs w:val="20"/>
                <w:color w:val="auto"/>
              </w:rPr>
            </w:pPr>
            <w:r>
              <w:rPr>
                <w:rFonts w:ascii="Arial" w:cs="Arial" w:eastAsia="Arial" w:hAnsi="Arial"/>
                <w:sz w:val="16"/>
                <w:szCs w:val="16"/>
                <w:b w:val="1"/>
                <w:bCs w:val="1"/>
                <w:color w:val="auto"/>
              </w:rPr>
              <w:t>ASSETS</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Current Assets: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63,855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Receivables: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00" w:type="dxa"/>
            <w:vAlign w:val="bottom"/>
          </w:tcPr>
          <w:p>
            <w:pPr>
              <w:ind w:left="500"/>
              <w:spacing w:after="0"/>
              <w:rPr>
                <w:sz w:val="20"/>
                <w:szCs w:val="20"/>
                <w:color w:val="auto"/>
              </w:rPr>
            </w:pPr>
            <w:r>
              <w:rPr>
                <w:rFonts w:ascii="Arial" w:cs="Arial" w:eastAsia="Arial" w:hAnsi="Arial"/>
                <w:sz w:val="16"/>
                <w:szCs w:val="16"/>
                <w:color w:val="auto"/>
              </w:rPr>
              <w:t>Trade, net of allowance for doubtful accounts of $455 and $860</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620"/>
              <w:spacing w:after="0"/>
              <w:rPr>
                <w:sz w:val="20"/>
                <w:szCs w:val="20"/>
                <w:color w:val="auto"/>
              </w:rPr>
            </w:pPr>
            <w:r>
              <w:rPr>
                <w:rFonts w:ascii="Arial" w:cs="Arial" w:eastAsia="Arial" w:hAnsi="Arial"/>
                <w:sz w:val="16"/>
                <w:szCs w:val="16"/>
                <w:color w:val="auto"/>
              </w:rPr>
              <w:t>in 2019 and 2018, respectively</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67,900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9,078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w:t>
            </w:r>
          </w:p>
        </w:tc>
        <w:tc>
          <w:tcPr>
            <w:tcW w:w="1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4,597</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current assets</w:t>
            </w:r>
          </w:p>
        </w:tc>
        <w:tc>
          <w:tcPr>
            <w:tcW w:w="12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151,809</w:t>
            </w:r>
          </w:p>
        </w:tc>
        <w:tc>
          <w:tcPr>
            <w:tcW w:w="2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179,032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1,294,945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1,242,733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(579,441)</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(561,272)</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715,504</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681,461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Construction in progress</w:t>
            </w:r>
          </w:p>
        </w:tc>
        <w:tc>
          <w:tcPr>
            <w:tcW w:w="1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63,301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88,918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property and equipment</w:t>
            </w:r>
          </w:p>
        </w:tc>
        <w:tc>
          <w:tcPr>
            <w:tcW w:w="12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778,805</w:t>
            </w:r>
          </w:p>
        </w:tc>
        <w:tc>
          <w:tcPr>
            <w:tcW w:w="2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770,379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 - Operating Leases</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30,503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Investments, at Equity, and Advances to 50% or Less Owned Companies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119,520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Construction Reserve Funds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28,109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1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3,603</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1,112,349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1,102,935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ind w:left="2800"/>
              <w:spacing w:after="0"/>
              <w:rPr>
                <w:sz w:val="20"/>
                <w:szCs w:val="20"/>
                <w:color w:val="auto"/>
              </w:rPr>
            </w:pPr>
            <w:r>
              <w:rPr>
                <w:rFonts w:ascii="Arial" w:cs="Arial" w:eastAsia="Arial" w:hAnsi="Arial"/>
                <w:sz w:val="16"/>
                <w:szCs w:val="16"/>
                <w:b w:val="1"/>
                <w:bCs w:val="1"/>
                <w:color w:val="auto"/>
              </w:rPr>
              <w:t>LIABILITIES AND EQUITY</w:t>
            </w:r>
          </w:p>
        </w:tc>
        <w:tc>
          <w:tcPr>
            <w:tcW w:w="1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Current portion of operating lease liabilities</w:t>
            </w: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17,918</w:t>
            </w:r>
          </w:p>
        </w:tc>
        <w:tc>
          <w:tcPr>
            <w:tcW w:w="28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long-term debt</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27,263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to SEACOR Holdings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Accrued wages and benefits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4,280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income taxes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Accrued capital, repair and maintenance expenditures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20,817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18,886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liabilities</w:t>
            </w:r>
          </w:p>
        </w:tc>
        <w:tc>
          <w:tcPr>
            <w:tcW w:w="1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16,219</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19,828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1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110,709</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0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19,851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384,344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6,201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41,831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Gains and Other Liabilities</w:t>
            </w:r>
          </w:p>
        </w:tc>
        <w:tc>
          <w:tcPr>
            <w:tcW w:w="1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7,290</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1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570,226</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548,000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00" w:type="dxa"/>
            <w:vAlign w:val="bottom"/>
          </w:tcPr>
          <w:p>
            <w:pPr>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Marine Holdings Inc. stockholders’ equity:</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00" w:type="dxa"/>
            <w:vAlign w:val="bottom"/>
          </w:tcPr>
          <w:p>
            <w:pPr>
              <w:ind w:left="260"/>
              <w:spacing w:after="0"/>
              <w:rPr>
                <w:sz w:val="20"/>
                <w:szCs w:val="20"/>
                <w:color w:val="auto"/>
              </w:rPr>
            </w:pPr>
            <w:r>
              <w:rPr>
                <w:rFonts w:ascii="Arial" w:cs="Arial" w:eastAsia="Arial" w:hAnsi="Arial"/>
                <w:sz w:val="16"/>
                <w:szCs w:val="16"/>
                <w:color w:val="auto"/>
              </w:rPr>
              <w:t>Common stock, $.01 par value, 60,000,000 shares authorized; 21,104,837 and</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380"/>
              <w:spacing w:after="0"/>
              <w:rPr>
                <w:sz w:val="20"/>
                <w:szCs w:val="20"/>
                <w:color w:val="auto"/>
              </w:rPr>
            </w:pPr>
            <w:r>
              <w:rPr>
                <w:rFonts w:ascii="Arial" w:cs="Arial" w:eastAsia="Arial" w:hAnsi="Arial"/>
                <w:sz w:val="16"/>
                <w:szCs w:val="16"/>
                <w:color w:val="auto"/>
              </w:rPr>
              <w:t>20,443,215 shares issued in 2019 and 2018, respectively</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422,830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111,701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126,834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 held in treasury of 25,558 and 4,007, respectively, at cost</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(373)</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Accumulated other comprehensive loss, net of tax</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(16,812)</w:t>
            </w: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(16,788)</w:t>
            </w:r>
          </w:p>
        </w:tc>
        <w:tc>
          <w:tcPr>
            <w:tcW w:w="0" w:type="dxa"/>
            <w:vAlign w:val="bottom"/>
          </w:tcPr>
          <w:p>
            <w:pPr>
              <w:spacing w:after="0"/>
              <w:rPr>
                <w:sz w:val="1"/>
                <w:szCs w:val="1"/>
                <w:color w:val="auto"/>
              </w:rPr>
            </w:pPr>
          </w:p>
        </w:tc>
      </w:tr>
      <w:tr>
        <w:trPr>
          <w:trHeight w:val="213"/>
        </w:trPr>
        <w:tc>
          <w:tcPr>
            <w:tcW w:w="660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517,557</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525,531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Noncontrolling interests in subsidiaries</w:t>
            </w:r>
          </w:p>
        </w:tc>
        <w:tc>
          <w:tcPr>
            <w:tcW w:w="1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24,566</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29,404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equity</w:t>
            </w:r>
          </w:p>
        </w:tc>
        <w:tc>
          <w:tcPr>
            <w:tcW w:w="1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542,123</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554,935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1,112,349</w:t>
            </w:r>
          </w:p>
        </w:tc>
        <w:tc>
          <w:tcPr>
            <w:tcW w:w="28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1,102,935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 and should be read in conjunction herewith.</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SEACOR MARINE HOLDINGS INC. UNAUDITED CONDENSED CONSOLIDATED STATEMENTS OF LOSS (in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2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26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56,249</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40" w:type="dxa"/>
            <w:vAlign w:val="bottom"/>
          </w:tcPr>
          <w:p>
            <w:pPr>
              <w:spacing w:after="0"/>
              <w:rPr>
                <w:sz w:val="20"/>
                <w:szCs w:val="20"/>
                <w:color w:val="auto"/>
              </w:rPr>
            </w:pPr>
            <w:r>
              <w:rPr>
                <w:rFonts w:ascii="Arial" w:cs="Arial" w:eastAsia="Arial" w:hAnsi="Arial"/>
                <w:sz w:val="16"/>
                <w:szCs w:val="16"/>
                <w:color w:val="auto"/>
              </w:rPr>
              <w:t>Costs and Expenses:</w:t>
            </w:r>
          </w:p>
        </w:tc>
        <w:tc>
          <w:tcPr>
            <w:tcW w:w="9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9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77,618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73,492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40" w:type="dxa"/>
            <w:vAlign w:val="bottom"/>
          </w:tcPr>
          <w:p>
            <w:pPr>
              <w:spacing w:after="0"/>
              <w:rPr>
                <w:sz w:val="20"/>
                <w:szCs w:val="20"/>
                <w:color w:val="auto"/>
              </w:rPr>
            </w:pPr>
            <w:r>
              <w:rPr>
                <w:rFonts w:ascii="Arial" w:cs="Arial" w:eastAsia="Arial" w:hAnsi="Arial"/>
                <w:sz w:val="16"/>
                <w:szCs w:val="16"/>
                <w:color w:val="auto"/>
              </w:rPr>
              <w:t>Gains (Losses) on Asset Dispositions and Impairments, Net</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9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(21,010)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(24,414)</w:t>
            </w:r>
          </w:p>
        </w:tc>
        <w:tc>
          <w:tcPr>
            <w:tcW w:w="0" w:type="dxa"/>
            <w:vAlign w:val="bottom"/>
          </w:tcPr>
          <w:p>
            <w:pPr>
              <w:spacing w:after="0"/>
              <w:rPr>
                <w:sz w:val="1"/>
                <w:szCs w:val="1"/>
                <w:color w:val="auto"/>
              </w:rPr>
            </w:pPr>
          </w:p>
        </w:tc>
      </w:tr>
      <w:tr>
        <w:trPr>
          <w:trHeight w:val="207"/>
        </w:trPr>
        <w:tc>
          <w:tcPr>
            <w:tcW w:w="6940" w:type="dxa"/>
            <w:vAlign w:val="bottom"/>
          </w:tcPr>
          <w:p>
            <w:pPr>
              <w:spacing w:after="0"/>
              <w:rPr>
                <w:sz w:val="20"/>
                <w:szCs w:val="20"/>
                <w:color w:val="auto"/>
              </w:rPr>
            </w:pPr>
            <w:r>
              <w:rPr>
                <w:rFonts w:ascii="Arial" w:cs="Arial" w:eastAsia="Arial" w:hAnsi="Arial"/>
                <w:sz w:val="16"/>
                <w:szCs w:val="16"/>
                <w:color w:val="auto"/>
              </w:rPr>
              <w:t>Other Income (Expense):</w:t>
            </w:r>
          </w:p>
        </w:tc>
        <w:tc>
          <w:tcPr>
            <w:tcW w:w="9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(7,735)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(6,133)</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Holdings guarantee fees</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Derivative losses, net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(11,516)</w:t>
            </w: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gains, net</w:t>
            </w:r>
          </w:p>
        </w:tc>
        <w:tc>
          <w:tcPr>
            <w:tcW w:w="9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(7,697)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(17,306)</w:t>
            </w: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Before Income Tax Benefit and Equity in Earnings of 50% or Less Owned Companies</w:t>
            </w:r>
          </w:p>
        </w:tc>
        <w:tc>
          <w:tcPr>
            <w:tcW w:w="9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(28,707)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(41,720)</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Income Tax Benefit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(3,831)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(9,824)</w:t>
            </w: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Before Equity in Earnings of 50% or Less Owned Companies</w:t>
            </w:r>
          </w:p>
        </w:tc>
        <w:tc>
          <w:tcPr>
            <w:tcW w:w="9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(24,876)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(31,896)</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Equity in (Losses) Earnings of 50% or Less Owned Companies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(3,397)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w:t>
            </w:r>
          </w:p>
        </w:tc>
        <w:tc>
          <w:tcPr>
            <w:tcW w:w="9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(28,273)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(31,688)</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Net Loss attributable to Noncontrolling Interests in Subsidiaries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(2,724)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(2,855)</w:t>
            </w: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attributable to SEACOR Marine Holdings Inc.</w:t>
            </w:r>
          </w:p>
        </w:tc>
        <w:tc>
          <w:tcPr>
            <w:tcW w:w="9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(25,549)</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(28,833)</w:t>
            </w: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Loss Per Common Share and Warrants of SEACOR Marine Holdings Inc.</w:t>
            </w:r>
          </w:p>
        </w:tc>
        <w:tc>
          <w:tcPr>
            <w:tcW w:w="126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(1.11)</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Weighted Average Common Shares and Warrants Outstanding:</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 and Diluted</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23,090,137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17,571,490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 and should be read in conjunction herewith</w:t>
      </w:r>
      <w:r>
        <w:rPr>
          <w:rFonts w:ascii="Arial" w:cs="Arial" w:eastAsia="Arial" w:hAnsi="Arial"/>
          <w:sz w:val="20"/>
          <w:szCs w:val="20"/>
          <w:color w:val="auto"/>
        </w:rPr>
        <w:t>.</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COMPREHENSIVE LOSS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304"/>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(28,273)</w:t>
            </w: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(31,688)</w:t>
            </w:r>
          </w:p>
        </w:tc>
        <w:tc>
          <w:tcPr>
            <w:tcW w:w="0" w:type="dxa"/>
            <w:vAlign w:val="bottom"/>
          </w:tcPr>
          <w:p>
            <w:pPr>
              <w:spacing w:after="0"/>
              <w:rPr>
                <w:sz w:val="1"/>
                <w:szCs w:val="1"/>
                <w:color w:val="auto"/>
              </w:rPr>
            </w:pPr>
          </w:p>
        </w:tc>
      </w:tr>
      <w:tr>
        <w:trPr>
          <w:trHeight w:val="207"/>
        </w:trPr>
        <w:tc>
          <w:tcPr>
            <w:tcW w:w="756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3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gains</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260"/>
              <w:spacing w:after="0"/>
              <w:rPr>
                <w:sz w:val="20"/>
                <w:szCs w:val="20"/>
                <w:color w:val="auto"/>
              </w:rPr>
            </w:pPr>
            <w:r>
              <w:rPr>
                <w:rFonts w:ascii="Arial" w:cs="Arial" w:eastAsia="Arial" w:hAnsi="Arial"/>
                <w:sz w:val="16"/>
                <w:szCs w:val="16"/>
                <w:color w:val="auto"/>
              </w:rPr>
              <w:t>Derivative (losses) gains on cash flow hedges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(710)</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of derivative gains on cash flow hedges to interest expense</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60" w:type="dxa"/>
            <w:vAlign w:val="bottom"/>
          </w:tcPr>
          <w:p>
            <w:pPr>
              <w:ind w:left="260"/>
              <w:spacing w:after="0"/>
              <w:rPr>
                <w:sz w:val="20"/>
                <w:szCs w:val="20"/>
                <w:color w:val="auto"/>
              </w:rPr>
            </w:pPr>
            <w:r>
              <w:rPr>
                <w:rFonts w:ascii="Arial" w:cs="Arial" w:eastAsia="Arial" w:hAnsi="Arial"/>
                <w:sz w:val="16"/>
                <w:szCs w:val="16"/>
                <w:color w:val="auto"/>
                <w:w w:val="95"/>
              </w:rPr>
              <w:t>Reclassification of derivative (losses) gains on cash flow hedges to equity in earnings of 50% or less owned</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260"/>
              <w:spacing w:after="0"/>
              <w:rPr>
                <w:sz w:val="20"/>
                <w:szCs w:val="20"/>
                <w:color w:val="auto"/>
              </w:rPr>
            </w:pPr>
            <w:r>
              <w:rPr>
                <w:rFonts w:ascii="Arial" w:cs="Arial" w:eastAsia="Arial" w:hAnsi="Arial"/>
                <w:sz w:val="16"/>
                <w:szCs w:val="16"/>
                <w:color w:val="auto"/>
              </w:rPr>
              <w:t>companies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(260)</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w:t>
            </w: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260"/>
              <w:spacing w:after="0"/>
              <w:rPr>
                <w:sz w:val="20"/>
                <w:szCs w:val="20"/>
                <w:color w:val="auto"/>
              </w:rPr>
            </w:pPr>
            <w:r>
              <w:rPr>
                <w:rFonts w:ascii="Arial" w:cs="Arial" w:eastAsia="Arial" w:hAnsi="Arial"/>
                <w:sz w:val="16"/>
                <w:szCs w:val="16"/>
                <w:color w:val="auto"/>
              </w:rPr>
              <w:t>Income tax benefit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w:t>
            </w: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6"/>
                <w:szCs w:val="16"/>
                <w:color w:val="auto"/>
              </w:rPr>
              <w:t>Comprehensive Loss</w:t>
            </w: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(28,297)</w:t>
            </w:r>
          </w:p>
        </w:tc>
        <w:tc>
          <w:tcPr>
            <w:tcW w:w="6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(29,542)</w:t>
            </w:r>
          </w:p>
        </w:tc>
        <w:tc>
          <w:tcPr>
            <w:tcW w:w="0" w:type="dxa"/>
            <w:vAlign w:val="bottom"/>
          </w:tcPr>
          <w:p>
            <w:pPr>
              <w:spacing w:after="0"/>
              <w:rPr>
                <w:sz w:val="1"/>
                <w:szCs w:val="1"/>
                <w:color w:val="auto"/>
              </w:rPr>
            </w:pPr>
          </w:p>
        </w:tc>
      </w:tr>
      <w:tr>
        <w:trPr>
          <w:trHeight w:val="203"/>
        </w:trPr>
        <w:tc>
          <w:tcPr>
            <w:tcW w:w="7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Comprehensive Loss attributable to Noncontrolling Interests</w:t>
            </w:r>
          </w:p>
        </w:tc>
        <w:tc>
          <w:tcPr>
            <w:tcW w:w="3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 Subsidiaries</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(2,724)</w:t>
            </w:r>
          </w:p>
        </w:tc>
        <w:tc>
          <w:tcPr>
            <w:tcW w:w="6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(2,778)</w:t>
            </w:r>
          </w:p>
        </w:tc>
        <w:tc>
          <w:tcPr>
            <w:tcW w:w="0" w:type="dxa"/>
            <w:vAlign w:val="bottom"/>
          </w:tcPr>
          <w:p>
            <w:pPr>
              <w:spacing w:after="0"/>
              <w:rPr>
                <w:sz w:val="1"/>
                <w:szCs w:val="1"/>
                <w:color w:val="auto"/>
              </w:rPr>
            </w:pPr>
          </w:p>
        </w:tc>
      </w:tr>
      <w:tr>
        <w:trPr>
          <w:trHeight w:val="200"/>
        </w:trPr>
        <w:tc>
          <w:tcPr>
            <w:tcW w:w="7560" w:type="dxa"/>
            <w:vAlign w:val="bottom"/>
          </w:tcPr>
          <w:p>
            <w:pPr>
              <w:spacing w:after="0"/>
              <w:rPr>
                <w:sz w:val="20"/>
                <w:szCs w:val="20"/>
                <w:color w:val="auto"/>
              </w:rPr>
            </w:pPr>
            <w:r>
              <w:rPr>
                <w:rFonts w:ascii="Arial" w:cs="Arial" w:eastAsia="Arial" w:hAnsi="Arial"/>
                <w:sz w:val="16"/>
                <w:szCs w:val="16"/>
                <w:color w:val="auto"/>
              </w:rPr>
              <w:t>Comprehensive Loss attributable to SEACOR Marine</w:t>
            </w:r>
          </w:p>
        </w:tc>
        <w:tc>
          <w:tcPr>
            <w:tcW w:w="3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120"/>
              <w:spacing w:after="0"/>
              <w:rPr>
                <w:sz w:val="20"/>
                <w:szCs w:val="20"/>
                <w:color w:val="auto"/>
              </w:rPr>
            </w:pPr>
            <w:r>
              <w:rPr>
                <w:rFonts w:ascii="Arial" w:cs="Arial" w:eastAsia="Arial" w:hAnsi="Arial"/>
                <w:sz w:val="16"/>
                <w:szCs w:val="16"/>
                <w:color w:val="auto"/>
              </w:rPr>
              <w:t>Holdings Inc.</w:t>
            </w: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(25,573)</w:t>
            </w: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(26,764)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 and should be read in conjunction herewith.</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 OF CHANGES IN EQUITY</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i w:val="1"/>
                <w:iCs w:val="1"/>
                <w:color w:val="auto"/>
                <w:w w:val="84"/>
              </w:rPr>
              <w:t>Shares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6"/>
                <w:szCs w:val="16"/>
                <w:b w:val="1"/>
                <w:bCs w:val="1"/>
                <w:i w:val="1"/>
                <w:iCs w:val="1"/>
                <w:color w:val="auto"/>
                <w:w w:val="87"/>
              </w:rPr>
              <w:t>Accumulated</w:t>
            </w:r>
          </w:p>
        </w:tc>
        <w:tc>
          <w:tcPr>
            <w:tcW w:w="160" w:type="dxa"/>
            <w:vAlign w:val="bottom"/>
          </w:tcPr>
          <w:p>
            <w:pPr>
              <w:spacing w:after="0"/>
              <w:rPr>
                <w:sz w:val="17"/>
                <w:szCs w:val="17"/>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6"/>
                <w:szCs w:val="16"/>
                <w:b w:val="1"/>
                <w:bCs w:val="1"/>
                <w:i w:val="1"/>
                <w:iCs w:val="1"/>
                <w:color w:val="auto"/>
              </w:rPr>
              <w:t>Non-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i w:val="1"/>
                <w:iCs w:val="1"/>
                <w:color w:val="auto"/>
                <w:w w:val="89"/>
              </w:rPr>
              <w:t>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Additional</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i w:val="1"/>
                <w:iCs w:val="1"/>
                <w:color w:val="auto"/>
                <w:w w:val="86"/>
              </w:rPr>
              <w:t>Shares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6"/>
                <w:szCs w:val="16"/>
                <w:b w:val="1"/>
                <w:bCs w:val="1"/>
                <w:i w:val="1"/>
                <w:iCs w:val="1"/>
                <w:color w:val="auto"/>
                <w:w w:val="93"/>
              </w:rPr>
              <w:t>Other</w:t>
            </w: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Controlling</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i w:val="1"/>
                <w:iCs w:val="1"/>
                <w:color w:val="auto"/>
                <w:w w:val="87"/>
              </w:rPr>
              <w:t>Stock</w:t>
            </w:r>
          </w:p>
        </w:tc>
        <w:tc>
          <w:tcPr>
            <w:tcW w:w="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i w:val="1"/>
                <w:iCs w:val="1"/>
                <w:color w:val="auto"/>
                <w:w w:val="92"/>
              </w:rPr>
              <w:t>Common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b w:val="1"/>
                <w:bCs w:val="1"/>
                <w:i w:val="1"/>
                <w:iCs w:val="1"/>
                <w:color w:val="auto"/>
                <w:w w:val="93"/>
              </w:rPr>
              <w:t>Paid-In</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i w:val="1"/>
                <w:iCs w:val="1"/>
                <w:color w:val="auto"/>
                <w:w w:val="93"/>
              </w:rPr>
              <w:t>Held in</w:t>
            </w:r>
          </w:p>
        </w:tc>
        <w:tc>
          <w:tcPr>
            <w:tcW w:w="8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Treasury</w:t>
            </w:r>
          </w:p>
        </w:tc>
        <w:tc>
          <w:tcPr>
            <w:tcW w:w="10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i w:val="1"/>
                <w:iCs w:val="1"/>
                <w:color w:val="auto"/>
                <w:w w:val="88"/>
              </w:rPr>
              <w:t>Retained</w:t>
            </w:r>
          </w:p>
        </w:tc>
        <w:tc>
          <w:tcPr>
            <w:tcW w:w="12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Interests In</w:t>
            </w:r>
          </w:p>
        </w:tc>
        <w:tc>
          <w:tcPr>
            <w:tcW w:w="1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b w:val="1"/>
                <w:bCs w:val="1"/>
                <w:i w:val="1"/>
                <w:iCs w:val="1"/>
                <w:color w:val="auto"/>
                <w:w w:val="99"/>
              </w:rPr>
              <w:t>Total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6"/>
              </w:rPr>
              <w:t>Outstanding</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b w:val="1"/>
                <w:bCs w:val="1"/>
                <w:i w:val="1"/>
                <w:iCs w:val="1"/>
                <w:color w:val="auto"/>
                <w:w w:val="91"/>
              </w:rPr>
              <w:t>Stock</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i w:val="1"/>
                <w:iCs w:val="1"/>
                <w:color w:val="auto"/>
                <w:w w:val="93"/>
              </w:rPr>
              <w:t>Capital</w:t>
            </w:r>
          </w:p>
        </w:tc>
        <w:tc>
          <w:tcPr>
            <w:tcW w:w="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8"/>
              </w:rPr>
              <w:t>Treasury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b w:val="1"/>
                <w:bCs w:val="1"/>
                <w:i w:val="1"/>
                <w:iCs w:val="1"/>
                <w:color w:val="auto"/>
                <w:w w:val="87"/>
              </w:rPr>
              <w:t>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i w:val="1"/>
                <w:iCs w:val="1"/>
                <w:color w:val="auto"/>
                <w:w w:val="90"/>
              </w:rPr>
              <w:t>Earnings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85"/>
              </w:rPr>
              <w:t>Loss</w:t>
            </w:r>
          </w:p>
        </w:tc>
        <w:tc>
          <w:tcPr>
            <w:tcW w:w="2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Subsidiaries</w:t>
            </w:r>
          </w:p>
        </w:tc>
        <w:tc>
          <w:tcPr>
            <w:tcW w:w="12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b w:val="1"/>
                <w:bCs w:val="1"/>
                <w:i w:val="1"/>
                <w:iCs w:val="1"/>
                <w:color w:val="auto"/>
                <w:w w:val="89"/>
              </w:rPr>
              <w:t>Equity</w:t>
            </w: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 2017</w:t>
            </w: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0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17,675,356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177</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303,996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216,511</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(12,493)</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14,975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523,166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Impact of adoption of new</w:t>
            </w:r>
          </w:p>
        </w:tc>
        <w:tc>
          <w:tcPr>
            <w:tcW w:w="8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accounting standard for</w:t>
            </w: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income tax effects</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(12,069)</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(12,069)</w:t>
            </w: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 2017</w:t>
            </w: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00" w:type="dxa"/>
            <w:vAlign w:val="bottom"/>
            <w:gridSpan w:val="2"/>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17,675,356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303,996</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204,442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(12,493)</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14,975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511,097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Issuance of Common Stock</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138,399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80" w:type="dxa"/>
            <w:vAlign w:val="bottom"/>
          </w:tcPr>
          <w:p>
            <w:pPr>
              <w:ind w:left="240"/>
              <w:spacing w:after="0"/>
              <w:rPr>
                <w:sz w:val="20"/>
                <w:szCs w:val="20"/>
                <w:color w:val="auto"/>
              </w:rPr>
            </w:pPr>
            <w:r>
              <w:rPr>
                <w:rFonts w:ascii="Arial" w:cs="Arial" w:eastAsia="Arial" w:hAnsi="Arial"/>
                <w:sz w:val="16"/>
                <w:szCs w:val="16"/>
                <w:color w:val="auto"/>
              </w:rPr>
              <w:t>Amortization of employee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ind w:left="240"/>
              <w:spacing w:after="0"/>
              <w:rPr>
                <w:sz w:val="20"/>
                <w:szCs w:val="20"/>
                <w:color w:val="auto"/>
              </w:rPr>
            </w:pPr>
            <w:r>
              <w:rPr>
                <w:rFonts w:ascii="Arial" w:cs="Arial" w:eastAsia="Arial" w:hAnsi="Arial"/>
                <w:sz w:val="16"/>
                <w:szCs w:val="16"/>
                <w:color w:val="auto"/>
              </w:rPr>
              <w:t>share awards</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(27,186)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476</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Acquisition of consolidated</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joint venture</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(12,037)</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80" w:type="dxa"/>
            <w:vAlign w:val="bottom"/>
          </w:tcPr>
          <w:p>
            <w:pPr>
              <w:ind w:left="240"/>
              <w:spacing w:after="0"/>
              <w:rPr>
                <w:sz w:val="20"/>
                <w:szCs w:val="20"/>
                <w:color w:val="auto"/>
              </w:rPr>
            </w:pPr>
            <w:r>
              <w:rPr>
                <w:rFonts w:ascii="Arial" w:cs="Arial" w:eastAsia="Arial" w:hAnsi="Arial"/>
                <w:sz w:val="16"/>
                <w:szCs w:val="16"/>
                <w:color w:val="auto"/>
              </w:rPr>
              <w:t>Issuance of noncontrolling</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ind w:left="240"/>
              <w:spacing w:after="0"/>
              <w:rPr>
                <w:sz w:val="20"/>
                <w:szCs w:val="20"/>
                <w:color w:val="auto"/>
              </w:rPr>
            </w:pPr>
            <w:r>
              <w:rPr>
                <w:rFonts w:ascii="Arial" w:cs="Arial" w:eastAsia="Arial" w:hAnsi="Arial"/>
                <w:sz w:val="16"/>
                <w:szCs w:val="16"/>
                <w:color w:val="auto"/>
              </w:rPr>
              <w:t>interests</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375</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31,010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loss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(28,833)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(2,855)</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(31,688)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comprehensive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2018</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17,786,569</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306,639</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175,609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(10,424)</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31,170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503,172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2018</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20,439,208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415,372</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126,834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(16,788)</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29,404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554,935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80" w:type="dxa"/>
            <w:vAlign w:val="bottom"/>
          </w:tcPr>
          <w:p>
            <w:pPr>
              <w:ind w:left="240"/>
              <w:spacing w:after="0"/>
              <w:rPr>
                <w:sz w:val="20"/>
                <w:szCs w:val="20"/>
                <w:color w:val="auto"/>
              </w:rPr>
            </w:pPr>
            <w:r>
              <w:rPr>
                <w:rFonts w:ascii="Arial" w:cs="Arial" w:eastAsia="Arial" w:hAnsi="Arial"/>
                <w:sz w:val="16"/>
                <w:szCs w:val="16"/>
                <w:color w:val="auto"/>
              </w:rPr>
              <w:t>Impact of adoption of new</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ind w:left="240"/>
              <w:spacing w:after="0"/>
              <w:rPr>
                <w:sz w:val="20"/>
                <w:szCs w:val="20"/>
                <w:color w:val="auto"/>
              </w:rPr>
            </w:pPr>
            <w:r>
              <w:rPr>
                <w:rFonts w:ascii="Arial" w:cs="Arial" w:eastAsia="Arial" w:hAnsi="Arial"/>
                <w:sz w:val="16"/>
                <w:szCs w:val="16"/>
                <w:color w:val="auto"/>
              </w:rPr>
              <w:t>accounting standard for</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leases</w:t>
            </w: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10,416</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2018</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20,439,208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415,372</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137,250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(16,788)</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29,404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565,351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240"/>
              <w:spacing w:after="0"/>
              <w:rPr>
                <w:sz w:val="20"/>
                <w:szCs w:val="20"/>
                <w:color w:val="auto"/>
              </w:rPr>
            </w:pPr>
            <w:r>
              <w:rPr>
                <w:rFonts w:ascii="Arial" w:cs="Arial" w:eastAsia="Arial" w:hAnsi="Arial"/>
                <w:sz w:val="16"/>
                <w:szCs w:val="16"/>
                <w:color w:val="auto"/>
              </w:rPr>
              <w:t>Issuance of Common Stock</w:t>
            </w:r>
          </w:p>
        </w:tc>
        <w:tc>
          <w:tcPr>
            <w:tcW w:w="880" w:type="dxa"/>
            <w:vAlign w:val="bottom"/>
          </w:tcPr>
          <w:p>
            <w:pPr>
              <w:jc w:val="right"/>
              <w:spacing w:after="0"/>
              <w:rPr>
                <w:sz w:val="20"/>
                <w:szCs w:val="20"/>
                <w:color w:val="auto"/>
              </w:rPr>
            </w:pPr>
            <w:r>
              <w:rPr>
                <w:rFonts w:ascii="Arial" w:cs="Arial" w:eastAsia="Arial" w:hAnsi="Arial"/>
                <w:sz w:val="16"/>
                <w:szCs w:val="16"/>
                <w:color w:val="auto"/>
              </w:rPr>
              <w:t>653,872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6,589</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employee</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share awards</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240"/>
              <w:spacing w:after="0"/>
              <w:rPr>
                <w:sz w:val="20"/>
                <w:szCs w:val="20"/>
                <w:color w:val="auto"/>
              </w:rPr>
            </w:pPr>
            <w:r>
              <w:rPr>
                <w:rFonts w:ascii="Arial" w:cs="Arial" w:eastAsia="Arial" w:hAnsi="Arial"/>
                <w:sz w:val="16"/>
                <w:szCs w:val="16"/>
                <w:color w:val="auto"/>
              </w:rPr>
              <w:t>Exercise of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8,750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Restricted stock vesting</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(21,551)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80" w:type="dxa"/>
            <w:vAlign w:val="bottom"/>
          </w:tcPr>
          <w:p>
            <w:pPr>
              <w:ind w:left="240"/>
              <w:spacing w:after="0"/>
              <w:rPr>
                <w:sz w:val="20"/>
                <w:szCs w:val="20"/>
                <w:color w:val="auto"/>
              </w:rPr>
            </w:pPr>
            <w:r>
              <w:rPr>
                <w:rFonts w:ascii="Arial" w:cs="Arial" w:eastAsia="Arial" w:hAnsi="Arial"/>
                <w:sz w:val="16"/>
                <w:szCs w:val="16"/>
                <w:color w:val="auto"/>
              </w:rPr>
              <w:t>Cancellation of employee</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ind w:left="240"/>
              <w:spacing w:after="0"/>
              <w:rPr>
                <w:sz w:val="20"/>
                <w:szCs w:val="20"/>
                <w:color w:val="auto"/>
              </w:rPr>
            </w:pPr>
            <w:r>
              <w:rPr>
                <w:rFonts w:ascii="Arial" w:cs="Arial" w:eastAsia="Arial" w:hAnsi="Arial"/>
                <w:sz w:val="16"/>
                <w:szCs w:val="16"/>
                <w:color w:val="auto"/>
              </w:rPr>
              <w:t>share awards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Acquisition of consolidated</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joint venture</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(2,114)</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(25,549)</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(2,724)</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(28,273)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comprehensive loss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2019</w:t>
            </w: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00" w:type="dxa"/>
            <w:vAlign w:val="bottom"/>
            <w:gridSpan w:val="2"/>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21,079,279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211</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422,830</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25,558</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111,701</w:t>
            </w:r>
          </w:p>
        </w:tc>
        <w:tc>
          <w:tcPr>
            <w:tcW w:w="2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(16,812)</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24,566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542,123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 and should be read in conjunction herewith.</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b w:val="1"/>
                <w:bCs w:val="1"/>
                <w:color w:val="auto"/>
                <w:w w:val="93"/>
              </w:rPr>
              <w:t>Three Months Ended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6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42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Borders>
              <w:bottom w:val="single" w:sz="8" w:color="CFF0FC"/>
            </w:tcBorders>
          </w:tcPr>
          <w:p>
            <w:pPr>
              <w:spacing w:after="0"/>
              <w:rPr>
                <w:sz w:val="18"/>
                <w:szCs w:val="18"/>
                <w:color w:val="auto"/>
              </w:rPr>
            </w:pPr>
          </w:p>
        </w:tc>
      </w:tr>
      <w:tr>
        <w:trPr>
          <w:trHeight w:val="212"/>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Net Loss</w:t>
            </w:r>
          </w:p>
        </w:tc>
        <w:tc>
          <w:tcPr>
            <w:tcW w:w="240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(28,273)</w:t>
            </w:r>
          </w:p>
        </w:tc>
        <w:tc>
          <w:tcPr>
            <w:tcW w:w="7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(31,688)</w:t>
            </w: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17,193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19,512</w:t>
            </w:r>
          </w:p>
        </w:tc>
        <w:tc>
          <w:tcPr>
            <w:tcW w:w="120" w:type="dxa"/>
            <w:vAlign w:val="bottom"/>
          </w:tcPr>
          <w:p>
            <w:pPr>
              <w:spacing w:after="0"/>
              <w:rPr>
                <w:sz w:val="18"/>
                <w:szCs w:val="18"/>
                <w:color w:val="auto"/>
              </w:rPr>
            </w:pP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financing costs amortization</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FF0FC"/>
          </w:tcPr>
          <w:p>
            <w:pPr>
              <w:spacing w:after="0"/>
              <w:rPr>
                <w:sz w:val="19"/>
                <w:szCs w:val="19"/>
                <w:color w:val="auto"/>
              </w:rPr>
            </w:pP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Option amortization</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amortization</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120" w:type="dxa"/>
            <w:vAlign w:val="bottom"/>
            <w:shd w:val="clear" w:color="auto" w:fill="CFF0FC"/>
          </w:tcPr>
          <w:p>
            <w:pPr>
              <w:spacing w:after="0"/>
              <w:rPr>
                <w:sz w:val="19"/>
                <w:szCs w:val="19"/>
                <w:color w:val="auto"/>
              </w:rPr>
            </w:pP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Restricted stock vesting</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discount amortization</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w:t>
            </w:r>
          </w:p>
        </w:tc>
        <w:tc>
          <w:tcPr>
            <w:tcW w:w="120" w:type="dxa"/>
            <w:vAlign w:val="bottom"/>
            <w:shd w:val="clear" w:color="auto" w:fill="CFF0FC"/>
          </w:tcPr>
          <w:p>
            <w:pPr>
              <w:spacing w:after="0"/>
              <w:rPr>
                <w:sz w:val="19"/>
                <w:szCs w:val="19"/>
                <w:color w:val="auto"/>
              </w:rPr>
            </w:pP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Amortization of deferred gains against charter expense</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(2,009)</w:t>
            </w: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Bad debt expense</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w:t>
            </w: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(Gain) loss from equipment sales, retirements or impairments</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2,643</w:t>
            </w:r>
          </w:p>
        </w:tc>
        <w:tc>
          <w:tcPr>
            <w:tcW w:w="120" w:type="dxa"/>
            <w:vAlign w:val="bottom"/>
          </w:tcPr>
          <w:p>
            <w:pPr>
              <w:spacing w:after="0"/>
              <w:rPr>
                <w:sz w:val="18"/>
                <w:szCs w:val="18"/>
                <w:color w:val="auto"/>
              </w:rPr>
            </w:pP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losses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11,516</w:t>
            </w:r>
          </w:p>
        </w:tc>
        <w:tc>
          <w:tcPr>
            <w:tcW w:w="120" w:type="dxa"/>
            <w:vAlign w:val="bottom"/>
            <w:shd w:val="clear" w:color="auto" w:fill="CFF0FC"/>
          </w:tcPr>
          <w:p>
            <w:pPr>
              <w:spacing w:after="0"/>
              <w:rPr>
                <w:sz w:val="19"/>
                <w:szCs w:val="19"/>
                <w:color w:val="auto"/>
              </w:rPr>
            </w:pP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Cash settlement on derivative transactions, net</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(129)</w:t>
            </w: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Currency gains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(139)</w:t>
            </w: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Deferred income taxes</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(5,160)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(11,286)</w:t>
            </w: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 (earnings) losses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(208)</w:t>
            </w: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Dividends received from equity investees</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Accounts receivables</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(1,686)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(3,342)</w:t>
            </w: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(2,690)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(346)</w:t>
            </w:r>
          </w:p>
        </w:tc>
      </w:tr>
      <w:tr>
        <w:trPr>
          <w:trHeight w:val="213"/>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14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w:t>
            </w:r>
          </w:p>
        </w:tc>
        <w:tc>
          <w:tcPr>
            <w:tcW w:w="120" w:type="dxa"/>
            <w:vAlign w:val="bottom"/>
            <w:tcBorders>
              <w:bottom w:val="single" w:sz="8" w:color="CFF0FC"/>
            </w:tcBorders>
          </w:tcPr>
          <w:p>
            <w:pPr>
              <w:spacing w:after="0"/>
              <w:rPr>
                <w:sz w:val="18"/>
                <w:szCs w:val="18"/>
                <w:color w:val="auto"/>
              </w:rPr>
            </w:pPr>
          </w:p>
        </w:tc>
      </w:tr>
      <w:tr>
        <w:trPr>
          <w:trHeight w:val="213"/>
        </w:trPr>
        <w:tc>
          <w:tcPr>
            <w:tcW w:w="6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used in operating activities</w:t>
            </w:r>
          </w:p>
        </w:tc>
        <w:tc>
          <w:tcPr>
            <w:tcW w:w="1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(1,967)</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(11,509)</w:t>
            </w:r>
          </w:p>
        </w:tc>
      </w:tr>
      <w:tr>
        <w:trPr>
          <w:trHeight w:val="207"/>
        </w:trPr>
        <w:tc>
          <w:tcPr>
            <w:tcW w:w="64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4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(21,183)</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(8,557)</w:t>
            </w: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Proceeds from disposition of property and equipment</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construction reserve fund</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Investments in and advances to 50% or less owned companies</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(1,951)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(19,950)</w:t>
            </w: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Return of investments and advances from 50% or less owned companies</w:t>
            </w:r>
          </w:p>
        </w:tc>
        <w:tc>
          <w:tcPr>
            <w:tcW w:w="14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FF0FC"/>
          </w:tcPr>
          <w:p>
            <w:pPr>
              <w:spacing w:after="0"/>
              <w:rPr>
                <w:sz w:val="19"/>
                <w:szCs w:val="19"/>
                <w:color w:val="auto"/>
              </w:rPr>
            </w:pPr>
          </w:p>
        </w:tc>
      </w:tr>
      <w:tr>
        <w:trPr>
          <w:trHeight w:val="207"/>
        </w:trPr>
        <w:tc>
          <w:tcPr>
            <w:tcW w:w="64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(22,630)</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(28,126)</w:t>
            </w:r>
          </w:p>
        </w:tc>
      </w:tr>
      <w:tr>
        <w:trPr>
          <w:trHeight w:val="213"/>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4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Payments on long-term debt</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(4,361)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(28,807)</w:t>
            </w: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long-term debt, net of issue costs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18,471</w:t>
            </w:r>
          </w:p>
        </w:tc>
        <w:tc>
          <w:tcPr>
            <w:tcW w:w="120" w:type="dxa"/>
            <w:vAlign w:val="bottom"/>
            <w:shd w:val="clear" w:color="auto" w:fill="CFF0FC"/>
          </w:tcPr>
          <w:p>
            <w:pPr>
              <w:spacing w:after="0"/>
              <w:rPr>
                <w:sz w:val="19"/>
                <w:szCs w:val="19"/>
                <w:color w:val="auto"/>
              </w:rPr>
            </w:pPr>
          </w:p>
        </w:tc>
      </w:tr>
      <w:tr>
        <w:trPr>
          <w:trHeight w:val="213"/>
        </w:trPr>
        <w:tc>
          <w:tcPr>
            <w:tcW w:w="6420" w:type="dxa"/>
            <w:vAlign w:val="bottom"/>
          </w:tcPr>
          <w:p>
            <w:pPr>
              <w:ind w:left="260"/>
              <w:spacing w:after="0"/>
              <w:rPr>
                <w:sz w:val="20"/>
                <w:szCs w:val="20"/>
                <w:color w:val="auto"/>
              </w:rPr>
            </w:pPr>
            <w:r>
              <w:rPr>
                <w:rFonts w:ascii="Arial" w:cs="Arial" w:eastAsia="Arial" w:hAnsi="Arial"/>
                <w:sz w:val="16"/>
                <w:szCs w:val="16"/>
                <w:color w:val="auto"/>
              </w:rPr>
              <w:t>Purchase of subsidiary shares from noncontrolling interests</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(3,392)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exercise of stock options and Warrants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Issuance of stock</w:t>
            </w:r>
          </w:p>
        </w:tc>
        <w:tc>
          <w:tcPr>
            <w:tcW w:w="14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w:t>
            </w:r>
          </w:p>
        </w:tc>
        <w:tc>
          <w:tcPr>
            <w:tcW w:w="120" w:type="dxa"/>
            <w:vAlign w:val="bottom"/>
            <w:tcBorders>
              <w:bottom w:val="single" w:sz="8" w:color="CFF0FC"/>
            </w:tcBorders>
          </w:tcPr>
          <w:p>
            <w:pPr>
              <w:spacing w:after="0"/>
              <w:rPr>
                <w:sz w:val="18"/>
                <w:szCs w:val="18"/>
                <w:color w:val="auto"/>
              </w:rPr>
            </w:pPr>
          </w:p>
        </w:tc>
      </w:tr>
      <w:tr>
        <w:trPr>
          <w:trHeight w:val="213"/>
        </w:trPr>
        <w:tc>
          <w:tcPr>
            <w:tcW w:w="6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used in financing activities</w:t>
            </w:r>
          </w:p>
        </w:tc>
        <w:tc>
          <w:tcPr>
            <w:tcW w:w="1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(7,645)</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(8,543)</w:t>
            </w:r>
          </w:p>
        </w:tc>
      </w:tr>
      <w:tr>
        <w:trPr>
          <w:trHeight w:val="207"/>
        </w:trPr>
        <w:tc>
          <w:tcPr>
            <w:tcW w:w="6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440" w:type="dxa"/>
            <w:vAlign w:val="bottom"/>
            <w:tcBorders>
              <w:bottom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FF0FC"/>
            </w:tcBorders>
          </w:tcPr>
          <w:p>
            <w:pPr>
              <w:spacing w:after="0"/>
              <w:rPr>
                <w:sz w:val="17"/>
                <w:szCs w:val="17"/>
                <w:color w:val="auto"/>
              </w:rPr>
            </w:pPr>
          </w:p>
        </w:tc>
      </w:tr>
      <w:tr>
        <w:trPr>
          <w:trHeight w:val="213"/>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1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(30,757)</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(47,496)</w:t>
            </w:r>
          </w:p>
        </w:tc>
      </w:tr>
      <w:tr>
        <w:trPr>
          <w:trHeight w:val="213"/>
        </w:trPr>
        <w:tc>
          <w:tcPr>
            <w:tcW w:w="6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Restricted Cash and Cash Equivalents, Beginning of Period</w:t>
            </w:r>
          </w:p>
        </w:tc>
        <w:tc>
          <w:tcPr>
            <w:tcW w:w="14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96,852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112,551</w:t>
            </w:r>
          </w:p>
        </w:tc>
        <w:tc>
          <w:tcPr>
            <w:tcW w:w="120" w:type="dxa"/>
            <w:vAlign w:val="bottom"/>
            <w:tcBorders>
              <w:bottom w:val="single" w:sz="8" w:color="CFF0FC"/>
            </w:tcBorders>
          </w:tcPr>
          <w:p>
            <w:pPr>
              <w:spacing w:after="0"/>
              <w:rPr>
                <w:sz w:val="18"/>
                <w:szCs w:val="18"/>
                <w:color w:val="auto"/>
              </w:rPr>
            </w:pPr>
          </w:p>
        </w:tc>
      </w:tr>
      <w:tr>
        <w:trPr>
          <w:trHeight w:val="210"/>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Cash, Restricted Cash and Cash Equivalents, End of Period</w:t>
            </w:r>
          </w:p>
        </w:tc>
        <w:tc>
          <w:tcPr>
            <w:tcW w:w="2400" w:type="dxa"/>
            <w:vAlign w:val="bottom"/>
            <w:gridSpan w:val="2"/>
            <w:shd w:val="clear" w:color="auto" w:fill="CFF0FC"/>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66,095</w:t>
            </w: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65,055</w:t>
            </w:r>
          </w:p>
        </w:tc>
        <w:tc>
          <w:tcPr>
            <w:tcW w:w="120" w:type="dxa"/>
            <w:vAlign w:val="bottom"/>
            <w:shd w:val="clear" w:color="auto" w:fill="CFF0FC"/>
          </w:tcPr>
          <w:p>
            <w:pPr>
              <w:spacing w:after="0"/>
              <w:rPr>
                <w:sz w:val="18"/>
                <w:szCs w:val="18"/>
                <w:color w:val="auto"/>
              </w:rPr>
            </w:pPr>
          </w:p>
        </w:tc>
      </w:tr>
      <w:tr>
        <w:trPr>
          <w:trHeight w:val="20"/>
        </w:trPr>
        <w:tc>
          <w:tcPr>
            <w:tcW w:w="642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 and should be read in conjunction herewith.</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SEACOR MARINE HOLDINGS INC. NOTES TO CONDENSED CONSOLIDATED FINANCIAL STATEMENTS (unaudited)</w:t>
      </w:r>
    </w:p>
    <w:p>
      <w:pPr>
        <w:spacing w:after="0" w:line="390" w:lineRule="exact"/>
        <w:rPr>
          <w:sz w:val="20"/>
          <w:szCs w:val="20"/>
          <w:color w:val="auto"/>
        </w:rPr>
      </w:pPr>
    </w:p>
    <w:p>
      <w:pPr>
        <w:ind w:left="760" w:hanging="752"/>
        <w:spacing w:after="0"/>
        <w:tabs>
          <w:tab w:leader="none" w:pos="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PRESENTATION AND ACCOUNTING POLICIES</w:t>
      </w:r>
    </w:p>
    <w:p>
      <w:pPr>
        <w:spacing w:after="0" w:line="172"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61"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color w:val="auto"/>
        </w:rPr>
        <w:t>Certain information and footnote disclosures normally included in financial statements prepared in accordance with generally accepted accounting principles in the United States have been condensed or omitted. These condensed consolidated financial statements should be read in conjunction with the Company’s financial statements and related notes thereto included in the Company's Annual Report on Form 10-K for the year ended December 31, 2018.</w:t>
      </w:r>
    </w:p>
    <w:p>
      <w:pPr>
        <w:spacing w:after="0" w:line="134"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21"/>
          <w:szCs w:val="21"/>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u w:val="single" w:color="auto"/>
          <w:color w:val="auto"/>
        </w:rPr>
        <w:t>Recently Adopted Accounting Standards.</w:t>
      </w:r>
    </w:p>
    <w:p>
      <w:pPr>
        <w:spacing w:after="0" w:line="179"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9"/>
          <w:szCs w:val="19"/>
          <w:color w:val="auto"/>
        </w:rPr>
        <w:t>On February 25, 2016, the Financial Accounting Standards Board (“FASB”) issued a comprehensive new leasing standard, ASC 842, meant to improve transparency and comparability among companies by requiring lessees to recognize a lease liability and a corresponding lease asset for virtually all lease contracts. It also requires additional disclosures about leasing arrangements. The Company adopted the new standard on January 1, 2019 and applied the transition provisions of the new standard with recognition of a cumulative-effect adjustment to the opening balance of retained earnings and therefore the Company was not required to recast previously issued financial statements. The Company elected the available practical expedients permitted under the guidance including the ability to carry forward the existing lease classification, the option to not separate lease and non-lease components in calculating the right-of-use assets and corresponding lease liabilities and to not apply the recognition requirements of Topic 842 to short-term leases (leases that have a duration of twelve months or less at lease inception). For some leases, it was not possible for the Company to determine the interest rate implicit in each of its operating leases and therefore used the Company’s incremental borrowing rate in calculating operating lease right-of-use assets and lease liabilities. The Company included renewal options that were reasonably certain of being exercised in determining the lease term. Upon adoption, the Company recorded $33.7 million of right-of-use assets, $31.9 million in lease liabilities, and a cumulative-effect adjustment to the opening balance of retained earnings of $1.7 million for certain of the Company’s equipment, office and land leases. In addition, unamortized deferred gains for four vessels previously accounted for under sale-leaseback arrangements of $8.7 million, ($11.0 million deferred gains net of $2.3 million deferred taxes), were fully recognized as an adjustment to the opening balance of retained earnings.</w:t>
      </w:r>
    </w:p>
    <w:p>
      <w:pPr>
        <w:spacing w:after="0" w:line="200" w:lineRule="exact"/>
        <w:rPr>
          <w:sz w:val="20"/>
          <w:szCs w:val="20"/>
          <w:color w:val="auto"/>
        </w:rPr>
      </w:pPr>
    </w:p>
    <w:p>
      <w:pPr>
        <w:spacing w:after="0" w:line="243"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9"/>
          <w:szCs w:val="19"/>
          <w:color w:val="auto"/>
        </w:rPr>
        <w:t>In February 2018, the FASB issued ASU 2018-02, “Income Statement—Reporting Comprehensive Income (Topic 220): Reclassification of Certain Tax Effects from Accumulated Other Comprehensive Income” (“ASU 2018-02”). The amendments in ASU 2018-02 permit a reclassification from Accumulated Other Comprehensive Income (“AOCI”) to retained earnings for stranded tax effects resulting from the Tax Cuts &amp; Jobs Act (“TCJA”). Consequently, the amendments eliminate the stranded tax effects resulting from the Tax Act and will improve the usefulness of information reported to financial statement users. ASU 2018-02 is effective for the Company for annual and interim reporting periods beginning after December 15, 2018. For the period ending March 31, 2019, an election has not been made to reclassify the income tax effects of the TCJA from AOCI to retained earnings.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In June 2018, the FASB issued ASU 2018-07, a new accounting standard which addresses aspects of the accounting for nonemployee share-based payment transactions. The standard is effective for interim and annual periods beginning after December 15, 2018. The adoption of the new standard by the Company did not have a material impact on its consolidated financial position or its results of operations and cash flows.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u w:val="single" w:color="auto"/>
          <w:color w:val="auto"/>
        </w:rPr>
        <w:t>Critical Accounting Policies.</w:t>
      </w:r>
    </w:p>
    <w:p>
      <w:pPr>
        <w:spacing w:after="0" w:line="179"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b w:val="1"/>
          <w:bCs w:val="1"/>
          <w:i w:val="1"/>
          <w:iCs w:val="1"/>
          <w:color w:val="auto"/>
        </w:rPr>
        <w:t xml:space="preserve">Revenue Recognition. </w:t>
      </w:r>
      <w:r>
        <w:rPr>
          <w:rFonts w:ascii="Arial" w:cs="Arial" w:eastAsia="Arial" w:hAnsi="Arial"/>
          <w:sz w:val="21"/>
          <w:szCs w:val="21"/>
          <w:color w:val="auto"/>
        </w:rPr>
        <w:t>Revenue is recognized when (or as) the Company transfers promised goods or services to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customers 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Costs to obtain or fulfill a contract are expensed as incurred.</w:t>
      </w:r>
    </w:p>
    <w:p>
      <w:pPr>
        <w:spacing w:after="0" w:line="134"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9"/>
          <w:szCs w:val="19"/>
          <w:b w:val="1"/>
          <w:bCs w:val="1"/>
          <w:i w:val="1"/>
          <w:iCs w:val="1"/>
          <w:color w:val="auto"/>
        </w:rPr>
        <w:t xml:space="preserve">Lease Revenues. </w:t>
      </w:r>
      <w:r>
        <w:rPr>
          <w:rFonts w:ascii="Arial" w:cs="Arial" w:eastAsia="Arial" w:hAnsi="Arial"/>
          <w:sz w:val="19"/>
          <w:szCs w:val="19"/>
          <w:color w:val="auto"/>
        </w:rPr>
        <w:t>The Company’s lease revenues are primarily from time charters and bareboat charters that are recognized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ratably over the lease term as services are provided, typically on a per day basis. The charterer will take the vessel on hire for a specific period of time, use the vessel to move cargo, people or equipment and will pay the Company the agreed upon rate per day. Under a time charter the Company provides a vessel to a customer for a set term and the Company is responsible for all operating expenses, typically excluding fuel. Under a bareboat charter, the Company provides a vessel to a customer for a set term and the customer assumes responsibility for all operating expenses, including fuel, and the risk of operation (see Note 14).</w:t>
      </w:r>
    </w:p>
    <w:p>
      <w:pPr>
        <w:spacing w:after="0" w:line="110"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9"/>
          <w:szCs w:val="19"/>
          <w:b w:val="1"/>
          <w:bCs w:val="1"/>
          <w:i w:val="1"/>
          <w:iCs w:val="1"/>
          <w:color w:val="auto"/>
        </w:rPr>
        <w:t xml:space="preserve">Revenues from Customers of Management Servicers. </w:t>
      </w:r>
      <w:r>
        <w:rPr>
          <w:rFonts w:ascii="Arial" w:cs="Arial" w:eastAsia="Arial" w:hAnsi="Arial"/>
          <w:sz w:val="19"/>
          <w:szCs w:val="19"/>
          <w:color w:val="auto"/>
        </w:rPr>
        <w:t>The Company contracts with various customers to carry 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management services for vessels as agents for and on behalf of ship owners. These services include crew management, technical management, commercial management, insurance arrangements, sale and purchase of vessel, provisions and bunkering. As manager, the Company undertakes to use its best endeavors to provide the agreed management services as agents for, and on behalf of the ship owners in accordance with sound ship management practice and to protect and promote the interest of the owners in all matters relating to the provision of the agreed upon management services. The Company also contracts with various customers to carry out management services regarding engineering for vessel construction and vessel conversions. The vast majority of the ship management agreements have a duration of one to three years and are typically billed on a monthly basis. The Company satisfies its performance obligation over the term of the contract, and therefore recognizes revenue over the term of the contract while related costs are expensed as incurred (see Note 14).</w:t>
      </w:r>
    </w:p>
    <w:p>
      <w:pPr>
        <w:spacing w:after="0" w:line="135"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Revenue that does not meet the aforementioned criteria is deferred until the criteria is met and are considered contract liabilities. Contract liabilities which are included in other current liabilities in the accompanying condensed consolidated balance sheets, for the three months ended March 31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Borders>
              <w:bottom w:val="single" w:sz="8" w:color="CFF0FC"/>
            </w:tcBorders>
          </w:tcPr>
          <w:p>
            <w:pPr>
              <w:spacing w:after="0"/>
              <w:rPr>
                <w:sz w:val="18"/>
                <w:szCs w:val="18"/>
                <w:color w:val="auto"/>
              </w:rPr>
            </w:pPr>
          </w:p>
        </w:tc>
        <w:tc>
          <w:tcPr>
            <w:tcW w:w="25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3"/>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3560" w:type="dxa"/>
            <w:vAlign w:val="bottom"/>
            <w:gridSpan w:val="2"/>
            <w:shd w:val="clear" w:color="auto" w:fill="CFF0FC"/>
          </w:tcPr>
          <w:p>
            <w:pPr>
              <w:jc w:val="right"/>
              <w:ind w:right="882"/>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10,104</w:t>
            </w:r>
          </w:p>
        </w:tc>
        <w:tc>
          <w:tcPr>
            <w:tcW w:w="120" w:type="dxa"/>
            <w:vAlign w:val="bottom"/>
            <w:shd w:val="clear" w:color="auto" w:fill="CFF0FC"/>
          </w:tcPr>
          <w:p>
            <w:pPr>
              <w:spacing w:after="0"/>
              <w:rPr>
                <w:sz w:val="18"/>
                <w:szCs w:val="18"/>
                <w:color w:val="auto"/>
              </w:rPr>
            </w:pPr>
          </w:p>
        </w:tc>
      </w:tr>
      <w:tr>
        <w:trPr>
          <w:trHeight w:val="213"/>
        </w:trPr>
        <w:tc>
          <w:tcPr>
            <w:tcW w:w="5340" w:type="dxa"/>
            <w:vAlign w:val="bottom"/>
          </w:tcPr>
          <w:p>
            <w:pPr>
              <w:ind w:left="260"/>
              <w:spacing w:after="0"/>
              <w:rPr>
                <w:sz w:val="20"/>
                <w:szCs w:val="20"/>
                <w:color w:val="auto"/>
              </w:rPr>
            </w:pPr>
            <w:r>
              <w:rPr>
                <w:rFonts w:ascii="Arial" w:cs="Arial" w:eastAsia="Arial" w:hAnsi="Arial"/>
                <w:sz w:val="16"/>
                <w:szCs w:val="16"/>
                <w:color w:val="auto"/>
              </w:rPr>
              <w:t>Revenues deferred during the period</w:t>
            </w:r>
          </w:p>
        </w:tc>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3,409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r>
      <w:tr>
        <w:trPr>
          <w:trHeight w:val="219"/>
        </w:trPr>
        <w:tc>
          <w:tcPr>
            <w:tcW w:w="5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Revenues recognized during the period</w:t>
            </w:r>
          </w:p>
        </w:tc>
        <w:tc>
          <w:tcPr>
            <w:tcW w:w="2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(1,135)</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(1,550)</w:t>
            </w:r>
          </w:p>
        </w:tc>
      </w:tr>
      <w:tr>
        <w:trPr>
          <w:trHeight w:val="207"/>
        </w:trPr>
        <w:tc>
          <w:tcPr>
            <w:tcW w:w="534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25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3,601</w:t>
            </w:r>
          </w:p>
        </w:tc>
        <w:tc>
          <w:tcPr>
            <w:tcW w:w="2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9,429</w:t>
            </w:r>
          </w:p>
        </w:tc>
        <w:tc>
          <w:tcPr>
            <w:tcW w:w="12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70"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9"/>
          <w:szCs w:val="19"/>
          <w:color w:val="auto"/>
        </w:rPr>
        <w:t>As of March 31, 2019, contract liabilities include $2.0 million related to the time charter of an offshore support vessel to a customer for which collection was not reasonably assured. The Company will recognize revenues when collected or when collection is reasonably assured. All costs and expenses related to this charter were recognized as incurred.</w:t>
      </w:r>
    </w:p>
    <w:p>
      <w:pPr>
        <w:spacing w:after="0" w:line="94"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As of March 31, 2019, the Company has deferred $1.4 million received as reimbursement for upgrades of a vessel and deferred reservation fees. The amount will be recognized in revenues over time, commencing with the start of the new time charter agreement for the vessel.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The remaining balance of $0.2 million as of March 31, 2019 is comprised of contract liabilities to two customers for which collection is not reasonably assured.</w:t>
      </w:r>
    </w:p>
    <w:p>
      <w:pPr>
        <w:spacing w:after="0" w:line="146"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9"/>
          <w:szCs w:val="19"/>
          <w:b w:val="1"/>
          <w:bCs w:val="1"/>
          <w:i w:val="1"/>
          <w:iCs w:val="1"/>
          <w:color w:val="auto"/>
        </w:rPr>
        <w:t xml:space="preserve">Property and Equipment. </w:t>
      </w:r>
      <w:r>
        <w:rPr>
          <w:rFonts w:ascii="Arial" w:cs="Arial" w:eastAsia="Arial" w:hAnsi="Arial"/>
          <w:sz w:val="19"/>
          <w:szCs w:val="19"/>
          <w:color w:val="auto"/>
        </w:rPr>
        <w:t>Equipment, stated at cost, is depreciated using the straight-line method over the estimated useful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w:t>
      </w:r>
    </w:p>
    <w:p>
      <w:pPr>
        <w:spacing w:after="0" w:line="110"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As of March 31, 2019, the estimated useful life (in years) of each of the Company’s major categories of new equipment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20"/>
                <w:szCs w:val="20"/>
                <w:color w:val="auto"/>
              </w:rPr>
              <w:t>Offshore Support Vessels:</w:t>
            </w:r>
          </w:p>
        </w:tc>
        <w:tc>
          <w:tcPr>
            <w:tcW w:w="3060" w:type="dxa"/>
            <w:vAlign w:val="bottom"/>
          </w:tcPr>
          <w:p>
            <w:pPr>
              <w:spacing w:after="0"/>
              <w:rPr>
                <w:sz w:val="19"/>
                <w:szCs w:val="19"/>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20"/>
                <w:szCs w:val="20"/>
                <w:color w:val="auto"/>
              </w:rPr>
              <w:t>Crew transfer vessels</w:t>
            </w:r>
          </w:p>
        </w:tc>
        <w:tc>
          <w:tcPr>
            <w:tcW w:w="30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50"/>
        </w:trPr>
        <w:tc>
          <w:tcPr>
            <w:tcW w:w="8360" w:type="dxa"/>
            <w:vAlign w:val="bottom"/>
          </w:tcPr>
          <w:p>
            <w:pPr>
              <w:ind w:left="180"/>
              <w:spacing w:after="0"/>
              <w:rPr>
                <w:sz w:val="20"/>
                <w:szCs w:val="20"/>
                <w:color w:val="auto"/>
              </w:rPr>
            </w:pPr>
            <w:r>
              <w:rPr>
                <w:rFonts w:ascii="Arial" w:cs="Arial" w:eastAsia="Arial" w:hAnsi="Arial"/>
                <w:sz w:val="20"/>
                <w:szCs w:val="20"/>
                <w:color w:val="auto"/>
              </w:rPr>
              <w:t>All other offshore support vessels (excluding crew transfer vessels)</w:t>
            </w:r>
          </w:p>
        </w:tc>
        <w:tc>
          <w:tcPr>
            <w:tcW w:w="3060" w:type="dxa"/>
            <w:vAlign w:val="bottom"/>
          </w:tcPr>
          <w:p>
            <w:pPr>
              <w:jc w:val="right"/>
              <w:spacing w:after="0"/>
              <w:rPr>
                <w:sz w:val="20"/>
                <w:szCs w:val="20"/>
                <w:color w:val="auto"/>
              </w:rPr>
            </w:pPr>
            <w:r>
              <w:rPr>
                <w:rFonts w:ascii="Arial" w:cs="Arial" w:eastAsia="Arial" w:hAnsi="Arial"/>
                <w:sz w:val="20"/>
                <w:szCs w:val="20"/>
                <w:color w:val="auto"/>
              </w:rPr>
              <w:t>20</w:t>
            </w:r>
          </w:p>
        </w:tc>
      </w:tr>
    </w:tbl>
    <w:p>
      <w:pPr>
        <w:spacing w:after="0" w:line="191"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99"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Certain interest costs incurred during the construction of equipment are capitalized as part of the assets’ carrying values and are amortized over such assets’ estimated useful lives. During the three months ended March 31, 2019, capitalized interest totaled $0.4 million.</w:t>
      </w:r>
    </w:p>
    <w:p>
      <w:pPr>
        <w:spacing w:after="0" w:line="146"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9"/>
          <w:szCs w:val="19"/>
          <w:b w:val="1"/>
          <w:bCs w:val="1"/>
          <w:i w:val="1"/>
          <w:iCs w:val="1"/>
          <w:color w:val="auto"/>
        </w:rPr>
        <w:t xml:space="preserve">Impairment of Long-Lived Assets. </w:t>
      </w:r>
      <w:r>
        <w:rPr>
          <w:rFonts w:ascii="Arial" w:cs="Arial" w:eastAsia="Arial" w:hAnsi="Arial"/>
          <w:sz w:val="19"/>
          <w:szCs w:val="19"/>
          <w:color w:val="auto"/>
        </w:rPr>
        <w:t>The Company performs an impairment analysis of long-lived assets used in operations,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 estimated undiscounted cash flows, the estimated fair value of the assets or asset groups are compared to their current carrying values and impairment charges are recorded if the carrying value exceeds fair value. The Company performs its testing on an asset or asset group basis. Generally, fair value is determined using valuation techniques, such as expected undiscounted cash flows or appraisals, as appropriate. During the three months ended March 31, 2019, the Company did not recognize any impairment charges related to its long-lived assets. During the three months ended March 31, 2018, the Company recognized $2.9 million of impairment charges related to four anchor-handling vessels removed from service and adjusted to scrap value.</w:t>
      </w:r>
    </w:p>
    <w:p>
      <w:pPr>
        <w:spacing w:after="0" w:line="129"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19"/>
          <w:szCs w:val="19"/>
          <w:b w:val="1"/>
          <w:bCs w:val="1"/>
          <w:i w:val="1"/>
          <w:iCs w:val="1"/>
          <w:color w:val="auto"/>
        </w:rPr>
        <w:t xml:space="preserve">Impairment of </w:t>
      </w:r>
      <w:r>
        <w:rPr>
          <w:rFonts w:ascii="Arial" w:cs="Arial" w:eastAsia="Arial" w:hAnsi="Arial"/>
          <w:sz w:val="19"/>
          <w:szCs w:val="19"/>
          <w:b w:val="1"/>
          <w:bCs w:val="1"/>
          <w:color w:val="auto"/>
        </w:rPr>
        <w:t>50%</w:t>
      </w:r>
      <w:r>
        <w:rPr>
          <w:rFonts w:ascii="Arial" w:cs="Arial" w:eastAsia="Arial" w:hAnsi="Arial"/>
          <w:sz w:val="19"/>
          <w:szCs w:val="19"/>
          <w:b w:val="1"/>
          <w:bCs w:val="1"/>
          <w:i w:val="1"/>
          <w:iCs w:val="1"/>
          <w:color w:val="auto"/>
        </w:rPr>
        <w:t xml:space="preserve"> or Less Owned Companies. </w:t>
      </w:r>
      <w:r>
        <w:rPr>
          <w:rFonts w:ascii="Arial" w:cs="Arial" w:eastAsia="Arial" w:hAnsi="Arial"/>
          <w:sz w:val="19"/>
          <w:szCs w:val="19"/>
          <w:color w:val="auto"/>
        </w:rPr>
        <w:t>Investments in 50% or less owned companies are reviewed periodically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three months ended March 31, 2019, the Company did not recognize any impairment charges related to its 50% or less owned companies. During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three months ended March 31, 2018, the Company recognized impairment charges of $1.2 million related to one of its 50% or less owned companies which the Company believed was unable to meet all of its liabilities.</w:t>
      </w:r>
    </w:p>
    <w:p>
      <w:pPr>
        <w:spacing w:after="0" w:line="146"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During the three months ended March 31, 2019, the Company's effective income tax rate of 13.4%</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was primarily due to taxes provided on income attributable to noncontrolling interests, foreign sourced income not subject to U.S. income taxes, and foreign taxes not creditable against U.S. income taxes. During the three months ended March 31, 2018, the Company’s effective income tax rate of 23.5% was primarily due to taxes not provided on income attributable to noncontrolling interests, foreign sourced income not subject to U.S. income taxes, and a reversal of an unrecognized tax benefit.</w:t>
      </w:r>
    </w:p>
    <w:p>
      <w:pPr>
        <w:spacing w:after="0" w:line="107"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9"/>
          <w:szCs w:val="19"/>
          <w:b w:val="1"/>
          <w:bCs w:val="1"/>
          <w:i w:val="1"/>
          <w:iCs w:val="1"/>
          <w:color w:val="auto"/>
        </w:rPr>
        <w:t xml:space="preserve">Deferred Gains. </w:t>
      </w:r>
      <w:r>
        <w:rPr>
          <w:rFonts w:ascii="Arial" w:cs="Arial" w:eastAsia="Arial" w:hAnsi="Arial"/>
          <w:sz w:val="19"/>
          <w:szCs w:val="19"/>
          <w:color w:val="auto"/>
        </w:rPr>
        <w:t>The Company has sold certain equipment to its 50% or less owned companies, entered into vessel sale-leaseback transactions with finance companies and provided seller financing on sales of its equipment to third parties and its 50% or less owned companies. In 2018, a portion of the gains realized from these transactions were deferred and recorded in deferred gains and other liabilities in the accompanying condensed consolidated balance sheets and were amortized in operating expenses as a reduction to rental expense. The new lease accounting pronouncement which was adopted on January 1, 2019 required the recognition of unamortized gains as a cumulative-effect adjustment to the opening balance of retained earnings.</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Deferred gain activity related to these transactions for the three months ended March 31 was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1860" w:type="dxa"/>
            <w:vAlign w:val="bottom"/>
            <w:gridSpan w:val="2"/>
            <w:shd w:val="clear" w:color="auto" w:fill="CFF0FC"/>
          </w:tcPr>
          <w:p>
            <w:pPr>
              <w:jc w:val="right"/>
              <w:ind w:right="842"/>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11,819</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spacing w:after="0"/>
              <w:rPr>
                <w:sz w:val="20"/>
                <w:szCs w:val="20"/>
                <w:color w:val="auto"/>
              </w:rPr>
            </w:pPr>
            <w:r>
              <w:rPr>
                <w:rFonts w:ascii="Arial" w:cs="Arial" w:eastAsia="Arial" w:hAnsi="Arial"/>
                <w:sz w:val="16"/>
                <w:szCs w:val="16"/>
                <w:color w:val="auto"/>
              </w:rPr>
              <w:t>Amortization of deferred gains included in operating expenses as a reduction to rental expense</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21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Impact of adoption of new accounting standard</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(11,026)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Pr>
          <w:p>
            <w:pPr>
              <w:spacing w:after="0"/>
              <w:rPr>
                <w:sz w:val="20"/>
                <w:szCs w:val="20"/>
                <w:color w:val="auto"/>
              </w:rPr>
            </w:pPr>
            <w:r>
              <w:rPr>
                <w:rFonts w:ascii="Arial" w:cs="Arial" w:eastAsia="Arial" w:hAnsi="Arial"/>
                <w:sz w:val="16"/>
                <w:szCs w:val="16"/>
                <w:color w:val="auto"/>
              </w:rPr>
              <w:t>Other adjustments</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70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at end of period</w:t>
            </w:r>
          </w:p>
        </w:tc>
        <w:tc>
          <w:tcPr>
            <w:tcW w:w="8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Accumulated Other Comprehensive Income (Loss). </w:t>
      </w:r>
      <w:r>
        <w:rPr>
          <w:rFonts w:ascii="Arial" w:cs="Arial" w:eastAsia="Arial" w:hAnsi="Arial"/>
          <w:sz w:val="22"/>
          <w:szCs w:val="22"/>
          <w:color w:val="auto"/>
        </w:rPr>
        <w:t>The components of accumulated other comprehensive loss were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7"/>
          </w:tcPr>
          <w:p>
            <w:pPr>
              <w:jc w:val="center"/>
              <w:ind w:left="539"/>
              <w:spacing w:after="0"/>
              <w:rPr>
                <w:sz w:val="20"/>
                <w:szCs w:val="20"/>
                <w:color w:val="auto"/>
              </w:rPr>
            </w:pPr>
            <w:r>
              <w:rPr>
                <w:rFonts w:ascii="Arial" w:cs="Arial" w:eastAsia="Arial" w:hAnsi="Arial"/>
                <w:sz w:val="16"/>
                <w:szCs w:val="16"/>
                <w:b w:val="1"/>
                <w:bCs w:val="1"/>
                <w:color w:val="auto"/>
                <w:w w:val="95"/>
              </w:rPr>
              <w:t>SEACOR Marine Holdings Inc.</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Stockholders’ Equity</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Noncontrolling Interests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7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w w:val="91"/>
              </w:rPr>
              <w:t>Derivative</w:t>
            </w: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1"/>
              </w:rPr>
              <w:t>Derivative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1"/>
              </w:rPr>
              <w:t>Foreign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Income</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Foreign</w:t>
            </w: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Income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3"/>
              </w:rPr>
              <w:t>Currency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(Losses) on</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Currency</w:t>
            </w:r>
          </w:p>
        </w:tc>
        <w:tc>
          <w:tcPr>
            <w:tcW w:w="10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(Losses) 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Other</w:t>
            </w:r>
          </w:p>
        </w:tc>
      </w:tr>
      <w:tr>
        <w:trPr>
          <w:trHeight w:val="203"/>
        </w:trPr>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w w:val="92"/>
              </w:rPr>
              <w:t>Translation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Cash Flow</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Translation</w:t>
            </w:r>
          </w:p>
        </w:tc>
        <w:tc>
          <w:tcPr>
            <w:tcW w:w="10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Cash Flow</w:t>
            </w:r>
          </w:p>
        </w:tc>
        <w:tc>
          <w:tcPr>
            <w:tcW w:w="8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Comprehensive</w:t>
            </w:r>
          </w:p>
        </w:tc>
      </w:tr>
      <w:tr>
        <w:trPr>
          <w:trHeight w:val="213"/>
        </w:trPr>
        <w:tc>
          <w:tcPr>
            <w:tcW w:w="37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8"/>
              </w:rPr>
              <w:t>Hedges, net</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8"/>
              </w:rPr>
              <w:t>Hedges, net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Income (Loss)</w:t>
            </w:r>
          </w:p>
        </w:tc>
        <w:tc>
          <w:tcPr>
            <w:tcW w:w="100" w:type="dxa"/>
            <w:vAlign w:val="bottom"/>
            <w:tcBorders>
              <w:bottom w:val="single" w:sz="8" w:color="CFF0FC"/>
            </w:tcBorders>
          </w:tcPr>
          <w:p>
            <w:pPr>
              <w:spacing w:after="0"/>
              <w:rPr>
                <w:sz w:val="18"/>
                <w:szCs w:val="18"/>
                <w:color w:val="auto"/>
              </w:rPr>
            </w:pPr>
          </w:p>
        </w:tc>
      </w:tr>
      <w:tr>
        <w:trPr>
          <w:trHeight w:val="213"/>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December 31, 2018</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(15,472)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(1,316)</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(16,788)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(1,445)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3720" w:type="dxa"/>
            <w:vAlign w:val="bottom"/>
          </w:tcPr>
          <w:p>
            <w:pPr>
              <w:ind w:left="260"/>
              <w:spacing w:after="0"/>
              <w:rPr>
                <w:sz w:val="20"/>
                <w:szCs w:val="20"/>
                <w:color w:val="auto"/>
              </w:rPr>
            </w:pPr>
            <w:r>
              <w:rPr>
                <w:rFonts w:ascii="Arial" w:cs="Arial" w:eastAsia="Arial" w:hAnsi="Arial"/>
                <w:sz w:val="16"/>
                <w:szCs w:val="16"/>
                <w:color w:val="auto"/>
              </w:rPr>
              <w:t>Other comprehensive income</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720" w:type="dxa"/>
            <w:vAlign w:val="bottom"/>
          </w:tcPr>
          <w:p>
            <w:pPr>
              <w:ind w:left="380"/>
              <w:spacing w:after="0"/>
              <w:rPr>
                <w:sz w:val="20"/>
                <w:szCs w:val="20"/>
                <w:color w:val="auto"/>
              </w:rPr>
            </w:pPr>
            <w:r>
              <w:rPr>
                <w:rFonts w:ascii="Arial" w:cs="Arial" w:eastAsia="Arial" w:hAnsi="Arial"/>
                <w:sz w:val="16"/>
                <w:szCs w:val="16"/>
                <w:color w:val="auto"/>
              </w:rPr>
              <w:t>(loss)</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(899)</w:t>
            </w:r>
          </w:p>
        </w:tc>
        <w:tc>
          <w:tcPr>
            <w:tcW w:w="3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r>
      <w:tr>
        <w:trPr>
          <w:trHeight w:val="20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Three Months Ended March</w:t>
            </w: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3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31, 2019</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(14,597)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(2,215)</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(16,812)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(1,445)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w:t>
            </w: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b w:val="1"/>
          <w:bCs w:val="1"/>
          <w:i w:val="1"/>
          <w:iCs w:val="1"/>
          <w:color w:val="auto"/>
        </w:rPr>
        <w:t xml:space="preserve">Leases. </w:t>
      </w:r>
      <w:r>
        <w:rPr>
          <w:rFonts w:ascii="Arial" w:cs="Arial" w:eastAsia="Arial" w:hAnsi="Arial"/>
          <w:sz w:val="22"/>
          <w:szCs w:val="22"/>
          <w:color w:val="auto"/>
        </w:rPr>
        <w:t>The Company determines if an arrangement contains a lease at the inception of a contract. Leases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contractual terms less than twelve months are not recorded on the balance sheet and lease expense is recognized on a straight-line basis over the term of the short-term lease. Leases with contractual terms longer than twelve months are categorized as either operating or finance, with corresponding right-of-use asset and lease liability recorded on the balance sheet. Finance leases are generally those leases that substantially utilize or pay for the entire asset over its estimated life. All other leases are categorized as operating leases.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9"/>
          <w:szCs w:val="19"/>
          <w:color w:val="auto"/>
        </w:rPr>
        <w:t>Right-of-use assets represent the Company’s right to use an underlying asset for the lease term and lease liabilities represent the Company’s obligation to make lease payments arising from the lease. Lease liabilities are recognized at the present value of the fixed lease payments, using an implicit discount rate if available, or if not readily available, the Company’s incremental borrowing rate. Right-of-use assets are recognized based on the initial present value of the fixed lease payments and are tested for impairment in the same manner as long-lived assets used in operations. When options exist to extend the lease term, terminate the lease before the contractual expiration date, or purchase the leased asset, and it is reasonably certain that these options will be exercised, the options are considered in determining the classification and measurement of the lease.</w:t>
      </w:r>
    </w:p>
    <w:p>
      <w:pPr>
        <w:spacing w:after="0" w:line="180"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9"/>
          <w:szCs w:val="19"/>
          <w:b w:val="1"/>
          <w:bCs w:val="1"/>
          <w:i w:val="1"/>
          <w:iCs w:val="1"/>
          <w:color w:val="auto"/>
        </w:rPr>
        <w:t xml:space="preserve">Loss Per Share. </w:t>
      </w:r>
      <w:r>
        <w:rPr>
          <w:rFonts w:ascii="Arial" w:cs="Arial" w:eastAsia="Arial" w:hAnsi="Arial"/>
          <w:sz w:val="19"/>
          <w:szCs w:val="19"/>
          <w:color w:val="auto"/>
        </w:rPr>
        <w:t>Basic loss per common share of the Company is computed based on the weighted average number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common shares and warrants to purchase common shares at an exercise price of $0.01 per share (“Warrants”) issued and outstanding during the relevant periods. The Warrants are included in the basic loss per common share because the shares issuable upon exercise of the Warrants are issuable for de minimis cash consideration and therefore not anti-dilutive. Diluted loss per common share of the Company is computed based on the weighted average number of common shares and Warrants issued and outstanding plus the effect of other potentially dilutive securities through the application of the if-converted method that assumes all common shares have been issued and outstanding during the relevant periods pursuant to the conversion of the Convertible Senior Notes. For the three months ended March 31, 2019 and 2018, diluted earnings per common share of the Company excluded 2,183,708 and 4,070,500 common shares, respectively, issuable pursuant to the Company’s Convertible Senior Notes (see Note 4) as the effect of their inclusion in the computation would be anti-dilutive. In addition, for the three months ended March 31, 2019 and 2018, diluted loss per common share of the Company excluded 129,080 and 94,507 shares of restricted stock, respectively, and 791,816 and 653,700 shares of stock, respectively, issuable upon exercise of outstanding stock options as the effect of their inclusion in the computation would be anti-dilutive.</w:t>
      </w:r>
    </w:p>
    <w:p>
      <w:pPr>
        <w:spacing w:after="0" w:line="184"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9"/>
          <w:szCs w:val="19"/>
          <w:b w:val="1"/>
          <w:bCs w:val="1"/>
          <w:i w:val="1"/>
          <w:iCs w:val="1"/>
          <w:color w:val="auto"/>
        </w:rPr>
        <w:t xml:space="preserve">New Accounting Pronouncements. </w:t>
      </w:r>
      <w:r>
        <w:rPr>
          <w:rFonts w:ascii="Arial" w:cs="Arial" w:eastAsia="Arial" w:hAnsi="Arial"/>
          <w:sz w:val="19"/>
          <w:szCs w:val="19"/>
          <w:color w:val="auto"/>
        </w:rPr>
        <w:t>In August 2018, the FASB issued ASU 2018-13, a new accounting standard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modifies the disclosure requirements related to fair value measurement. The new guidance is effective for fiscal years beginning after December 15, 2019. The effects of this standard on our financial position or reporting is not expected to be material.</w:t>
      </w:r>
    </w:p>
    <w:p>
      <w:pPr>
        <w:spacing w:after="0" w:line="161" w:lineRule="exact"/>
        <w:rPr>
          <w:sz w:val="20"/>
          <w:szCs w:val="20"/>
          <w:color w:val="auto"/>
        </w:rPr>
      </w:pPr>
    </w:p>
    <w:p>
      <w:pPr>
        <w:jc w:val="both"/>
        <w:ind w:firstLine="761"/>
        <w:spacing w:after="0" w:line="275" w:lineRule="auto"/>
        <w:rPr>
          <w:sz w:val="20"/>
          <w:szCs w:val="20"/>
          <w:color w:val="auto"/>
        </w:rPr>
      </w:pPr>
      <w:r>
        <w:rPr>
          <w:rFonts w:ascii="Arial" w:cs="Arial" w:eastAsia="Arial" w:hAnsi="Arial"/>
          <w:sz w:val="19"/>
          <w:szCs w:val="19"/>
          <w:color w:val="auto"/>
        </w:rPr>
        <w:t>In August 2018, the FASB issued ASU 2018-15, a new accounting standard which provided guidance regarding the accounting for fees paid by a customer in a cloud computing arrangement (hosting arrangement). The guidance reduces complexity for the accounting for costs of implementing a cloud computing service arrangement and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standard is effective for interim and annual periods beginning after December 15, 2019. The Company is evaluating the provisions of the standard but does not expect the adoption of the new standard to have a material impact on its consolidated financial position or its results of operations and cash flows.</w:t>
      </w:r>
    </w:p>
    <w:p>
      <w:pPr>
        <w:spacing w:after="0" w:line="185"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color w:val="auto"/>
        </w:rPr>
        <w:t>In June 2016, the FASB issued ASU 2016-13, an amendment to the accounting standards which replaces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The new standard is effective for interim periods beginning after December 15, 2019. Early adoption is permitted for annual periods beginning after December 15, 2018. The Company has not yet determined what impact, if any, the adoption of the new standard will have on its consolidated financial position, results of operations or cash flows.</w:t>
      </w:r>
    </w:p>
    <w:p>
      <w:pPr>
        <w:spacing w:after="0" w:line="218" w:lineRule="exact"/>
        <w:rPr>
          <w:sz w:val="20"/>
          <w:szCs w:val="20"/>
          <w:color w:val="auto"/>
        </w:rPr>
      </w:pPr>
    </w:p>
    <w:p>
      <w:pPr>
        <w:jc w:val="both"/>
        <w:ind w:firstLine="761"/>
        <w:spacing w:after="0" w:line="328" w:lineRule="auto"/>
        <w:rPr>
          <w:sz w:val="20"/>
          <w:szCs w:val="20"/>
          <w:color w:val="auto"/>
        </w:rPr>
      </w:pPr>
      <w:r>
        <w:rPr>
          <w:rFonts w:ascii="Arial" w:cs="Arial" w:eastAsia="Arial" w:hAnsi="Arial"/>
          <w:sz w:val="19"/>
          <w:szCs w:val="19"/>
          <w:b w:val="1"/>
          <w:bCs w:val="1"/>
          <w:i w:val="1"/>
          <w:iCs w:val="1"/>
          <w:color w:val="auto"/>
        </w:rPr>
        <w:t>Reclassification</w:t>
      </w:r>
      <w:r>
        <w:rPr>
          <w:rFonts w:ascii="Arial" w:cs="Arial" w:eastAsia="Arial" w:hAnsi="Arial"/>
          <w:sz w:val="19"/>
          <w:szCs w:val="19"/>
          <w:color w:val="auto"/>
        </w:rPr>
        <w:t>. Certain amounts in the prior year’s condensed consolidated financial statements have been reclassified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conform to the current year presentation. The reclassification had no impact on total assets, liabilities, or net loss.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60" w:hanging="752"/>
        <w:spacing w:after="0"/>
        <w:tabs>
          <w:tab w:leader="none" w:pos="7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EQUIPMENT ACQUISITIONS AND DISPOSITIONS</w:t>
      </w:r>
    </w:p>
    <w:p>
      <w:pPr>
        <w:spacing w:after="0" w:line="172" w:lineRule="exact"/>
        <w:rPr>
          <w:sz w:val="20"/>
          <w:szCs w:val="20"/>
          <w:color w:val="auto"/>
        </w:rPr>
      </w:pPr>
    </w:p>
    <w:p>
      <w:pPr>
        <w:jc w:val="both"/>
        <w:ind w:firstLine="761"/>
        <w:spacing w:after="0" w:line="328" w:lineRule="auto"/>
        <w:rPr>
          <w:sz w:val="20"/>
          <w:szCs w:val="20"/>
          <w:color w:val="auto"/>
        </w:rPr>
      </w:pPr>
      <w:r>
        <w:rPr>
          <w:rFonts w:ascii="Arial" w:cs="Arial" w:eastAsia="Arial" w:hAnsi="Arial"/>
          <w:sz w:val="19"/>
          <w:szCs w:val="19"/>
          <w:color w:val="auto"/>
        </w:rPr>
        <w:t>During the three months ended March 31, 2019, capital acquisitions were $21.2 million. Equipment deliveries during the three months ended March 31, 2019 include one fast support vessel (“FSV”) and one platform supply vessel (“PSV”).</w:t>
      </w:r>
    </w:p>
    <w:p>
      <w:pPr>
        <w:spacing w:after="0" w:line="119"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21"/>
          <w:szCs w:val="21"/>
          <w:color w:val="auto"/>
        </w:rPr>
        <w:t>During the three months ended March 31, 2019, the Company sold one standby safety vessel and other equipment for $0.1 million cash and one vessel under construction for $4.3 million (all of which was a previously received deposit) and gains of $0.3 million. In addition, the Company received $0.4 million in deposits for future asset sales.</w:t>
      </w:r>
    </w:p>
    <w:p>
      <w:pPr>
        <w:spacing w:after="0" w:line="134" w:lineRule="exact"/>
        <w:rPr>
          <w:sz w:val="20"/>
          <w:szCs w:val="20"/>
          <w:color w:val="auto"/>
        </w:rPr>
      </w:pPr>
    </w:p>
    <w:p>
      <w:pPr>
        <w:ind w:left="760" w:hanging="752"/>
        <w:spacing w:after="0"/>
        <w:tabs>
          <w:tab w:leader="none" w:pos="7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INVESTMENTS, AT EQUITY AND ADVANCES TO 50% OR LESS OWNED COMPANIES</w:t>
      </w:r>
    </w:p>
    <w:p>
      <w:pPr>
        <w:spacing w:after="0" w:line="172" w:lineRule="exact"/>
        <w:rPr>
          <w:sz w:val="20"/>
          <w:szCs w:val="20"/>
          <w:color w:val="auto"/>
        </w:rPr>
      </w:pPr>
    </w:p>
    <w:p>
      <w:pPr>
        <w:jc w:val="both"/>
        <w:ind w:right="20" w:firstLine="761"/>
        <w:spacing w:after="0" w:line="287" w:lineRule="auto"/>
        <w:rPr>
          <w:sz w:val="20"/>
          <w:szCs w:val="20"/>
          <w:color w:val="auto"/>
        </w:rPr>
      </w:pPr>
      <w:r>
        <w:rPr>
          <w:rFonts w:ascii="Arial" w:cs="Arial" w:eastAsia="Arial" w:hAnsi="Arial"/>
          <w:sz w:val="19"/>
          <w:szCs w:val="19"/>
          <w:b w:val="1"/>
          <w:bCs w:val="1"/>
          <w:i w:val="1"/>
          <w:iCs w:val="1"/>
          <w:color w:val="auto"/>
        </w:rPr>
        <w:t>SEACOSCO</w:t>
      </w:r>
      <w:r>
        <w:rPr>
          <w:rFonts w:ascii="Arial" w:cs="Arial" w:eastAsia="Arial" w:hAnsi="Arial"/>
          <w:sz w:val="19"/>
          <w:szCs w:val="19"/>
          <w:color w:val="auto"/>
        </w:rPr>
        <w:t>. The Company owns an unconsolidated 50% interest in SEACOSCO Offshore LLC (“SEACOSCO”).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quarter ended March 31, 2019, SEACOSCO took delivery of two PSVs and title to one PSV, and the Company contributed $2.0 million in capital to SEACOSCO for construction costs. In the year ended December 31, 2018, SEACOSCO took delivery of two PSVs and title to another five of the PSVs, and the Company contributed $29.6 million in capital to SEACOSCO.</w:t>
      </w:r>
    </w:p>
    <w:p>
      <w:pPr>
        <w:spacing w:after="0" w:line="103" w:lineRule="exact"/>
        <w:rPr>
          <w:sz w:val="20"/>
          <w:szCs w:val="20"/>
          <w:color w:val="auto"/>
        </w:rPr>
      </w:pPr>
    </w:p>
    <w:p>
      <w:pPr>
        <w:jc w:val="both"/>
        <w:ind w:firstLine="905"/>
        <w:spacing w:after="0" w:line="236" w:lineRule="auto"/>
        <w:rPr>
          <w:sz w:val="20"/>
          <w:szCs w:val="20"/>
          <w:color w:val="auto"/>
        </w:rPr>
      </w:pPr>
      <w:r>
        <w:rPr>
          <w:rFonts w:ascii="Arial" w:cs="Arial" w:eastAsia="Arial" w:hAnsi="Arial"/>
          <w:sz w:val="22"/>
          <w:szCs w:val="22"/>
          <w:b w:val="1"/>
          <w:bCs w:val="1"/>
          <w:i w:val="1"/>
          <w:iCs w:val="1"/>
          <w:color w:val="auto"/>
        </w:rPr>
        <w:t xml:space="preserve">Offshore Vessels Holdings. </w:t>
      </w:r>
      <w:r>
        <w:rPr>
          <w:rFonts w:ascii="Arial" w:cs="Arial" w:eastAsia="Arial" w:hAnsi="Arial"/>
          <w:sz w:val="22"/>
          <w:szCs w:val="22"/>
          <w:color w:val="auto"/>
        </w:rPr>
        <w:t>On December 28, 2018, the Company invested $4.9 million for a 49% share in Offshore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Vessels Holdings S.A.P.I. de C.V. (“OVH”), an unconsolidated joint venture affiliated with Mantenimiento Express Maritimo, S.A.P.I. de C.V. (“MexMar”). The joint venture is used to invest in offshore assets or business internationally. On February 13, 2019, OVH loaned $10.0 million to Operadora Productora y Exploradora Mexicana, an affiliate of MexMar, for three years at an interest rate of 15% paid quarterly.</w:t>
      </w:r>
    </w:p>
    <w:p>
      <w:pPr>
        <w:spacing w:after="0" w:line="147" w:lineRule="exact"/>
        <w:rPr>
          <w:sz w:val="20"/>
          <w:szCs w:val="20"/>
          <w:color w:val="auto"/>
        </w:rPr>
      </w:pPr>
    </w:p>
    <w:p>
      <w:pPr>
        <w:jc w:val="both"/>
        <w:ind w:firstLine="761"/>
        <w:spacing w:after="0"/>
        <w:rPr>
          <w:sz w:val="20"/>
          <w:szCs w:val="20"/>
          <w:color w:val="auto"/>
        </w:rPr>
      </w:pPr>
      <w:r>
        <w:rPr>
          <w:rFonts w:ascii="Arial" w:cs="Arial" w:eastAsia="Arial" w:hAnsi="Arial"/>
          <w:sz w:val="22"/>
          <w:szCs w:val="22"/>
          <w:b w:val="1"/>
          <w:bCs w:val="1"/>
          <w:i w:val="1"/>
          <w:iCs w:val="1"/>
          <w:color w:val="auto"/>
        </w:rPr>
        <w:t>FRS Windcat Offshore Logistics GmbH</w:t>
      </w:r>
      <w:r>
        <w:rPr>
          <w:rFonts w:ascii="Arial" w:cs="Arial" w:eastAsia="Arial" w:hAnsi="Arial"/>
          <w:sz w:val="22"/>
          <w:szCs w:val="22"/>
          <w:color w:val="auto"/>
        </w:rPr>
        <w:t>. During the quarter ended March 31, 2019, the Company concluded the sale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one vessel under construction for $4.3 million to a wholly owned subsidiary of FRS Windcat Offshore Logistics GmbH, an unconsolidated joint venture.</w:t>
      </w:r>
    </w:p>
    <w:p>
      <w:pPr>
        <w:spacing w:after="0" w:line="159"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b w:val="1"/>
          <w:bCs w:val="1"/>
          <w:i w:val="1"/>
          <w:iCs w:val="1"/>
          <w:color w:val="auto"/>
        </w:rPr>
        <w:t xml:space="preserve">Guarantees. </w:t>
      </w:r>
      <w:r>
        <w:rPr>
          <w:rFonts w:ascii="Arial" w:cs="Arial" w:eastAsia="Arial" w:hAnsi="Arial"/>
          <w:sz w:val="21"/>
          <w:szCs w:val="21"/>
          <w:color w:val="auto"/>
        </w:rPr>
        <w:t>The Company has guaranteed certain of the outstanding charter receivables of one of its managed 50%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less owned companies if a customer defaults in payment and the Company either fails to take enforcement action against the defaulting customer or fails to assign its right of recovery against the defaulting customer. As of March 31, 2019, the total amount guaranteed by the Company under this arrangement is $0.3 million.</w:t>
      </w:r>
    </w:p>
    <w:p>
      <w:pPr>
        <w:spacing w:after="0" w:line="134"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color w:val="auto"/>
        </w:rPr>
        <w:t>In addition, as of March 31, 2019, two of the Company's 50% or less owned companies have bank debt secured by, among other things, a first preferred mortgage on the 50% or less owned companies’ vessels. The banks also have the authority to require the Company and its partners to fund uncalled capital commitments, as defined in the partnership agreements governing the companies. In such event, the Company would be required to contribute its allocable share of uncalled capital, which was, as of March 31, 2019, $0.8 million in the aggregate. This liability is included in other long-term liabilities.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760" w:hanging="752"/>
        <w:spacing w:after="0"/>
        <w:tabs>
          <w:tab w:leader="none" w:pos="7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171"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19"/>
          <w:szCs w:val="19"/>
          <w:color w:val="auto"/>
        </w:rPr>
        <w:t>The Company’s long-term debt obligations as March 31, 2019 and December 31, 2018 were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March 31, 2019</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8"/>
              </w:rPr>
              <w:t>December 31, 2018</w:t>
            </w:r>
          </w:p>
        </w:tc>
        <w:tc>
          <w:tcPr>
            <w:tcW w:w="120" w:type="dxa"/>
            <w:vAlign w:val="bottom"/>
            <w:tcBorders>
              <w:bottom w:val="single" w:sz="8" w:color="CFF0FC"/>
            </w:tcBorders>
          </w:tcPr>
          <w:p>
            <w:pPr>
              <w:spacing w:after="0"/>
              <w:rPr>
                <w:sz w:val="18"/>
                <w:szCs w:val="18"/>
                <w:color w:val="auto"/>
              </w:rPr>
            </w:pPr>
          </w:p>
        </w:tc>
      </w:tr>
      <w:tr>
        <w:trPr>
          <w:trHeight w:val="213"/>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SEACOR Marine Foreign Holdings Syndicated Credit Facility</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123,500</w:t>
            </w:r>
          </w:p>
        </w:tc>
        <w:tc>
          <w:tcPr>
            <w:tcW w:w="2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126,750</w:t>
            </w:r>
          </w:p>
        </w:tc>
        <w:tc>
          <w:tcPr>
            <w:tcW w:w="120" w:type="dxa"/>
            <w:vAlign w:val="bottom"/>
            <w:shd w:val="clear" w:color="auto" w:fill="CFF0FC"/>
          </w:tcPr>
          <w:p>
            <w:pPr>
              <w:spacing w:after="0"/>
              <w:rPr>
                <w:sz w:val="18"/>
                <w:szCs w:val="18"/>
                <w:color w:val="auto"/>
              </w:rPr>
            </w:pP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Convertible Senior Notes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125,000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18"/>
                <w:szCs w:val="18"/>
                <w:color w:val="auto"/>
              </w:rPr>
            </w:pPr>
          </w:p>
        </w:tc>
      </w:tr>
      <w:tr>
        <w:trPr>
          <w:trHeight w:val="21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Falcon Global USA Term Loan Facility</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109,099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109,099</w:t>
            </w:r>
          </w:p>
        </w:tc>
        <w:tc>
          <w:tcPr>
            <w:tcW w:w="120" w:type="dxa"/>
            <w:vAlign w:val="bottom"/>
            <w:shd w:val="clear" w:color="auto" w:fill="CFF0FC"/>
          </w:tcPr>
          <w:p>
            <w:pPr>
              <w:spacing w:after="0"/>
              <w:rPr>
                <w:sz w:val="19"/>
                <w:szCs w:val="19"/>
                <w:color w:val="auto"/>
              </w:rPr>
            </w:pP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Sea-Cat Crewzer III Term Loan Facility</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25,366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25,989</w:t>
            </w:r>
          </w:p>
        </w:tc>
        <w:tc>
          <w:tcPr>
            <w:tcW w:w="120" w:type="dxa"/>
            <w:vAlign w:val="bottom"/>
          </w:tcPr>
          <w:p>
            <w:pPr>
              <w:spacing w:after="0"/>
              <w:rPr>
                <w:sz w:val="18"/>
                <w:szCs w:val="18"/>
                <w:color w:val="auto"/>
              </w:rPr>
            </w:pPr>
          </w:p>
        </w:tc>
      </w:tr>
      <w:tr>
        <w:trPr>
          <w:trHeight w:val="21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Windcat Workboats Facilities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24,615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24,850</w:t>
            </w:r>
          </w:p>
        </w:tc>
        <w:tc>
          <w:tcPr>
            <w:tcW w:w="120" w:type="dxa"/>
            <w:vAlign w:val="bottom"/>
            <w:shd w:val="clear" w:color="auto" w:fill="CFF0FC"/>
          </w:tcPr>
          <w:p>
            <w:pPr>
              <w:spacing w:after="0"/>
              <w:rPr>
                <w:sz w:val="19"/>
                <w:szCs w:val="19"/>
                <w:color w:val="auto"/>
              </w:rPr>
            </w:pP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Falcon Global USA Revolver</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8"/>
                <w:szCs w:val="18"/>
                <w:color w:val="auto"/>
              </w:rPr>
            </w:pPr>
          </w:p>
        </w:tc>
      </w:tr>
      <w:tr>
        <w:trPr>
          <w:trHeight w:val="21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SEACOR 88/888 Term Loan</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11,000</w:t>
            </w:r>
          </w:p>
        </w:tc>
        <w:tc>
          <w:tcPr>
            <w:tcW w:w="120" w:type="dxa"/>
            <w:vAlign w:val="bottom"/>
            <w:shd w:val="clear" w:color="auto" w:fill="CFF0FC"/>
          </w:tcPr>
          <w:p>
            <w:pPr>
              <w:spacing w:after="0"/>
              <w:rPr>
                <w:sz w:val="19"/>
                <w:szCs w:val="19"/>
                <w:color w:val="auto"/>
              </w:rPr>
            </w:pPr>
          </w:p>
        </w:tc>
      </w:tr>
      <w:tr>
        <w:trPr>
          <w:trHeight w:val="213"/>
        </w:trPr>
        <w:tc>
          <w:tcPr>
            <w:tcW w:w="5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BNDES Equipment Construction Finance Notes</w:t>
            </w:r>
          </w:p>
        </w:tc>
        <w:tc>
          <w:tcPr>
            <w:tcW w:w="13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4,795</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5,284</w:t>
            </w:r>
          </w:p>
        </w:tc>
        <w:tc>
          <w:tcPr>
            <w:tcW w:w="120" w:type="dxa"/>
            <w:vAlign w:val="bottom"/>
            <w:tcBorders>
              <w:bottom w:val="single" w:sz="8" w:color="CFF0FC"/>
            </w:tcBorders>
          </w:tcPr>
          <w:p>
            <w:pPr>
              <w:spacing w:after="0"/>
              <w:rPr>
                <w:sz w:val="18"/>
                <w:szCs w:val="18"/>
                <w:color w:val="auto"/>
              </w:rPr>
            </w:pPr>
          </w:p>
        </w:tc>
      </w:tr>
      <w:tr>
        <w:trPr>
          <w:trHeight w:val="213"/>
        </w:trPr>
        <w:tc>
          <w:tcPr>
            <w:tcW w:w="54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438,375</w:t>
            </w:r>
          </w:p>
        </w:tc>
        <w:tc>
          <w:tcPr>
            <w:tcW w:w="2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442,972</w:t>
            </w:r>
          </w:p>
        </w:tc>
        <w:tc>
          <w:tcPr>
            <w:tcW w:w="120" w:type="dxa"/>
            <w:vAlign w:val="bottom"/>
            <w:shd w:val="clear" w:color="auto" w:fill="CFF0FC"/>
          </w:tcPr>
          <w:p>
            <w:pPr>
              <w:spacing w:after="0"/>
              <w:rPr>
                <w:sz w:val="18"/>
                <w:szCs w:val="18"/>
                <w:color w:val="auto"/>
              </w:rPr>
            </w:pP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Portion due within one year</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6"/>
                <w:szCs w:val="16"/>
                <w:color w:val="auto"/>
              </w:rPr>
              <w:t>(17,426)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6"/>
                <w:szCs w:val="16"/>
                <w:color w:val="auto"/>
              </w:rPr>
              <w:t>(16,812)</w:t>
            </w:r>
          </w:p>
        </w:tc>
      </w:tr>
      <w:tr>
        <w:trPr>
          <w:trHeight w:val="21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Debt discount</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(30,631)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(32,005)</w:t>
            </w:r>
          </w:p>
        </w:tc>
      </w:tr>
      <w:tr>
        <w:trPr>
          <w:trHeight w:val="213"/>
        </w:trPr>
        <w:tc>
          <w:tcPr>
            <w:tcW w:w="5440" w:type="dxa"/>
            <w:vAlign w:val="bottom"/>
          </w:tcPr>
          <w:p>
            <w:pPr>
              <w:spacing w:after="0"/>
              <w:rPr>
                <w:sz w:val="20"/>
                <w:szCs w:val="20"/>
                <w:color w:val="auto"/>
              </w:rPr>
            </w:pPr>
            <w:r>
              <w:rPr>
                <w:rFonts w:ascii="Arial" w:cs="Arial" w:eastAsia="Arial" w:hAnsi="Arial"/>
                <w:sz w:val="16"/>
                <w:szCs w:val="16"/>
                <w:color w:val="auto"/>
              </w:rPr>
              <w:t>Issue costs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6"/>
                <w:szCs w:val="16"/>
                <w:color w:val="auto"/>
              </w:rPr>
              <w:t>(5,974)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6"/>
                <w:szCs w:val="16"/>
                <w:color w:val="auto"/>
              </w:rPr>
              <w:t>(6,301)</w:t>
            </w:r>
          </w:p>
        </w:tc>
      </w:tr>
      <w:tr>
        <w:trPr>
          <w:trHeight w:val="20"/>
        </w:trPr>
        <w:tc>
          <w:tcPr>
            <w:tcW w:w="54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4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384,344</w:t>
            </w:r>
          </w:p>
        </w:tc>
        <w:tc>
          <w:tcPr>
            <w:tcW w:w="2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387,854</w:t>
            </w:r>
          </w:p>
        </w:tc>
        <w:tc>
          <w:tcPr>
            <w:tcW w:w="120" w:type="dxa"/>
            <w:vAlign w:val="bottom"/>
            <w:shd w:val="clear" w:color="auto" w:fill="CFF0FC"/>
          </w:tcPr>
          <w:p>
            <w:pPr>
              <w:spacing w:after="0"/>
              <w:rPr>
                <w:sz w:val="18"/>
                <w:szCs w:val="18"/>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5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of March 31, 2019, the Company is in compliance with all debt covenants and lender requirements.</w:t>
      </w:r>
    </w:p>
    <w:p>
      <w:pPr>
        <w:spacing w:after="0" w:line="179" w:lineRule="exact"/>
        <w:rPr>
          <w:sz w:val="20"/>
          <w:szCs w:val="20"/>
          <w:color w:val="auto"/>
        </w:rPr>
      </w:pPr>
    </w:p>
    <w:p>
      <w:pPr>
        <w:jc w:val="both"/>
        <w:ind w:firstLine="761"/>
        <w:spacing w:after="0" w:line="328" w:lineRule="auto"/>
        <w:rPr>
          <w:sz w:val="20"/>
          <w:szCs w:val="20"/>
          <w:color w:val="auto"/>
        </w:rPr>
      </w:pPr>
      <w:r>
        <w:rPr>
          <w:rFonts w:ascii="Arial" w:cs="Arial" w:eastAsia="Arial" w:hAnsi="Arial"/>
          <w:sz w:val="19"/>
          <w:szCs w:val="19"/>
          <w:b w:val="1"/>
          <w:bCs w:val="1"/>
          <w:i w:val="1"/>
          <w:iCs w:val="1"/>
          <w:color w:val="auto"/>
        </w:rPr>
        <w:t>Letters of Credit</w:t>
      </w:r>
      <w:r>
        <w:rPr>
          <w:rFonts w:ascii="Arial" w:cs="Arial" w:eastAsia="Arial" w:hAnsi="Arial"/>
          <w:sz w:val="19"/>
          <w:szCs w:val="19"/>
          <w:color w:val="auto"/>
        </w:rPr>
        <w:t>. As of March 31, 2019, the Company had outstanding letters of credit of $4.8 million securing one long-term debt obligation, $0.3 million securing one lease obligation and $2.5 million for labor and performance guarantees.</w:t>
      </w:r>
    </w:p>
    <w:p>
      <w:pPr>
        <w:spacing w:after="0" w:line="59" w:lineRule="exact"/>
        <w:rPr>
          <w:sz w:val="20"/>
          <w:szCs w:val="20"/>
          <w:color w:val="auto"/>
        </w:rPr>
      </w:pPr>
    </w:p>
    <w:p>
      <w:pPr>
        <w:ind w:left="760" w:hanging="752"/>
        <w:spacing w:after="0"/>
        <w:tabs>
          <w:tab w:leader="none" w:pos="7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72"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As of March 31, 2019, the Company leases in four anchor handling towing supply (“AHTS”) vessels, two liftboats, one FSV, one supply vessel and certain facilities and other equipment. The leases typically contain purchase and renewal options or rights of first refusal with respect to the sale or lease of the equipment. As of March 31, 2019, the remaining lease terms of the vessels have remaining durations from eight to 32 months. The lease terms of the other equipment range in duration from 10 to 333 months.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As of March 31, 2019, future minimum payments for operating leases for the remainder of 2019 and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were as follows (in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00" w:type="dxa"/>
            <w:vAlign w:val="bottom"/>
          </w:tcPr>
          <w:p>
            <w:pPr>
              <w:spacing w:after="0"/>
              <w:rPr>
                <w:sz w:val="20"/>
                <w:szCs w:val="20"/>
                <w:color w:val="auto"/>
              </w:rPr>
            </w:pPr>
            <w:r>
              <w:rPr>
                <w:rFonts w:ascii="Arial" w:cs="Arial" w:eastAsia="Arial" w:hAnsi="Arial"/>
                <w:sz w:val="16"/>
                <w:szCs w:val="16"/>
                <w:color w:val="auto"/>
              </w:rPr>
              <w:t>Remainder of 2019</w:t>
            </w:r>
          </w:p>
        </w:tc>
        <w:tc>
          <w:tcPr>
            <w:tcW w:w="780" w:type="dxa"/>
            <w:vAlign w:val="bottom"/>
          </w:tcPr>
          <w:p>
            <w:pPr>
              <w:jc w:val="right"/>
              <w:ind w:right="62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14,778</w:t>
            </w:r>
          </w:p>
        </w:tc>
        <w:tc>
          <w:tcPr>
            <w:tcW w:w="100" w:type="dxa"/>
            <w:vAlign w:val="bottom"/>
          </w:tcPr>
          <w:p>
            <w:pPr>
              <w:spacing w:after="0"/>
              <w:rPr>
                <w:sz w:val="18"/>
                <w:szCs w:val="18"/>
                <w:color w:val="auto"/>
              </w:rPr>
            </w:pPr>
          </w:p>
        </w:tc>
      </w:tr>
      <w:tr>
        <w:trPr>
          <w:trHeight w:val="219"/>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13,982</w:t>
            </w:r>
          </w:p>
        </w:tc>
        <w:tc>
          <w:tcPr>
            <w:tcW w:w="100" w:type="dxa"/>
            <w:vAlign w:val="bottom"/>
            <w:shd w:val="clear" w:color="auto" w:fill="CFF0FC"/>
          </w:tcPr>
          <w:p>
            <w:pPr>
              <w:spacing w:after="0"/>
              <w:rPr>
                <w:sz w:val="19"/>
                <w:szCs w:val="19"/>
                <w:color w:val="auto"/>
              </w:rPr>
            </w:pPr>
          </w:p>
        </w:tc>
      </w:tr>
      <w:tr>
        <w:trPr>
          <w:trHeight w:val="213"/>
        </w:trPr>
        <w:tc>
          <w:tcPr>
            <w:tcW w:w="9400" w:type="dxa"/>
            <w:vAlign w:val="bottom"/>
          </w:tcPr>
          <w:p>
            <w:pPr>
              <w:spacing w:after="0"/>
              <w:rPr>
                <w:sz w:val="20"/>
                <w:szCs w:val="20"/>
                <w:color w:val="auto"/>
              </w:rPr>
            </w:pPr>
            <w:r>
              <w:rPr>
                <w:rFonts w:ascii="Arial" w:cs="Arial" w:eastAsia="Arial" w:hAnsi="Arial"/>
                <w:sz w:val="16"/>
                <w:szCs w:val="16"/>
                <w:color w:val="auto"/>
              </w:rPr>
              <w:t>2021</w:t>
            </w: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7,036</w:t>
            </w:r>
          </w:p>
        </w:tc>
        <w:tc>
          <w:tcPr>
            <w:tcW w:w="100" w:type="dxa"/>
            <w:vAlign w:val="bottom"/>
          </w:tcPr>
          <w:p>
            <w:pPr>
              <w:spacing w:after="0"/>
              <w:rPr>
                <w:sz w:val="18"/>
                <w:szCs w:val="18"/>
                <w:color w:val="auto"/>
              </w:rPr>
            </w:pPr>
          </w:p>
        </w:tc>
      </w:tr>
      <w:tr>
        <w:trPr>
          <w:trHeight w:val="219"/>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7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FF0FC"/>
          </w:tcPr>
          <w:p>
            <w:pPr>
              <w:spacing w:after="0"/>
              <w:rPr>
                <w:sz w:val="19"/>
                <w:szCs w:val="19"/>
                <w:color w:val="auto"/>
              </w:rPr>
            </w:pPr>
          </w:p>
        </w:tc>
      </w:tr>
      <w:tr>
        <w:trPr>
          <w:trHeight w:val="213"/>
        </w:trPr>
        <w:tc>
          <w:tcPr>
            <w:tcW w:w="9400" w:type="dxa"/>
            <w:vAlign w:val="bottom"/>
          </w:tcPr>
          <w:p>
            <w:pPr>
              <w:spacing w:after="0"/>
              <w:rPr>
                <w:sz w:val="20"/>
                <w:szCs w:val="20"/>
                <w:color w:val="auto"/>
              </w:rPr>
            </w:pPr>
            <w:r>
              <w:rPr>
                <w:rFonts w:ascii="Arial" w:cs="Arial" w:eastAsia="Arial" w:hAnsi="Arial"/>
                <w:sz w:val="16"/>
                <w:szCs w:val="16"/>
                <w:color w:val="auto"/>
              </w:rPr>
              <w:t>2023</w:t>
            </w: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Years subsequent to 2023</w:t>
            </w:r>
          </w:p>
        </w:tc>
        <w:tc>
          <w:tcPr>
            <w:tcW w:w="7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4,858</w:t>
            </w:r>
          </w:p>
        </w:tc>
        <w:tc>
          <w:tcPr>
            <w:tcW w:w="100" w:type="dxa"/>
            <w:vAlign w:val="bottom"/>
            <w:shd w:val="clear" w:color="auto" w:fill="CFF0FC"/>
          </w:tcPr>
          <w:p>
            <w:pPr>
              <w:spacing w:after="0"/>
              <w:rPr>
                <w:sz w:val="18"/>
                <w:szCs w:val="18"/>
                <w:color w:val="auto"/>
              </w:rPr>
            </w:pPr>
          </w:p>
        </w:tc>
      </w:tr>
      <w:tr>
        <w:trPr>
          <w:trHeight w:val="210"/>
        </w:trPr>
        <w:tc>
          <w:tcPr>
            <w:tcW w:w="9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41,916</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Interest component</w:t>
            </w:r>
          </w:p>
        </w:tc>
        <w:tc>
          <w:tcPr>
            <w:tcW w:w="7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(4,147)</w:t>
            </w:r>
          </w:p>
        </w:tc>
      </w:tr>
      <w:tr>
        <w:trPr>
          <w:trHeight w:val="210"/>
        </w:trPr>
        <w:tc>
          <w:tcPr>
            <w:tcW w:w="94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37,769</w:t>
            </w:r>
          </w:p>
        </w:tc>
        <w:tc>
          <w:tcPr>
            <w:tcW w:w="100" w:type="dxa"/>
            <w:vAlign w:val="bottom"/>
          </w:tcPr>
          <w:p>
            <w:pPr>
              <w:spacing w:after="0"/>
              <w:rPr>
                <w:sz w:val="18"/>
                <w:szCs w:val="18"/>
                <w:color w:val="auto"/>
              </w:rPr>
            </w:pPr>
          </w:p>
        </w:tc>
      </w:tr>
      <w:tr>
        <w:trPr>
          <w:trHeight w:val="219"/>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Current portion of long-term operating lease liabilities</w:t>
            </w:r>
          </w:p>
        </w:tc>
        <w:tc>
          <w:tcPr>
            <w:tcW w:w="7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17,918</w:t>
            </w:r>
          </w:p>
        </w:tc>
        <w:tc>
          <w:tcPr>
            <w:tcW w:w="100" w:type="dxa"/>
            <w:vAlign w:val="bottom"/>
            <w:shd w:val="clear" w:color="auto" w:fill="CFF0FC"/>
          </w:tcPr>
          <w:p>
            <w:pPr>
              <w:spacing w:after="0"/>
              <w:rPr>
                <w:sz w:val="19"/>
                <w:szCs w:val="19"/>
                <w:color w:val="auto"/>
              </w:rPr>
            </w:pPr>
          </w:p>
        </w:tc>
      </w:tr>
      <w:tr>
        <w:trPr>
          <w:trHeight w:val="207"/>
        </w:trPr>
        <w:tc>
          <w:tcPr>
            <w:tcW w:w="940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78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19,851</w:t>
            </w:r>
          </w:p>
        </w:tc>
        <w:tc>
          <w:tcPr>
            <w:tcW w:w="100" w:type="dxa"/>
            <w:vAlign w:val="bottom"/>
          </w:tcPr>
          <w:p>
            <w:pPr>
              <w:spacing w:after="0"/>
              <w:rPr>
                <w:sz w:val="17"/>
                <w:szCs w:val="17"/>
                <w:color w:val="auto"/>
              </w:rPr>
            </w:pPr>
          </w:p>
        </w:tc>
      </w:tr>
      <w:tr>
        <w:trPr>
          <w:trHeight w:val="20"/>
        </w:trPr>
        <w:tc>
          <w:tcPr>
            <w:tcW w:w="9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760"/>
        <w:spacing w:after="0"/>
        <w:rPr>
          <w:sz w:val="20"/>
          <w:szCs w:val="20"/>
          <w:color w:val="auto"/>
        </w:rPr>
      </w:pPr>
      <w:r>
        <w:rPr>
          <w:rFonts w:ascii="Arial" w:cs="Arial" w:eastAsia="Arial" w:hAnsi="Arial"/>
          <w:sz w:val="21"/>
          <w:szCs w:val="21"/>
          <w:color w:val="auto"/>
        </w:rPr>
        <w:t>For the three months ended March 31, 2019, the components of lease expense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0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40"/>
        </w:trPr>
        <w:tc>
          <w:tcPr>
            <w:tcW w:w="8300" w:type="dxa"/>
            <w:vAlign w:val="bottom"/>
            <w:shd w:val="clear" w:color="auto" w:fill="CFF0FC"/>
          </w:tcPr>
          <w:p>
            <w:pPr>
              <w:spacing w:after="0"/>
              <w:rPr>
                <w:sz w:val="20"/>
                <w:szCs w:val="20"/>
                <w:color w:val="auto"/>
              </w:rPr>
            </w:pPr>
            <w:r>
              <w:rPr>
                <w:rFonts w:ascii="Arial" w:cs="Arial" w:eastAsia="Arial" w:hAnsi="Arial"/>
                <w:sz w:val="20"/>
                <w:szCs w:val="20"/>
                <w:color w:val="auto"/>
              </w:rPr>
              <w:t>Operating lease expense</w:t>
            </w: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3,612</w:t>
            </w:r>
          </w:p>
        </w:tc>
        <w:tc>
          <w:tcPr>
            <w:tcW w:w="100" w:type="dxa"/>
            <w:vAlign w:val="bottom"/>
            <w:shd w:val="clear" w:color="auto" w:fill="CFF0FC"/>
          </w:tcPr>
          <w:p>
            <w:pPr>
              <w:spacing w:after="0"/>
              <w:rPr>
                <w:sz w:val="20"/>
                <w:szCs w:val="20"/>
                <w:color w:val="auto"/>
              </w:rPr>
            </w:pPr>
          </w:p>
        </w:tc>
      </w:tr>
      <w:tr>
        <w:trPr>
          <w:trHeight w:val="243"/>
        </w:trPr>
        <w:tc>
          <w:tcPr>
            <w:tcW w:w="83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Short-term lease expense (lease duration of twelve months or less at lease commencement)</w:t>
            </w:r>
          </w:p>
        </w:tc>
        <w:tc>
          <w:tcPr>
            <w:tcW w:w="110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FF0FC"/>
            </w:tcBorders>
          </w:tcPr>
          <w:p>
            <w:pPr>
              <w:spacing w:after="0"/>
              <w:rPr>
                <w:sz w:val="21"/>
                <w:szCs w:val="21"/>
                <w:color w:val="auto"/>
              </w:rPr>
            </w:pPr>
          </w:p>
        </w:tc>
      </w:tr>
      <w:tr>
        <w:trPr>
          <w:trHeight w:val="234"/>
        </w:trPr>
        <w:tc>
          <w:tcPr>
            <w:tcW w:w="83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4,148</w:t>
            </w:r>
          </w:p>
        </w:tc>
        <w:tc>
          <w:tcPr>
            <w:tcW w:w="100" w:type="dxa"/>
            <w:vAlign w:val="bottom"/>
            <w:shd w:val="clear" w:color="auto" w:fill="CFF0FC"/>
          </w:tcPr>
          <w:p>
            <w:pPr>
              <w:spacing w:after="0"/>
              <w:rPr>
                <w:sz w:val="20"/>
                <w:szCs w:val="20"/>
                <w:color w:val="auto"/>
              </w:rPr>
            </w:pPr>
          </w:p>
        </w:tc>
      </w:tr>
      <w:tr>
        <w:trPr>
          <w:trHeight w:val="20"/>
        </w:trPr>
        <w:tc>
          <w:tcPr>
            <w:tcW w:w="83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ind w:firstLine="761"/>
        <w:spacing w:after="0" w:line="251" w:lineRule="auto"/>
        <w:rPr>
          <w:sz w:val="20"/>
          <w:szCs w:val="20"/>
          <w:color w:val="auto"/>
        </w:rPr>
      </w:pPr>
      <w:r>
        <w:rPr>
          <w:rFonts w:ascii="Arial" w:cs="Arial" w:eastAsia="Arial" w:hAnsi="Arial"/>
          <w:sz w:val="22"/>
          <w:szCs w:val="22"/>
          <w:color w:val="auto"/>
        </w:rPr>
        <w:t>For the three months ended March 31, 2019, other information related to operating leases were as follows (in thousands except weighted average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FF0FC"/>
            </w:tcBorders>
          </w:tcPr>
          <w:p>
            <w:pPr>
              <w:spacing w:after="0"/>
              <w:rPr>
                <w:sz w:val="18"/>
                <w:szCs w:val="18"/>
                <w:color w:val="auto"/>
              </w:rPr>
            </w:pPr>
          </w:p>
        </w:tc>
      </w:tr>
      <w:tr>
        <w:trPr>
          <w:trHeight w:val="213"/>
        </w:trPr>
        <w:tc>
          <w:tcPr>
            <w:tcW w:w="9360" w:type="dxa"/>
            <w:vAlign w:val="bottom"/>
            <w:shd w:val="clear" w:color="auto" w:fill="CFF0FC"/>
          </w:tcPr>
          <w:p>
            <w:pPr>
              <w:spacing w:after="0"/>
              <w:rPr>
                <w:sz w:val="20"/>
                <w:szCs w:val="20"/>
                <w:color w:val="auto"/>
              </w:rPr>
            </w:pPr>
            <w:r>
              <w:rPr>
                <w:rFonts w:ascii="Arial" w:cs="Arial" w:eastAsia="Arial" w:hAnsi="Arial"/>
                <w:sz w:val="16"/>
                <w:szCs w:val="16"/>
                <w:color w:val="auto"/>
              </w:rPr>
              <w:t>Operating cash flows from operating leases</w:t>
            </w: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4,837</w:t>
            </w:r>
          </w:p>
        </w:tc>
        <w:tc>
          <w:tcPr>
            <w:tcW w:w="140" w:type="dxa"/>
            <w:vAlign w:val="bottom"/>
            <w:shd w:val="clear" w:color="auto" w:fill="CFF0FC"/>
          </w:tcPr>
          <w:p>
            <w:pPr>
              <w:spacing w:after="0"/>
              <w:rPr>
                <w:sz w:val="18"/>
                <w:szCs w:val="18"/>
                <w:color w:val="auto"/>
              </w:rPr>
            </w:pPr>
          </w:p>
        </w:tc>
      </w:tr>
      <w:tr>
        <w:trPr>
          <w:trHeight w:val="213"/>
        </w:trPr>
        <w:tc>
          <w:tcPr>
            <w:tcW w:w="9360" w:type="dxa"/>
            <w:vAlign w:val="bottom"/>
          </w:tcPr>
          <w:p>
            <w:pPr>
              <w:spacing w:after="0"/>
              <w:rPr>
                <w:sz w:val="20"/>
                <w:szCs w:val="20"/>
                <w:color w:val="auto"/>
              </w:rPr>
            </w:pPr>
            <w:r>
              <w:rPr>
                <w:rFonts w:ascii="Arial" w:cs="Arial" w:eastAsia="Arial" w:hAnsi="Arial"/>
                <w:sz w:val="16"/>
                <w:szCs w:val="16"/>
                <w:color w:val="auto"/>
              </w:rPr>
              <w:t>Right-of-use assets obtained for operating lease liabilities</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33,757</w:t>
            </w:r>
          </w:p>
        </w:tc>
        <w:tc>
          <w:tcPr>
            <w:tcW w:w="140" w:type="dxa"/>
            <w:vAlign w:val="bottom"/>
          </w:tcPr>
          <w:p>
            <w:pPr>
              <w:spacing w:after="0"/>
              <w:rPr>
                <w:sz w:val="18"/>
                <w:szCs w:val="18"/>
                <w:color w:val="auto"/>
              </w:rPr>
            </w:pPr>
          </w:p>
        </w:tc>
      </w:tr>
      <w:tr>
        <w:trPr>
          <w:trHeight w:val="219"/>
        </w:trPr>
        <w:tc>
          <w:tcPr>
            <w:tcW w:w="93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w:t>
            </w: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FF0FC"/>
          </w:tcPr>
          <w:p>
            <w:pPr>
              <w:spacing w:after="0"/>
              <w:rPr>
                <w:sz w:val="19"/>
                <w:szCs w:val="19"/>
                <w:color w:val="auto"/>
              </w:rPr>
            </w:pPr>
          </w:p>
        </w:tc>
      </w:tr>
      <w:tr>
        <w:trPr>
          <w:trHeight w:val="210"/>
        </w:trPr>
        <w:tc>
          <w:tcPr>
            <w:tcW w:w="936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4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r>
    </w:tbl>
    <w:p>
      <w:pPr>
        <w:spacing w:after="0" w:line="397" w:lineRule="exact"/>
        <w:rPr>
          <w:sz w:val="20"/>
          <w:szCs w:val="20"/>
          <w:color w:val="auto"/>
        </w:rPr>
      </w:pPr>
    </w:p>
    <w:p>
      <w:pPr>
        <w:ind w:left="760" w:hanging="752"/>
        <w:spacing w:after="0"/>
        <w:tabs>
          <w:tab w:leader="none" w:pos="7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72" w:lineRule="exact"/>
        <w:rPr>
          <w:sz w:val="20"/>
          <w:szCs w:val="20"/>
          <w:color w:val="auto"/>
        </w:rPr>
      </w:pPr>
    </w:p>
    <w:p>
      <w:pPr>
        <w:ind w:firstLine="761"/>
        <w:spacing w:after="0" w:line="251" w:lineRule="auto"/>
        <w:rPr>
          <w:sz w:val="20"/>
          <w:szCs w:val="20"/>
          <w:color w:val="auto"/>
        </w:rPr>
      </w:pPr>
      <w:r>
        <w:rPr>
          <w:rFonts w:ascii="Arial" w:cs="Arial" w:eastAsia="Arial" w:hAnsi="Arial"/>
          <w:sz w:val="22"/>
          <w:szCs w:val="22"/>
          <w:color w:val="auto"/>
        </w:rPr>
        <w:t>The following table reconciles the difference between the statutory federal income tax rate for the Company and the effective income tax rate on continuing operations for the three months ended March 31,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FF0FC"/>
          </w:tcPr>
          <w:p>
            <w:pPr>
              <w:spacing w:after="0"/>
              <w:rPr>
                <w:sz w:val="20"/>
                <w:szCs w:val="20"/>
                <w:color w:val="auto"/>
              </w:rPr>
            </w:pPr>
            <w:r>
              <w:rPr>
                <w:rFonts w:ascii="Arial" w:cs="Arial" w:eastAsia="Arial" w:hAnsi="Arial"/>
                <w:sz w:val="16"/>
                <w:szCs w:val="16"/>
                <w:color w:val="auto"/>
              </w:rPr>
              <w:t>Statutory rate</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98"/>
              </w:rPr>
              <w:t>%</w:t>
            </w:r>
          </w:p>
        </w:tc>
      </w:tr>
      <w:tr>
        <w:trPr>
          <w:trHeight w:val="213"/>
        </w:trPr>
        <w:tc>
          <w:tcPr>
            <w:tcW w:w="92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84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18"/>
                <w:szCs w:val="18"/>
                <w:color w:val="auto"/>
              </w:rPr>
            </w:pPr>
          </w:p>
        </w:tc>
      </w:tr>
      <w:tr>
        <w:trPr>
          <w:trHeight w:val="219"/>
        </w:trPr>
        <w:tc>
          <w:tcPr>
            <w:tcW w:w="9200" w:type="dxa"/>
            <w:vAlign w:val="bottom"/>
            <w:shd w:val="clear" w:color="auto" w:fill="CFF0FC"/>
          </w:tcPr>
          <w:p>
            <w:pPr>
              <w:spacing w:after="0"/>
              <w:rPr>
                <w:sz w:val="20"/>
                <w:szCs w:val="20"/>
                <w:color w:val="auto"/>
              </w:rPr>
            </w:pPr>
            <w:r>
              <w:rPr>
                <w:rFonts w:ascii="Arial" w:cs="Arial" w:eastAsia="Arial" w:hAnsi="Arial"/>
                <w:sz w:val="16"/>
                <w:szCs w:val="16"/>
                <w:color w:val="auto"/>
              </w:rPr>
              <w:t>Foreign earnings not subject to U.S. income tax</w:t>
            </w: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w:t>
            </w:r>
          </w:p>
        </w:tc>
        <w:tc>
          <w:tcPr>
            <w:tcW w:w="380" w:type="dxa"/>
            <w:vAlign w:val="bottom"/>
            <w:shd w:val="clear" w:color="auto" w:fill="CFF0FC"/>
          </w:tcPr>
          <w:p>
            <w:pPr>
              <w:spacing w:after="0"/>
              <w:rPr>
                <w:sz w:val="19"/>
                <w:szCs w:val="19"/>
                <w:color w:val="auto"/>
              </w:rPr>
            </w:pPr>
          </w:p>
        </w:tc>
      </w:tr>
      <w:tr>
        <w:trPr>
          <w:trHeight w:val="213"/>
        </w:trPr>
        <w:tc>
          <w:tcPr>
            <w:tcW w:w="9200" w:type="dxa"/>
            <w:vAlign w:val="bottom"/>
          </w:tcPr>
          <w:p>
            <w:pPr>
              <w:spacing w:after="0"/>
              <w:rPr>
                <w:sz w:val="20"/>
                <w:szCs w:val="20"/>
                <w:color w:val="auto"/>
              </w:rPr>
            </w:pPr>
            <w:r>
              <w:rPr>
                <w:rFonts w:ascii="Arial" w:cs="Arial" w:eastAsia="Arial" w:hAnsi="Arial"/>
                <w:sz w:val="16"/>
                <w:szCs w:val="16"/>
                <w:color w:val="auto"/>
              </w:rPr>
              <w:t>Foreign taxes not creditable against U.S. income tax</w:t>
            </w:r>
          </w:p>
        </w:tc>
        <w:tc>
          <w:tcPr>
            <w:tcW w:w="184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c>
          <w:tcPr>
            <w:tcW w:w="380" w:type="dxa"/>
            <w:vAlign w:val="bottom"/>
          </w:tcPr>
          <w:p>
            <w:pPr>
              <w:spacing w:after="0"/>
              <w:rPr>
                <w:sz w:val="18"/>
                <w:szCs w:val="18"/>
                <w:color w:val="auto"/>
              </w:rPr>
            </w:pPr>
          </w:p>
        </w:tc>
      </w:tr>
      <w:tr>
        <w:trPr>
          <w:trHeight w:val="219"/>
        </w:trPr>
        <w:tc>
          <w:tcPr>
            <w:tcW w:w="92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r>
      <w:tr>
        <w:trPr>
          <w:trHeight w:val="207"/>
        </w:trPr>
        <w:tc>
          <w:tcPr>
            <w:tcW w:w="9200" w:type="dxa"/>
            <w:vAlign w:val="bottom"/>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7"/>
                <w:szCs w:val="17"/>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w w:val="98"/>
              </w:rPr>
              <w:t>%</w:t>
            </w:r>
          </w:p>
        </w:tc>
      </w:tr>
      <w:tr>
        <w:trPr>
          <w:trHeight w:val="20"/>
        </w:trPr>
        <w:tc>
          <w:tcPr>
            <w:tcW w:w="92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378" w:lineRule="exact"/>
        <w:rPr>
          <w:sz w:val="20"/>
          <w:szCs w:val="20"/>
          <w:color w:val="auto"/>
        </w:rPr>
      </w:pPr>
    </w:p>
    <w:p>
      <w:pPr>
        <w:ind w:left="760" w:hanging="752"/>
        <w:spacing w:after="0"/>
        <w:tabs>
          <w:tab w:leader="none" w:pos="7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INSTRUMENTS AND HEDGING STRATEGIES</w:t>
      </w:r>
    </w:p>
    <w:p>
      <w:pPr>
        <w:spacing w:after="0" w:line="172" w:lineRule="exact"/>
        <w:rPr>
          <w:sz w:val="20"/>
          <w:szCs w:val="20"/>
          <w:color w:val="auto"/>
        </w:rPr>
      </w:pPr>
    </w:p>
    <w:p>
      <w:pPr>
        <w:ind w:firstLine="761"/>
        <w:spacing w:after="0" w:line="251" w:lineRule="auto"/>
        <w:rPr>
          <w:sz w:val="20"/>
          <w:szCs w:val="20"/>
          <w:color w:val="auto"/>
        </w:rPr>
      </w:pPr>
      <w:r>
        <w:rPr>
          <w:rFonts w:ascii="Arial" w:cs="Arial" w:eastAsia="Arial" w:hAnsi="Arial"/>
          <w:sz w:val="22"/>
          <w:szCs w:val="22"/>
          <w:color w:val="auto"/>
        </w:rPr>
        <w:t>Derivative instruments are classified as either assets or liabilities based on their individual fair values. The fair values of the Company’s derivative instruments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ind w:left="440"/>
              <w:spacing w:after="0"/>
              <w:rPr>
                <w:sz w:val="20"/>
                <w:szCs w:val="20"/>
                <w:color w:val="auto"/>
              </w:rPr>
            </w:pPr>
            <w:r>
              <w:rPr>
                <w:rFonts w:ascii="Arial" w:cs="Arial" w:eastAsia="Arial" w:hAnsi="Arial"/>
                <w:sz w:val="16"/>
                <w:szCs w:val="16"/>
                <w:b w:val="1"/>
                <w:bCs w:val="1"/>
                <w:color w:val="auto"/>
              </w:rPr>
              <w:t>March 31, 2019</w:t>
            </w:r>
          </w:p>
        </w:tc>
        <w:tc>
          <w:tcPr>
            <w:tcW w:w="80" w:type="dxa"/>
            <w:vAlign w:val="bottom"/>
          </w:tcPr>
          <w:p>
            <w:pPr>
              <w:spacing w:after="0"/>
              <w:rPr>
                <w:sz w:val="18"/>
                <w:szCs w:val="18"/>
                <w:color w:val="auto"/>
              </w:rPr>
            </w:pPr>
          </w:p>
        </w:tc>
        <w:tc>
          <w:tcPr>
            <w:tcW w:w="20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December 31, 2018</w:t>
            </w:r>
          </w:p>
        </w:tc>
        <w:tc>
          <w:tcPr>
            <w:tcW w:w="420" w:type="dxa"/>
            <w:vAlign w:val="bottom"/>
          </w:tcPr>
          <w:p>
            <w:pPr>
              <w:spacing w:after="0"/>
              <w:rPr>
                <w:sz w:val="18"/>
                <w:szCs w:val="18"/>
                <w:color w:val="auto"/>
              </w:rPr>
            </w:pPr>
          </w:p>
        </w:tc>
      </w:tr>
      <w:tr>
        <w:trPr>
          <w:trHeight w:val="199"/>
        </w:trPr>
        <w:tc>
          <w:tcPr>
            <w:tcW w:w="6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Derivative</w:t>
            </w: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Derivative</w:t>
            </w:r>
          </w:p>
        </w:tc>
        <w:tc>
          <w:tcPr>
            <w:tcW w:w="420" w:type="dxa"/>
            <w:vAlign w:val="bottom"/>
          </w:tcPr>
          <w:p>
            <w:pPr>
              <w:spacing w:after="0"/>
              <w:rPr>
                <w:sz w:val="17"/>
                <w:szCs w:val="17"/>
                <w:color w:val="auto"/>
              </w:rPr>
            </w:pPr>
          </w:p>
        </w:tc>
      </w:tr>
      <w:tr>
        <w:trPr>
          <w:trHeight w:val="213"/>
        </w:trPr>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w:t>
            </w:r>
          </w:p>
        </w:tc>
        <w:tc>
          <w:tcPr>
            <w:tcW w:w="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Liability</w:t>
            </w:r>
          </w:p>
        </w:tc>
        <w:tc>
          <w:tcPr>
            <w:tcW w:w="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Asset</w:t>
            </w:r>
          </w:p>
        </w:tc>
        <w:tc>
          <w:tcPr>
            <w:tcW w:w="1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Liability</w:t>
            </w:r>
          </w:p>
        </w:tc>
        <w:tc>
          <w:tcPr>
            <w:tcW w:w="420" w:type="dxa"/>
            <w:vAlign w:val="bottom"/>
          </w:tcPr>
          <w:p>
            <w:pPr>
              <w:spacing w:after="0"/>
              <w:rPr>
                <w:sz w:val="18"/>
                <w:szCs w:val="18"/>
                <w:color w:val="auto"/>
              </w:rPr>
            </w:pPr>
          </w:p>
        </w:tc>
      </w:tr>
      <w:tr>
        <w:trPr>
          <w:trHeight w:val="213"/>
        </w:trPr>
        <w:tc>
          <w:tcPr>
            <w:tcW w:w="6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r>
      <w:tr>
        <w:trPr>
          <w:trHeight w:val="213"/>
        </w:trPr>
        <w:tc>
          <w:tcPr>
            <w:tcW w:w="6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rate swap agreements (cash flow hedges)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w:t>
            </w:r>
          </w:p>
        </w:tc>
        <w:tc>
          <w:tcPr>
            <w:tcW w:w="3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w w:val="87"/>
              </w:rPr>
              <w:t>—</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42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(1 )</w:t>
            </w:r>
          </w:p>
        </w:tc>
      </w:tr>
      <w:tr>
        <w:trPr>
          <w:trHeight w:val="213"/>
        </w:trPr>
        <w:tc>
          <w:tcPr>
            <w:tcW w:w="6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w:t>
            </w: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1,659</w:t>
            </w:r>
          </w:p>
        </w:tc>
        <w:tc>
          <w:tcPr>
            <w:tcW w:w="420" w:type="dxa"/>
            <w:vAlign w:val="bottom"/>
            <w:shd w:val="clear" w:color="auto" w:fill="CFF0FC"/>
          </w:tcPr>
          <w:p>
            <w:pPr>
              <w:spacing w:after="0"/>
              <w:rPr>
                <w:sz w:val="18"/>
                <w:szCs w:val="18"/>
                <w:color w:val="auto"/>
              </w:rPr>
            </w:pPr>
          </w:p>
        </w:tc>
      </w:tr>
      <w:tr>
        <w:trPr>
          <w:trHeight w:val="207"/>
        </w:trPr>
        <w:tc>
          <w:tcPr>
            <w:tcW w:w="634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r>
      <w:tr>
        <w:trPr>
          <w:trHeight w:val="216"/>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6,201</w:t>
            </w:r>
          </w:p>
        </w:tc>
        <w:tc>
          <w:tcPr>
            <w:tcW w:w="34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5,276</w:t>
            </w:r>
          </w:p>
        </w:tc>
        <w:tc>
          <w:tcPr>
            <w:tcW w:w="420" w:type="dxa"/>
            <w:vAlign w:val="bottom"/>
            <w:shd w:val="clear" w:color="auto" w:fill="CFF0FC"/>
          </w:tcPr>
          <w:p>
            <w:pPr>
              <w:spacing w:after="0"/>
              <w:rPr>
                <w:sz w:val="18"/>
                <w:szCs w:val="18"/>
                <w:color w:val="auto"/>
              </w:rPr>
            </w:pPr>
          </w:p>
        </w:tc>
      </w:tr>
      <w:tr>
        <w:trPr>
          <w:trHeight w:val="210"/>
        </w:trPr>
        <w:tc>
          <w:tcPr>
            <w:tcW w:w="6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8,496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6,935</w:t>
            </w:r>
          </w:p>
        </w:tc>
        <w:tc>
          <w:tcPr>
            <w:tcW w:w="42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29" w:lineRule="exact"/>
        <w:rPr>
          <w:sz w:val="20"/>
          <w:szCs w:val="20"/>
          <w:color w:val="auto"/>
        </w:rPr>
      </w:pPr>
    </w:p>
    <w:p>
      <w:pPr>
        <w:ind w:left="860" w:hanging="852"/>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other current liabilities 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690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b w:val="1"/>
          <w:bCs w:val="1"/>
          <w:i w:val="1"/>
          <w:iCs w:val="1"/>
          <w:color w:val="auto"/>
        </w:rPr>
        <w:t xml:space="preserve">Cash Flow Hedges. </w:t>
      </w:r>
      <w:r>
        <w:rPr>
          <w:rFonts w:ascii="Arial" w:cs="Arial" w:eastAsia="Arial" w:hAnsi="Arial"/>
          <w:sz w:val="22"/>
          <w:szCs w:val="22"/>
          <w:color w:val="auto"/>
        </w:rPr>
        <w:t>The Company and certain of its 50% or less owned companies have interest rate swap agreements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designated as cash flow hedges. By entering into these interest rate swap agreements, the Company and its 50% or less owned companies have converted the variable LIBOR or EURIBOR component of certain of their outstanding borrowings to a fixed interest rate. The Company recognized immaterial losses on derivative instruments designated as cash flow hedges during the three months ended March 31, 2019. As of March 31, 2019, the interest rate swaps held by the Company and its 50% or less owned companies were as follows:</w:t>
      </w:r>
    </w:p>
    <w:p>
      <w:pPr>
        <w:spacing w:after="0" w:line="80" w:lineRule="exact"/>
        <w:rPr>
          <w:sz w:val="20"/>
          <w:szCs w:val="20"/>
          <w:color w:val="auto"/>
        </w:rPr>
      </w:pPr>
    </w:p>
    <w:p>
      <w:pPr>
        <w:jc w:val="both"/>
        <w:ind w:left="1280" w:hanging="516"/>
        <w:spacing w:after="0" w:line="238" w:lineRule="auto"/>
        <w:tabs>
          <w:tab w:leader="none" w:pos="12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Windcat Workboats Holdings Ltd. (“Windcat Workboats”) had two interest rate swap agreements maturing in 2021 that call for the Company to pay a fixed rate of interest of (0.03%) per annum on the aggregate notional value of €15.0 million (approximately $16.9 million) and receive a variable interest rate based on EURIBOR on the aggregate notional value;</w:t>
      </w:r>
    </w:p>
    <w:p>
      <w:pPr>
        <w:spacing w:after="0" w:line="76" w:lineRule="exact"/>
        <w:rPr>
          <w:rFonts w:ascii="Arial" w:cs="Arial" w:eastAsia="Arial" w:hAnsi="Arial"/>
          <w:sz w:val="22"/>
          <w:szCs w:val="22"/>
          <w:color w:val="auto"/>
        </w:rPr>
      </w:pPr>
    </w:p>
    <w:p>
      <w:pPr>
        <w:jc w:val="both"/>
        <w:ind w:left="1280" w:hanging="516"/>
        <w:spacing w:after="0"/>
        <w:tabs>
          <w:tab w:leader="none" w:pos="12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SEACOR Marine Foreign Holdings Inc. (“SMFH”) had an interest rate swap agreement maturing in 2023 that calls for SMFH to pay a fixed rate of interest of 3.32% per annum on the amortized notional value of $9.5 million and receive a variable interest rate based on LIBOR on the amortized notional value;</w:t>
      </w:r>
    </w:p>
    <w:p>
      <w:pPr>
        <w:spacing w:after="0" w:line="78" w:lineRule="exact"/>
        <w:rPr>
          <w:rFonts w:ascii="Arial" w:cs="Arial" w:eastAsia="Arial" w:hAnsi="Arial"/>
          <w:sz w:val="22"/>
          <w:szCs w:val="22"/>
          <w:color w:val="auto"/>
        </w:rPr>
      </w:pPr>
    </w:p>
    <w:p>
      <w:pPr>
        <w:jc w:val="both"/>
        <w:ind w:left="1280" w:hanging="516"/>
        <w:spacing w:after="0"/>
        <w:tabs>
          <w:tab w:leader="none" w:pos="12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SMFH had an interest rate swap agreement maturing in 2023 that calls for SMFH to pay a fixed rate of interest of 3.195% per annum on the amortized notional value of $52.7 million and receive a variable interest rate based on LIBOR on the amortized notional value;</w:t>
      </w:r>
    </w:p>
    <w:p>
      <w:pPr>
        <w:spacing w:after="0" w:line="78" w:lineRule="exact"/>
        <w:rPr>
          <w:rFonts w:ascii="Arial" w:cs="Arial" w:eastAsia="Arial" w:hAnsi="Arial"/>
          <w:sz w:val="22"/>
          <w:szCs w:val="22"/>
          <w:color w:val="auto"/>
        </w:rPr>
      </w:pPr>
    </w:p>
    <w:p>
      <w:pPr>
        <w:jc w:val="both"/>
        <w:ind w:left="1280" w:hanging="516"/>
        <w:spacing w:after="0" w:line="238" w:lineRule="auto"/>
        <w:tabs>
          <w:tab w:leader="none" w:pos="12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SEACOR 88 LLC and SEACOR 888 LLC (collectively, “SEACOR 88/888”) have an interest rate swap agreement maturing in 2023 that calls for SEACOR 88/888 to pay a fixed rate of interest of 3.2% per annum on the amortized notional value of $5.5 million and receive a variable interest rate based on LIBOR on the amortized notional value; and</w:t>
      </w:r>
    </w:p>
    <w:p>
      <w:pPr>
        <w:spacing w:after="0" w:line="76" w:lineRule="exact"/>
        <w:rPr>
          <w:rFonts w:ascii="Arial" w:cs="Arial" w:eastAsia="Arial" w:hAnsi="Arial"/>
          <w:sz w:val="22"/>
          <w:szCs w:val="22"/>
          <w:color w:val="auto"/>
        </w:rPr>
      </w:pPr>
    </w:p>
    <w:p>
      <w:pPr>
        <w:jc w:val="both"/>
        <w:ind w:left="1280" w:hanging="516"/>
        <w:spacing w:after="0" w:line="258" w:lineRule="auto"/>
        <w:tabs>
          <w:tab w:leader="none" w:pos="12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MexMar had five interest rate swap agreements with maturities in 2023 that call for MexMar to pay a fixed rate of interest ranging from 1.71% to 2.10% per annum on the aggregate amortized notional value of $94.4 million and receive a variable interest rate based on LIBOR on the aggregate amortized notional value.</w:t>
      </w:r>
    </w:p>
    <w:p>
      <w:pPr>
        <w:spacing w:after="0" w:line="140"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Other Derivative Instruments. </w:t>
      </w:r>
      <w:r>
        <w:rPr>
          <w:rFonts w:ascii="Arial" w:cs="Arial" w:eastAsia="Arial" w:hAnsi="Arial"/>
          <w:sz w:val="22"/>
          <w:szCs w:val="22"/>
          <w:color w:val="auto"/>
        </w:rPr>
        <w:t>The Company recognized (losses) gains on derivative instruments not designated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hedging instruments for the three months ended March 31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Borders>
              <w:bottom w:val="single" w:sz="8" w:color="CFF0FC"/>
            </w:tcBorders>
          </w:tcPr>
          <w:p>
            <w:pPr>
              <w:spacing w:after="0"/>
              <w:rPr>
                <w:sz w:val="18"/>
                <w:szCs w:val="18"/>
                <w:color w:val="auto"/>
              </w:rPr>
            </w:pPr>
          </w:p>
        </w:tc>
        <w:tc>
          <w:tcPr>
            <w:tcW w:w="21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3200" w:type="dxa"/>
            <w:vAlign w:val="bottom"/>
            <w:gridSpan w:val="2"/>
            <w:shd w:val="clear" w:color="auto" w:fill="CFF0FC"/>
          </w:tcPr>
          <w:p>
            <w:pPr>
              <w:jc w:val="right"/>
              <w:ind w:right="939"/>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(925)</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(12,159)</w:t>
            </w:r>
          </w:p>
        </w:tc>
      </w:tr>
      <w:tr>
        <w:trPr>
          <w:trHeight w:val="213"/>
        </w:trPr>
        <w:tc>
          <w:tcPr>
            <w:tcW w:w="5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rate swap agreements</w:t>
            </w:r>
          </w:p>
        </w:tc>
        <w:tc>
          <w:tcPr>
            <w:tcW w:w="21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FF0FC"/>
            </w:tcBorders>
          </w:tcPr>
          <w:p>
            <w:pPr>
              <w:spacing w:after="0"/>
              <w:rPr>
                <w:sz w:val="18"/>
                <w:szCs w:val="18"/>
                <w:color w:val="auto"/>
              </w:rPr>
            </w:pPr>
          </w:p>
        </w:tc>
      </w:tr>
      <w:tr>
        <w:trPr>
          <w:trHeight w:val="210"/>
        </w:trPr>
        <w:tc>
          <w:tcPr>
            <w:tcW w:w="5760" w:type="dxa"/>
            <w:vAlign w:val="bottom"/>
            <w:shd w:val="clear" w:color="auto" w:fill="CFF0FC"/>
          </w:tcPr>
          <w:p>
            <w:pPr>
              <w:spacing w:after="0"/>
              <w:rPr>
                <w:sz w:val="18"/>
                <w:szCs w:val="18"/>
                <w:color w:val="auto"/>
              </w:rPr>
            </w:pPr>
          </w:p>
        </w:tc>
        <w:tc>
          <w:tcPr>
            <w:tcW w:w="3200" w:type="dxa"/>
            <w:vAlign w:val="bottom"/>
            <w:gridSpan w:val="2"/>
            <w:shd w:val="clear" w:color="auto" w:fill="CFF0FC"/>
          </w:tcPr>
          <w:p>
            <w:pPr>
              <w:jc w:val="right"/>
              <w:ind w:right="939"/>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(925)</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(11,516)</w:t>
            </w: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right="20" w:firstLine="761"/>
        <w:spacing w:after="0" w:line="251" w:lineRule="auto"/>
        <w:rPr>
          <w:sz w:val="20"/>
          <w:szCs w:val="20"/>
          <w:color w:val="auto"/>
        </w:rPr>
      </w:pPr>
      <w:r>
        <w:rPr>
          <w:rFonts w:ascii="Arial" w:cs="Arial" w:eastAsia="Arial" w:hAnsi="Arial"/>
          <w:sz w:val="22"/>
          <w:szCs w:val="22"/>
          <w:color w:val="auto"/>
        </w:rPr>
        <w:t>The conversion option liability relates to the bifurcated embedded conversion option in the Convertible Senior Notes issued to investment funds managed and controlled by the Carlyle Group (See Note 8, Fair Value Measures).</w:t>
      </w:r>
    </w:p>
    <w:p>
      <w:pPr>
        <w:spacing w:after="0" w:line="133"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The Company and certain of its 50% or less owned companies have entered into interest rate swap agreements that did not qualify as cash flow hedges for the general purpose of providing protection against increases in interest rates, which might lead to higher interest costs. As of March 31, 2019, these interest rate swaps held by the Company or its 50% or less owned companies were as follows:</w:t>
      </w:r>
    </w:p>
    <w:p>
      <w:pPr>
        <w:spacing w:after="0" w:line="77" w:lineRule="exact"/>
        <w:rPr>
          <w:sz w:val="20"/>
          <w:szCs w:val="20"/>
          <w:color w:val="auto"/>
        </w:rPr>
      </w:pPr>
    </w:p>
    <w:p>
      <w:pPr>
        <w:jc w:val="both"/>
        <w:ind w:left="1280" w:hanging="516"/>
        <w:spacing w:after="0" w:line="238" w:lineRule="auto"/>
        <w:tabs>
          <w:tab w:leader="none" w:pos="12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SEACOR OSV Partners I LP (“OSV Partners”) had two interest rate swap agreements with maturities in 2020 that call for OSV Partners to pay a fixed rate of interest ranging from 1.89% to 2.27% per annum on the aggregate amortized notional value of $26.6 million and receive a variable interest rate based on LIBOR on the aggregate amortized notional value.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760" w:hanging="752"/>
        <w:spacing w:after="0"/>
        <w:tabs>
          <w:tab w:leader="none" w:pos="7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172"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19"/>
          <w:szCs w:val="19"/>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19"/>
          <w:szCs w:val="19"/>
          <w:i w:val="1"/>
          <w:iCs w:val="1"/>
          <w:color w:val="auto"/>
        </w:rPr>
        <w:t>Level</w:t>
      </w:r>
      <w:r>
        <w:rPr>
          <w:rFonts w:ascii="Arial" w:cs="Arial" w:eastAsia="Arial" w:hAnsi="Arial"/>
          <w:sz w:val="19"/>
          <w:szCs w:val="19"/>
          <w:color w:val="auto"/>
        </w:rPr>
        <w:t xml:space="preserve"> 1 inputs are quoted prices in active markets for identical assets or liabilities. </w:t>
      </w:r>
      <w:r>
        <w:rPr>
          <w:rFonts w:ascii="Arial" w:cs="Arial" w:eastAsia="Arial" w:hAnsi="Arial"/>
          <w:sz w:val="19"/>
          <w:szCs w:val="19"/>
          <w:i w:val="1"/>
          <w:iCs w:val="1"/>
          <w:color w:val="auto"/>
        </w:rPr>
        <w:t>Level</w:t>
      </w:r>
      <w:r>
        <w:rPr>
          <w:rFonts w:ascii="Arial" w:cs="Arial" w:eastAsia="Arial" w:hAnsi="Arial"/>
          <w:sz w:val="19"/>
          <w:szCs w:val="19"/>
          <w:color w:val="auto"/>
        </w:rPr>
        <w:t xml:space="preserve"> 2 inputs are observable inputs other than quoted prices included in </w:t>
      </w:r>
      <w:r>
        <w:rPr>
          <w:rFonts w:ascii="Arial" w:cs="Arial" w:eastAsia="Arial" w:hAnsi="Arial"/>
          <w:sz w:val="19"/>
          <w:szCs w:val="19"/>
          <w:i w:val="1"/>
          <w:iCs w:val="1"/>
          <w:color w:val="auto"/>
        </w:rPr>
        <w:t>Level</w:t>
      </w:r>
      <w:r>
        <w:rPr>
          <w:rFonts w:ascii="Arial" w:cs="Arial" w:eastAsia="Arial" w:hAnsi="Arial"/>
          <w:sz w:val="19"/>
          <w:szCs w:val="19"/>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19"/>
          <w:szCs w:val="19"/>
          <w:i w:val="1"/>
          <w:iCs w:val="1"/>
          <w:color w:val="auto"/>
        </w:rPr>
        <w:t>Level</w:t>
      </w:r>
      <w:r>
        <w:rPr>
          <w:rFonts w:ascii="Arial" w:cs="Arial" w:eastAsia="Arial" w:hAnsi="Arial"/>
          <w:sz w:val="19"/>
          <w:szCs w:val="19"/>
          <w:color w:val="auto"/>
        </w:rPr>
        <w:t xml:space="preserve"> 3 inputs are unobservable inputs that are supported by little or no market activity and are significant to the fair value of the assets or liabilities.</w:t>
      </w:r>
    </w:p>
    <w:p>
      <w:pPr>
        <w:spacing w:after="0" w:line="132"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The Company’s financial assets and liabilities as of March 31, 2019 that are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6640" w:type="dxa"/>
            <w:vAlign w:val="bottom"/>
            <w:tcBorders>
              <w:bottom w:val="single" w:sz="8" w:color="auto"/>
            </w:tcBorders>
          </w:tcPr>
          <w:p>
            <w:pPr>
              <w:ind w:left="2780"/>
              <w:spacing w:after="0"/>
              <w:rPr>
                <w:sz w:val="20"/>
                <w:szCs w:val="20"/>
                <w:color w:val="auto"/>
              </w:rPr>
            </w:pPr>
            <w:r>
              <w:rPr>
                <w:rFonts w:ascii="Arial" w:cs="Arial" w:eastAsia="Arial" w:hAnsi="Arial"/>
                <w:sz w:val="16"/>
                <w:szCs w:val="16"/>
                <w:b w:val="1"/>
                <w:bCs w:val="1"/>
                <w:color w:val="auto"/>
              </w:rPr>
              <w:t>March 31, 2019</w:t>
            </w:r>
          </w:p>
        </w:tc>
        <w:tc>
          <w:tcPr>
            <w:tcW w:w="1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1080" w:type="dxa"/>
            <w:vAlign w:val="bottom"/>
            <w:tcBorders>
              <w:top w:val="single" w:sz="8" w:color="auto"/>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1100" w:type="dxa"/>
            <w:vAlign w:val="bottom"/>
            <w:tcBorders>
              <w:top w:val="single" w:sz="8" w:color="auto"/>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1100" w:type="dxa"/>
            <w:vAlign w:val="bottom"/>
            <w:tcBorders>
              <w:top w:val="single" w:sz="8" w:color="auto"/>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3"/>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6"/>
                <w:szCs w:val="16"/>
                <w:color w:val="auto"/>
              </w:rPr>
              <w:t>Construction reserve funds</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28,109</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2"/>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6,201</w:t>
            </w:r>
          </w:p>
        </w:tc>
        <w:tc>
          <w:tcPr>
            <w:tcW w:w="100" w:type="dxa"/>
            <w:vAlign w:val="bottom"/>
            <w:shd w:val="clear" w:color="auto" w:fill="CFF0FC"/>
          </w:tcPr>
          <w:p>
            <w:pPr>
              <w:spacing w:after="0"/>
              <w:rPr>
                <w:sz w:val="19"/>
                <w:szCs w:val="19"/>
                <w:color w:val="auto"/>
              </w:rPr>
            </w:pPr>
          </w:p>
        </w:tc>
      </w:tr>
      <w:tr>
        <w:trPr>
          <w:trHeight w:val="213"/>
        </w:trPr>
        <w:tc>
          <w:tcPr>
            <w:tcW w:w="6640" w:type="dxa"/>
            <w:vAlign w:val="bottom"/>
            <w:tcBorders>
              <w:bottom w:val="single" w:sz="8" w:color="auto"/>
            </w:tcBorders>
          </w:tcPr>
          <w:p>
            <w:pPr>
              <w:ind w:left="266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6"/>
                <w:szCs w:val="16"/>
                <w:color w:val="auto"/>
              </w:rPr>
              <w:t>Construction reserve funds</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28,221</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2"/>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5,276</w:t>
            </w:r>
          </w:p>
        </w:tc>
        <w:tc>
          <w:tcPr>
            <w:tcW w:w="100" w:type="dxa"/>
            <w:vAlign w:val="bottom"/>
            <w:shd w:val="clear" w:color="auto" w:fill="CFF0FC"/>
          </w:tcPr>
          <w:p>
            <w:pPr>
              <w:spacing w:after="0"/>
              <w:rPr>
                <w:sz w:val="19"/>
                <w:szCs w:val="19"/>
                <w:color w:val="auto"/>
              </w:rPr>
            </w:pPr>
          </w:p>
        </w:tc>
      </w:tr>
    </w:tbl>
    <w:p>
      <w:pPr>
        <w:spacing w:after="0" w:line="189"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b w:val="1"/>
          <w:bCs w:val="1"/>
          <w:i w:val="1"/>
          <w:iCs w:val="1"/>
          <w:color w:val="auto"/>
        </w:rPr>
        <w:t xml:space="preserve">Level </w:t>
      </w:r>
      <w:r>
        <w:rPr>
          <w:rFonts w:ascii="Arial" w:cs="Arial" w:eastAsia="Arial" w:hAnsi="Arial"/>
          <w:sz w:val="22"/>
          <w:szCs w:val="22"/>
          <w:b w:val="1"/>
          <w:bCs w:val="1"/>
          <w:color w:val="auto"/>
        </w:rPr>
        <w:t>3</w:t>
      </w:r>
      <w:r>
        <w:rPr>
          <w:rFonts w:ascii="Arial" w:cs="Arial" w:eastAsia="Arial" w:hAnsi="Arial"/>
          <w:sz w:val="22"/>
          <w:szCs w:val="22"/>
          <w:b w:val="1"/>
          <w:bCs w:val="1"/>
          <w:i w:val="1"/>
          <w:iCs w:val="1"/>
          <w:color w:val="auto"/>
        </w:rPr>
        <w:t xml:space="preserve"> Measurement</w:t>
      </w:r>
      <w:r>
        <w:rPr>
          <w:rFonts w:ascii="Arial" w:cs="Arial" w:eastAsia="Arial" w:hAnsi="Arial"/>
          <w:sz w:val="22"/>
          <w:szCs w:val="22"/>
          <w:color w:val="auto"/>
        </w:rPr>
        <w:t>. The fair value of the conversion option liability on the Convertible Senior Notes is estimated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significant inputs that are both observable and unobservable in the market and therefore is considered a </w:t>
      </w:r>
      <w:r>
        <w:rPr>
          <w:rFonts w:ascii="Arial" w:cs="Arial" w:eastAsia="Arial" w:hAnsi="Arial"/>
          <w:sz w:val="22"/>
          <w:szCs w:val="22"/>
          <w:i w:val="1"/>
          <w:iCs w:val="1"/>
          <w:color w:val="auto"/>
        </w:rPr>
        <w:t>Level</w:t>
      </w:r>
      <w:r>
        <w:rPr>
          <w:rFonts w:ascii="Arial" w:cs="Arial" w:eastAsia="Arial" w:hAnsi="Arial"/>
          <w:sz w:val="22"/>
          <w:szCs w:val="22"/>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transportation and energy industries.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The estimated fair values of the Company’s other financial assets and liabilities as of March 31, 2019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Estimated Fair Value</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5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March 31, 2019</w:t>
            </w:r>
          </w:p>
        </w:tc>
        <w:tc>
          <w:tcPr>
            <w:tcW w:w="1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CFF0FC"/>
            </w:tcBorders>
          </w:tcPr>
          <w:p>
            <w:pPr>
              <w:spacing w:after="0"/>
              <w:rPr>
                <w:sz w:val="18"/>
                <w:szCs w:val="18"/>
                <w:color w:val="auto"/>
              </w:rPr>
            </w:pPr>
          </w:p>
        </w:tc>
        <w:tc>
          <w:tcPr>
            <w:tcW w:w="100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CFF0FC"/>
            </w:tcBorders>
          </w:tcPr>
          <w:p>
            <w:pPr>
              <w:spacing w:after="0"/>
              <w:rPr>
                <w:sz w:val="18"/>
                <w:szCs w:val="18"/>
                <w:color w:val="auto"/>
              </w:rPr>
            </w:pPr>
          </w:p>
        </w:tc>
        <w:tc>
          <w:tcPr>
            <w:tcW w:w="98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CFF0FC"/>
            </w:tcBorders>
          </w:tcPr>
          <w:p>
            <w:pPr>
              <w:spacing w:after="0"/>
              <w:rPr>
                <w:sz w:val="18"/>
                <w:szCs w:val="18"/>
                <w:color w:val="auto"/>
              </w:rPr>
            </w:pPr>
          </w:p>
        </w:tc>
        <w:tc>
          <w:tcPr>
            <w:tcW w:w="98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880" w:type="dxa"/>
            <w:vAlign w:val="bottom"/>
            <w:tcBorders>
              <w:top w:val="single" w:sz="8" w:color="auto"/>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3"/>
        </w:trPr>
        <w:tc>
          <w:tcPr>
            <w:tcW w:w="5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66,095</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66,095</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Investments, at cost, in 50% or less owned companies (included in other assets)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see below</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401,770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387,937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r>
        <w:trPr>
          <w:trHeight w:val="213"/>
        </w:trPr>
        <w:tc>
          <w:tcPr>
            <w:tcW w:w="5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5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96,852</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96,852</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Investments, at cost, in 50% or less owned companies (included in other assets)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see below</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404,666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388,949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It was not practicable to estimate the fair value of certain of the Company’s investments, at cost, in 50% or less owned companies because of the lack of quoted market prices and the inability to estimate fair value without incurring excessive costs. Considerable judgment was required in developing certain of the estimates of fair value and, accordingly, the estimates presented herein are not necessarily indicative of the amounts that the Company could realize in a current market exchange.</w:t>
      </w:r>
    </w:p>
    <w:p>
      <w:pPr>
        <w:spacing w:after="0" w:line="164"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The Company had no other assets and liabilities that were measured at fair value, and recognized no impairment charges, during the three months ended March 31, 2019.</w:t>
      </w:r>
    </w:p>
    <w:p>
      <w:pPr>
        <w:spacing w:after="0" w:line="127"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WARRANTS</w:t>
      </w:r>
    </w:p>
    <w:p>
      <w:pPr>
        <w:spacing w:after="0" w:line="172"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9"/>
          <w:szCs w:val="19"/>
          <w:color w:val="auto"/>
        </w:rPr>
        <w:t>On April 26, 2018, the Company closed a private placement of its Common Stock and Warrants to purchase its Common Stock (which were issued to certain investors in place of Common Stock to facilitate compliance with Jones Act restrictions) for aggregate gross proceeds of $56,855,000 (the “PIPE Private Placement”) with certain qualified institutional buyers and other accredited investors. The PIPE Private Placement included the issuance of 2,168,586 shares of Common Stock and Warrants to purchase 674,164 shares of the Common Stock at an exercise price of $0.01 per share (the “PIPE Warrants”). The PIPE Warrants were issued to Proyectos Globales de Energía y Servicios CME, S.A. de C.V. a variable capital corporation (sociedad anónima de capital variable) incorporated and existing under the laws of the United Mexican States (“CME”) on April 26, 2018, have a 25-year term and an exercise price of $0.01 per share. On May 2, 2018, the Company and Carlyle entered into an amendment and exchange agreement pursuant to which Carlyle exchanged $50.0 million in principal amount of the Convertible Senior Notes for warrants in order to purchase 1,886,292 shares of common stock at an exercise price of $0.01 per share (the “Exchange Warrants” and, together with the PIPE Warrants, the “Warrants”). The Exchange Warrants have a 25-year term, which commenced May 2, 2018. On May 31, 2018 and June 8, 2018, 250,693 and 38,857 of the PIPE Warrants were exercised, respectively for $0.01 per share, which left 2,271,406 Warrants outstanding as of March 31, 2019.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w:t>
      </w:r>
    </w:p>
    <w:p>
      <w:pPr>
        <w:spacing w:after="0" w:line="172"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The impact of adopting ASC 842 resulted in an increase of $10.4 million, net of tax, to the Company’s opening retained earnings for the current period.</w:t>
      </w:r>
    </w:p>
    <w:p>
      <w:pPr>
        <w:spacing w:after="0" w:line="146"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color w:val="auto"/>
        </w:rPr>
        <w:t>On January 9, 2019, certain indirect wholly-owned subsidiaries of SEACOR Marine acquired three FSVs in exchange for the private placement of 603,872 shares of its Common Stock to domestic U.S. holders affiliated with the McCall family of Louisiana. The value of the vessels and the Common Stock was $7.8 million based on the closing price of a share of Common Stock on the NYSE on the day of the exchange. The Common Stock was issued in reliance upon the exemption from registration provided by Section 4(a)(2) of the Securities Act. The Company has operated the acquired vessels for the past ten years under a revenue sharing pooling agreement that included four of its owned FSVs of similar specification. In accordance with its terms, this pooling agreement was terminated.</w:t>
      </w:r>
    </w:p>
    <w:p>
      <w:pPr>
        <w:spacing w:after="0" w:line="218" w:lineRule="exact"/>
        <w:rPr>
          <w:sz w:val="20"/>
          <w:szCs w:val="20"/>
          <w:color w:val="auto"/>
        </w:rPr>
      </w:pPr>
    </w:p>
    <w:p>
      <w:pPr>
        <w:jc w:val="both"/>
        <w:ind w:firstLine="761"/>
        <w:spacing w:after="0" w:line="245" w:lineRule="auto"/>
        <w:rPr>
          <w:sz w:val="20"/>
          <w:szCs w:val="20"/>
          <w:color w:val="auto"/>
        </w:rPr>
      </w:pPr>
      <w:r>
        <w:rPr>
          <w:rFonts w:ascii="Arial" w:cs="Arial" w:eastAsia="Arial" w:hAnsi="Arial"/>
          <w:sz w:val="21"/>
          <w:szCs w:val="21"/>
          <w:color w:val="auto"/>
        </w:rPr>
        <w:t>On January 25, 2019, Seabulk Overseas Transport, Inc. (“Seabulk Overseas”), a wholly-owned subsidiary of SEACOR Marine, acquired a 6.25% minority interest in Windcat Workboats that it did not previously own upon the exercise of certain put options by one of the two minority owners pursuant to the terms of a subscription and shareholders agreement, as amended (the “Subscription and Shareholders Agreement”), in exchange for consideration of £1.5 million (approximately $2.0 million) in cash. The Company acquired the other 6.25% minority interest in Windcat Workboats that the Company did not already own on March 15, 2019 in exchange for consideration of 50,000 shares of Common Stock and €1.2 million (approximately $1.4 million) in cash. The Common Stock was issued in a private placement in reliance upon the exemption from registration provided by Section 4(a)(2) of the Securities Act. The two acquisitions resulted in Seabulk Overseas owning (and SEACOR Marine indirectly owning) 100% of Windcat Workboats.</w:t>
      </w:r>
    </w:p>
    <w:p>
      <w:pPr>
        <w:spacing w:after="0" w:line="139"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NONCONTROLLING INTERESTS IN SUBSIDIARIES</w:t>
      </w:r>
    </w:p>
    <w:p>
      <w:pPr>
        <w:spacing w:after="0" w:line="171"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22"/>
          <w:szCs w:val="22"/>
          <w:color w:val="auto"/>
        </w:rPr>
        <w:t>Noncontrolling interests in the Company’s consolidated subsidiaries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1"/>
              </w:rPr>
              <w:t>Noncontrolling</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70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Interests</w:t>
            </w:r>
          </w:p>
        </w:tc>
        <w:tc>
          <w:tcPr>
            <w:tcW w:w="3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3"/>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Falcon Global Holdings</w:t>
            </w:r>
          </w:p>
        </w:tc>
        <w:tc>
          <w:tcPr>
            <w:tcW w:w="13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28%</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24,261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26,989</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6"/>
                <w:szCs w:val="16"/>
                <w:color w:val="auto"/>
              </w:rPr>
              <w:t>Windcat Workboats</w:t>
            </w:r>
          </w:p>
        </w:tc>
        <w:tc>
          <w:tcPr>
            <w:tcW w:w="1340" w:type="dxa"/>
            <w:vAlign w:val="bottom"/>
          </w:tcPr>
          <w:p>
            <w:pPr>
              <w:jc w:val="center"/>
              <w:spacing w:after="0"/>
              <w:rPr>
                <w:sz w:val="20"/>
                <w:szCs w:val="20"/>
                <w:color w:val="auto"/>
              </w:rPr>
            </w:pPr>
            <w:r>
              <w:rPr>
                <w:rFonts w:ascii="Arial" w:cs="Arial" w:eastAsia="Arial" w:hAnsi="Arial"/>
                <w:sz w:val="16"/>
                <w:szCs w:val="16"/>
                <w:color w:val="auto"/>
                <w:w w:val="86"/>
              </w:rPr>
              <w:t>0%</w:t>
            </w: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2,115</w:t>
            </w:r>
          </w:p>
        </w:tc>
        <w:tc>
          <w:tcPr>
            <w:tcW w:w="120" w:type="dxa"/>
            <w:vAlign w:val="bottom"/>
          </w:tcPr>
          <w:p>
            <w:pPr>
              <w:spacing w:after="0"/>
              <w:rPr>
                <w:sz w:val="18"/>
                <w:szCs w:val="18"/>
                <w:color w:val="auto"/>
              </w:rPr>
            </w:pPr>
          </w:p>
        </w:tc>
      </w:tr>
      <w:tr>
        <w:trPr>
          <w:trHeight w:val="213"/>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3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1.8%</w:t>
            </w:r>
          </w:p>
        </w:tc>
        <w:tc>
          <w:tcPr>
            <w:tcW w:w="3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FF0FC"/>
          </w:tcPr>
          <w:p>
            <w:pPr>
              <w:spacing w:after="0"/>
              <w:rPr>
                <w:sz w:val="18"/>
                <w:szCs w:val="18"/>
                <w:color w:val="auto"/>
              </w:rPr>
            </w:pPr>
          </w:p>
        </w:tc>
      </w:tr>
      <w:tr>
        <w:trPr>
          <w:trHeight w:val="207"/>
        </w:trPr>
        <w:tc>
          <w:tcPr>
            <w:tcW w:w="6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24,566</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29,404</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3810</wp:posOffset>
            </wp:positionV>
            <wp:extent cx="18611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1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As of March 31, 2019; at December 31, 2018, noncontrolling interest was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-130175</wp:posOffset>
            </wp:positionV>
            <wp:extent cx="18611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198"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b w:val="1"/>
          <w:bCs w:val="1"/>
          <w:i w:val="1"/>
          <w:iCs w:val="1"/>
          <w:color w:val="auto"/>
        </w:rPr>
        <w:t xml:space="preserve">Falcon Global Holdings. </w:t>
      </w:r>
      <w:r>
        <w:rPr>
          <w:rFonts w:ascii="Arial" w:cs="Arial" w:eastAsia="Arial" w:hAnsi="Arial"/>
          <w:sz w:val="22"/>
          <w:szCs w:val="22"/>
          <w:color w:val="auto"/>
        </w:rPr>
        <w:t>The Company consolidates Falcon Global Holdings LLC (“FGH”) as the Company holds 72%</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equity interest in FGH and is entitled to appoint a majority of the board of managers of FGH. During the three months ended March 31, 2019 and 2018, the net loss of FGH was $9.7 million and $9.3 million, respectively, of which $2.7 million and $2.6 million, respectively, was attributable to noncontrolling interests.</w:t>
      </w:r>
    </w:p>
    <w:p>
      <w:pPr>
        <w:spacing w:after="0" w:line="212" w:lineRule="exact"/>
        <w:rPr>
          <w:sz w:val="20"/>
          <w:szCs w:val="20"/>
          <w:color w:val="auto"/>
        </w:rPr>
      </w:pPr>
    </w:p>
    <w:p>
      <w:pPr>
        <w:jc w:val="both"/>
        <w:ind w:firstLine="761"/>
        <w:spacing w:after="0" w:line="249" w:lineRule="auto"/>
        <w:rPr>
          <w:sz w:val="20"/>
          <w:szCs w:val="20"/>
          <w:color w:val="auto"/>
        </w:rPr>
      </w:pPr>
      <w:r>
        <w:rPr>
          <w:rFonts w:ascii="Arial" w:cs="Arial" w:eastAsia="Arial" w:hAnsi="Arial"/>
          <w:sz w:val="21"/>
          <w:szCs w:val="21"/>
          <w:b w:val="1"/>
          <w:bCs w:val="1"/>
          <w:i w:val="1"/>
          <w:iCs w:val="1"/>
          <w:color w:val="auto"/>
        </w:rPr>
        <w:t xml:space="preserve">Windcat Workboats. </w:t>
      </w:r>
      <w:r>
        <w:rPr>
          <w:rFonts w:ascii="Arial" w:cs="Arial" w:eastAsia="Arial" w:hAnsi="Arial"/>
          <w:sz w:val="21"/>
          <w:szCs w:val="21"/>
          <w:color w:val="auto"/>
        </w:rPr>
        <w:t>Prior to January 25, 2019, Seabulk Overseas, a wholly owned subsidiary of the Company, owned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87% of Windcat Workboats. On January 25, 2019, Seabulk Overseas acquired a 6.25% minority interest in Windcat Workboats that it did not previously own. Seabulk Overseas acquired the remaining 6.25% interest in Windcat Workboats that the Company did not already own on March 15, 2019. For the three months ended March 31, 2018, the net loss of Windcat Workboats was $1.9 million and $0.2 million was attributed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172"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9"/>
          <w:szCs w:val="19"/>
          <w:color w:val="auto"/>
        </w:rPr>
        <w:t>As of March 31, 2019, the Company’s unfunded capital commitments were $85.7 million for one FSV, two supply vessels, three crew transfer vessels (“CTV”) and three PSVs</w:t>
      </w:r>
      <w:r>
        <w:rPr>
          <w:rFonts w:ascii="Arial" w:cs="Arial" w:eastAsia="Arial" w:hAnsi="Arial"/>
          <w:sz w:val="17"/>
          <w:szCs w:val="17"/>
          <w:color w:val="auto"/>
        </w:rPr>
        <w:t>.</w:t>
      </w:r>
      <w:r>
        <w:rPr>
          <w:rFonts w:ascii="Arial" w:cs="Arial" w:eastAsia="Arial" w:hAnsi="Arial"/>
          <w:sz w:val="19"/>
          <w:szCs w:val="19"/>
          <w:color w:val="auto"/>
        </w:rPr>
        <w:t xml:space="preserve"> Of the amount of unfunded capital commitments, $54.0 million is payable during the remainder of 2019 and $31.7 million is payable during 2020. The Company has indefinitely deferred an additional $20.2 million of orders with respect to two FSVs for which the Company had previously reported unfunded capital commitments.</w:t>
      </w:r>
    </w:p>
    <w:p>
      <w:pPr>
        <w:spacing w:after="0" w:line="103"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As of March 31, 2019, the Company has guaranteed certain performance contracts of one of its subsidiaries by setting aside £0.9 million from its available borrowing under an unsecured line of credit. If the contract were not fulfilled, the line of credit would be drawn to fund the guarantee.</w:t>
      </w:r>
    </w:p>
    <w:p>
      <w:pPr>
        <w:spacing w:after="0" w:line="146"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As of March 31, 2019, SEACOR Holdings Inc. (“SEACOR Holdings”) has guaranteed $36.6 million on behalf of the Company for various obligations including: performance obligations under sale-leaseback arrangements and invoiced amounts for funding deficits under the U.K. Merchant Navy Officers Pension Fund (“MNOPF”). Pursuant to a Distribution Agreement with SEACOR Holdings, SEACOR Holdings charges the Company a fee of 0.5% on outstanding guaranteed amounts, which declines as the obligations are settled by the Company.</w:t>
      </w:r>
    </w:p>
    <w:p>
      <w:pPr>
        <w:spacing w:after="0" w:line="161" w:lineRule="exact"/>
        <w:rPr>
          <w:sz w:val="20"/>
          <w:szCs w:val="20"/>
          <w:color w:val="auto"/>
        </w:rPr>
      </w:pPr>
    </w:p>
    <w:p>
      <w:pPr>
        <w:jc w:val="both"/>
        <w:ind w:firstLine="761"/>
        <w:spacing w:after="0" w:line="248"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31"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COMMON STOCK AND RELATED MATTERS</w:t>
      </w:r>
    </w:p>
    <w:p>
      <w:pPr>
        <w:spacing w:after="0" w:line="172"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Transactions in connection with the Company's 2017 Equity Incentive Plan during the three months ended March 31, 2019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Restricted Stock Activity:</w:t>
            </w: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400" w:type="dxa"/>
            <w:vAlign w:val="bottom"/>
            <w:gridSpan w:val="2"/>
          </w:tcPr>
          <w:p>
            <w:pPr>
              <w:spacing w:after="0"/>
              <w:rPr>
                <w:sz w:val="20"/>
                <w:szCs w:val="20"/>
                <w:color w:val="auto"/>
              </w:rPr>
            </w:pPr>
            <w:r>
              <w:rPr>
                <w:rFonts w:ascii="Arial" w:cs="Arial" w:eastAsia="Arial" w:hAnsi="Arial"/>
                <w:sz w:val="16"/>
                <w:szCs w:val="16"/>
                <w:color w:val="auto"/>
              </w:rPr>
              <w:t>Outstanding as of December 31, 2018</w:t>
            </w:r>
          </w:p>
        </w:tc>
        <w:tc>
          <w:tcPr>
            <w:tcW w:w="1920" w:type="dxa"/>
            <w:vAlign w:val="bottom"/>
          </w:tcPr>
          <w:p>
            <w:pPr>
              <w:jc w:val="right"/>
              <w:spacing w:after="0"/>
              <w:rPr>
                <w:sz w:val="20"/>
                <w:szCs w:val="20"/>
                <w:color w:val="auto"/>
              </w:rPr>
            </w:pPr>
            <w:r>
              <w:rPr>
                <w:rFonts w:ascii="Arial" w:cs="Arial" w:eastAsia="Arial" w:hAnsi="Arial"/>
                <w:sz w:val="16"/>
                <w:szCs w:val="16"/>
                <w:color w:val="auto"/>
              </w:rPr>
              <w:t>192,346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400" w:type="dxa"/>
            <w:vAlign w:val="bottom"/>
            <w:gridSpan w:val="2"/>
          </w:tcPr>
          <w:p>
            <w:pPr>
              <w:spacing w:after="0"/>
              <w:rPr>
                <w:sz w:val="20"/>
                <w:szCs w:val="20"/>
                <w:color w:val="auto"/>
              </w:rPr>
            </w:pPr>
            <w:r>
              <w:rPr>
                <w:rFonts w:ascii="Arial" w:cs="Arial" w:eastAsia="Arial" w:hAnsi="Arial"/>
                <w:sz w:val="16"/>
                <w:szCs w:val="16"/>
                <w:color w:val="auto"/>
              </w:rPr>
              <w:t>Forfeited</w:t>
            </w:r>
          </w:p>
        </w:tc>
        <w:tc>
          <w:tcPr>
            <w:tcW w:w="192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as of March 31, 2019</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129,080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9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Stock Option Activity:</w:t>
            </w: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400" w:type="dxa"/>
            <w:vAlign w:val="bottom"/>
            <w:gridSpan w:val="2"/>
          </w:tcPr>
          <w:p>
            <w:pPr>
              <w:spacing w:after="0"/>
              <w:rPr>
                <w:sz w:val="20"/>
                <w:szCs w:val="20"/>
                <w:color w:val="auto"/>
              </w:rPr>
            </w:pPr>
            <w:r>
              <w:rPr>
                <w:rFonts w:ascii="Arial" w:cs="Arial" w:eastAsia="Arial" w:hAnsi="Arial"/>
                <w:sz w:val="16"/>
                <w:szCs w:val="16"/>
                <w:color w:val="auto"/>
              </w:rPr>
              <w:t>Outstanding as of December 31, 2018</w:t>
            </w:r>
          </w:p>
        </w:tc>
        <w:tc>
          <w:tcPr>
            <w:tcW w:w="1920" w:type="dxa"/>
            <w:vAlign w:val="bottom"/>
          </w:tcPr>
          <w:p>
            <w:pPr>
              <w:jc w:val="right"/>
              <w:spacing w:after="0"/>
              <w:rPr>
                <w:sz w:val="20"/>
                <w:szCs w:val="20"/>
                <w:color w:val="auto"/>
              </w:rPr>
            </w:pPr>
            <w:r>
              <w:rPr>
                <w:rFonts w:ascii="Arial" w:cs="Arial" w:eastAsia="Arial" w:hAnsi="Arial"/>
                <w:sz w:val="16"/>
                <w:szCs w:val="16"/>
                <w:color w:val="auto"/>
              </w:rPr>
              <w:t>805,566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400" w:type="dxa"/>
            <w:vAlign w:val="bottom"/>
            <w:gridSpan w:val="2"/>
          </w:tcPr>
          <w:p>
            <w:pPr>
              <w:spacing w:after="0"/>
              <w:rPr>
                <w:sz w:val="20"/>
                <w:szCs w:val="20"/>
                <w:color w:val="auto"/>
              </w:rPr>
            </w:pPr>
            <w:r>
              <w:rPr>
                <w:rFonts w:ascii="Arial" w:cs="Arial" w:eastAsia="Arial" w:hAnsi="Arial"/>
                <w:sz w:val="16"/>
                <w:szCs w:val="16"/>
                <w:color w:val="auto"/>
              </w:rPr>
              <w:t>Forfeited</w:t>
            </w:r>
          </w:p>
        </w:tc>
        <w:tc>
          <w:tcPr>
            <w:tcW w:w="192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as of March 31, 2019</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791,816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9"/>
          <w:szCs w:val="19"/>
          <w:color w:val="auto"/>
        </w:rPr>
        <w:t>For the three months ended March 31, 2019, the Company acquired for treasury 21,551 shares of Common Stock for an aggregate purchase price of $281,833 from its employees to cover their tax withholding obligations upon the lapsing of restrictions on share awards. These shares were purchased in accordance with the terms of the Company's 2017 Equity Incentive Plan.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760" w:hanging="752"/>
        <w:spacing w:after="0"/>
        <w:tabs>
          <w:tab w:leader="none" w:pos="76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SEGMENT INFORMATION</w:t>
      </w:r>
    </w:p>
    <w:p>
      <w:pPr>
        <w:spacing w:after="0" w:line="172"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9"/>
          <w:szCs w:val="19"/>
          <w:color w:val="auto"/>
        </w:rPr>
        <w:t>The Company’s segment presentation and basis of measurement of segment profit or loss are as previously described in the Company’s Annual Report on Form 10 -K for the year ended December 31, 2018. The following tables summarize the operating results, capital expenditures and assets of the Company’s reportable segments for the periods indicated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Europe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Middle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West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East</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North</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Africa)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and Asia</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4"/>
              </w:rPr>
              <w:t>America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Sea)</w:t>
            </w: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2019</w:t>
            </w: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Operating Revenues: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(637)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9,137</w:t>
            </w:r>
          </w:p>
        </w:tc>
        <w:tc>
          <w:tcPr>
            <w:tcW w:w="22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10,136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12,727</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6,700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17,549</w:t>
            </w:r>
          </w:p>
        </w:tc>
        <w:tc>
          <w:tcPr>
            <w:tcW w:w="2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56,249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10,640</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8,462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8,742</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13,379</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44,277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16"/>
                <w:szCs w:val="16"/>
                <w:b w:val="1"/>
                <w:bCs w:val="1"/>
                <w:color w:val="auto"/>
              </w:rPr>
              <w:t>Direct Vessel (Loss) Profit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(1,503)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1,674</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3,985</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3,646</w:t>
            </w:r>
          </w:p>
        </w:tc>
        <w:tc>
          <w:tcPr>
            <w:tcW w:w="1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4,170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Lease expense</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Administrative and general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3,154</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Gains on Asset Dispositions, Net</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800" w:type="dxa"/>
            <w:vAlign w:val="bottom"/>
          </w:tcPr>
          <w:p>
            <w:pPr>
              <w:spacing w:after="0"/>
              <w:rPr>
                <w:sz w:val="20"/>
                <w:szCs w:val="20"/>
                <w:color w:val="auto"/>
              </w:rPr>
            </w:pPr>
            <w:r>
              <w:rPr>
                <w:rFonts w:ascii="Arial" w:cs="Arial" w:eastAsia="Arial" w:hAnsi="Arial"/>
                <w:sz w:val="16"/>
                <w:szCs w:val="16"/>
                <w:color w:val="auto"/>
              </w:rPr>
              <w:t>Operating Loss</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(21,010)</w:t>
            </w:r>
          </w:p>
        </w:tc>
        <w:tc>
          <w:tcPr>
            <w:tcW w:w="0" w:type="dxa"/>
            <w:vAlign w:val="bottom"/>
          </w:tcPr>
          <w:p>
            <w:pPr>
              <w:spacing w:after="0"/>
              <w:rPr>
                <w:sz w:val="1"/>
                <w:szCs w:val="1"/>
                <w:color w:val="auto"/>
              </w:rPr>
            </w:pPr>
          </w:p>
        </w:tc>
      </w:tr>
      <w:tr>
        <w:trPr>
          <w:trHeight w:val="200"/>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 of March 31, 2019</w:t>
            </w:r>
          </w:p>
        </w:tc>
        <w:tc>
          <w:tcPr>
            <w:tcW w:w="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Property and Equipment: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Historical cost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416,559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207,167</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310,297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119,699</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241,223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1,294,945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60"/>
              <w:spacing w:after="0"/>
              <w:rPr>
                <w:sz w:val="20"/>
                <w:szCs w:val="20"/>
                <w:color w:val="auto"/>
              </w:rPr>
            </w:pPr>
            <w:r>
              <w:rPr>
                <w:rFonts w:ascii="Arial" w:cs="Arial" w:eastAsia="Arial" w:hAnsi="Arial"/>
                <w:sz w:val="16"/>
                <w:szCs w:val="16"/>
                <w:color w:val="auto"/>
              </w:rPr>
              <w:t>Accumulated depreciation</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(223,720)</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(59,652)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(85,627)</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(60,444)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(149,998)</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(579,441)</w:t>
            </w:r>
          </w:p>
        </w:tc>
        <w:tc>
          <w:tcPr>
            <w:tcW w:w="0" w:type="dxa"/>
            <w:vAlign w:val="bottom"/>
          </w:tcPr>
          <w:p>
            <w:pPr>
              <w:spacing w:after="0"/>
              <w:rPr>
                <w:sz w:val="1"/>
                <w:szCs w:val="1"/>
                <w:color w:val="auto"/>
              </w:rPr>
            </w:pPr>
          </w:p>
        </w:tc>
      </w:tr>
      <w:tr>
        <w:trPr>
          <w:trHeight w:val="210"/>
        </w:trPr>
        <w:tc>
          <w:tcPr>
            <w:tcW w:w="48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192,839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147,515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224,670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59,255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91,225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715,504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line="240"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7"/>
                <w:szCs w:val="27"/>
                <w:color w:val="auto"/>
                <w:vertAlign w:val="superscript"/>
              </w:rPr>
              <w:t>(2)</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0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330,938</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160,624</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266,007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128,421</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133,019</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1,019,009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60" w:hanging="374"/>
        <w:spacing w:after="0"/>
        <w:tabs>
          <w:tab w:leader="none" w:pos="7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Includes $217 facility lease expense.</w:t>
      </w:r>
    </w:p>
    <w:p>
      <w:pPr>
        <w:spacing w:after="0" w:line="23" w:lineRule="exact"/>
        <w:rPr>
          <w:rFonts w:ascii="Arial" w:cs="Arial" w:eastAsia="Arial" w:hAnsi="Arial"/>
          <w:sz w:val="15"/>
          <w:szCs w:val="15"/>
          <w:color w:val="auto"/>
        </w:rPr>
      </w:pPr>
    </w:p>
    <w:p>
      <w:pPr>
        <w:ind w:left="760" w:hanging="374"/>
        <w:spacing w:after="0"/>
        <w:tabs>
          <w:tab w:leader="none" w:pos="7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Total assets by region does not include corporate assets of $93,340 as of March 31, 2019.</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Europe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Middle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West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East</w:t>
            </w:r>
          </w:p>
        </w:tc>
        <w:tc>
          <w:tcPr>
            <w:tcW w:w="12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North</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Africa)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and Asia</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4"/>
              </w:rPr>
              <w:t>America</w:t>
            </w: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Sea)</w:t>
            </w: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2018</w:t>
            </w:r>
          </w:p>
        </w:tc>
        <w:tc>
          <w:tcPr>
            <w:tcW w:w="8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20"/>
                <w:szCs w:val="20"/>
                <w:color w:val="auto"/>
              </w:rPr>
            </w:pPr>
            <w:r>
              <w:rPr>
                <w:rFonts w:ascii="Arial" w:cs="Arial" w:eastAsia="Arial" w:hAnsi="Arial"/>
                <w:sz w:val="16"/>
                <w:szCs w:val="16"/>
                <w:color w:val="auto"/>
              </w:rPr>
              <w:t>Operating Revenues: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11,374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17,618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7,637</w:t>
            </w:r>
          </w:p>
        </w:tc>
        <w:tc>
          <w:tcPr>
            <w:tcW w:w="22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12,081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11,244</w:t>
            </w:r>
          </w:p>
        </w:tc>
        <w:tc>
          <w:tcPr>
            <w:tcW w:w="2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2,627</w:t>
            </w:r>
          </w:p>
        </w:tc>
        <w:tc>
          <w:tcPr>
            <w:tcW w:w="22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18,132</w:t>
            </w:r>
          </w:p>
        </w:tc>
        <w:tc>
          <w:tcPr>
            <w:tcW w:w="2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51,721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6,163</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8,917</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873</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15,041</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1,474</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4,727</w:t>
            </w:r>
          </w:p>
        </w:tc>
        <w:tc>
          <w:tcPr>
            <w:tcW w:w="14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2,327</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1,754</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3,091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8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Lease expense</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963</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Administrative and general </w:t>
            </w:r>
            <w:r>
              <w:rPr>
                <w:rFonts w:ascii="Arial" w:cs="Arial" w:eastAsia="Arial" w:hAnsi="Arial"/>
                <w:sz w:val="25"/>
                <w:szCs w:val="25"/>
                <w:color w:val="auto"/>
                <w:vertAlign w:val="superscript"/>
              </w:rPr>
              <w:t>(1)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2,861</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Losses on Asset Dispositions and</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Impairments, Net</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6"/>
                <w:szCs w:val="16"/>
                <w:color w:val="auto"/>
              </w:rPr>
              <w:t>Operating Loss</w:t>
            </w: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92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(24,414)</w:t>
            </w:r>
          </w:p>
        </w:tc>
        <w:tc>
          <w:tcPr>
            <w:tcW w:w="0" w:type="dxa"/>
            <w:vAlign w:val="bottom"/>
          </w:tcPr>
          <w:p>
            <w:pPr>
              <w:spacing w:after="0"/>
              <w:rPr>
                <w:sz w:val="1"/>
                <w:szCs w:val="1"/>
                <w:color w:val="auto"/>
              </w:rPr>
            </w:pPr>
          </w:p>
        </w:tc>
      </w:tr>
      <w:tr>
        <w:trPr>
          <w:trHeight w:val="200"/>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 of March 31, 2018</w:t>
            </w:r>
          </w:p>
        </w:tc>
        <w:tc>
          <w:tcPr>
            <w:tcW w:w="8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Historical cost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526,986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168,317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349,047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93,223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182,923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1,320,496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60"/>
              <w:spacing w:after="0"/>
              <w:rPr>
                <w:sz w:val="20"/>
                <w:szCs w:val="20"/>
                <w:color w:val="auto"/>
              </w:rPr>
            </w:pPr>
            <w:r>
              <w:rPr>
                <w:rFonts w:ascii="Arial" w:cs="Arial" w:eastAsia="Arial" w:hAnsi="Arial"/>
                <w:sz w:val="16"/>
                <w:szCs w:val="16"/>
                <w:color w:val="auto"/>
              </w:rPr>
              <w:t>Accumulated depreciation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(236,120)</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(54,349)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(109,601)</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(39,551)</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(140,840)</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(580,461)</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290,866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113,968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239,446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53,672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42,083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740,035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bottom w:val="single" w:sz="8" w:color="CFF0FC"/>
            </w:tcBorders>
            <w:vMerge w:val="restart"/>
          </w:tcPr>
          <w:p>
            <w:pPr>
              <w:spacing w:after="0" w:line="240"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7"/>
                <w:szCs w:val="27"/>
                <w:color w:val="auto"/>
                <w:vertAlign w:val="superscript"/>
              </w:rPr>
              <w:t>(2)</w:t>
            </w:r>
          </w:p>
        </w:tc>
        <w:tc>
          <w:tcPr>
            <w:tcW w:w="8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920" w:type="dxa"/>
            <w:vAlign w:val="bottom"/>
            <w:vMerge w:val="continue"/>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423,328</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117,298</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270,293</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123,679</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53,077</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987,675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hanging="379"/>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8"/>
          <w:szCs w:val="18"/>
          <w:color w:val="auto"/>
        </w:rPr>
        <w:t>Includes $433 facility lease expense.</w:t>
      </w:r>
    </w:p>
    <w:p>
      <w:pPr>
        <w:spacing w:after="0" w:line="23" w:lineRule="exact"/>
        <w:rPr>
          <w:rFonts w:ascii="Arial" w:cs="Arial" w:eastAsia="Arial" w:hAnsi="Arial"/>
          <w:sz w:val="17"/>
          <w:szCs w:val="17"/>
          <w:color w:val="auto"/>
        </w:rPr>
      </w:pPr>
    </w:p>
    <w:p>
      <w:pPr>
        <w:ind w:left="860" w:hanging="379"/>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8"/>
          <w:szCs w:val="18"/>
          <w:color w:val="auto"/>
        </w:rPr>
        <w:t>Total assets by region does not include corporate assets of $129,703 as of March 31, 2018.</w:t>
      </w:r>
    </w:p>
    <w:p>
      <w:pPr>
        <w:spacing w:after="0" w:line="244"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The Company’s investments in 50% or less owned companies, which are accounted for under the equity method, also contribute to its consolidated results of operations. As of March 31, 2019 and 2018, the Company’s investments, at equity and advances to 50% or less owned companies in its other 50% or less owned companies were $119.5 million and $112.2 million, respectively. Equity in (losses) earnings of 50% or less owned companies for the three months ended March 31, 2019 and 2018 were ($3.4)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800" w:hanging="796"/>
        <w:spacing w:after="0" w:line="256" w:lineRule="auto"/>
        <w:rPr>
          <w:sz w:val="20"/>
          <w:szCs w:val="20"/>
          <w:color w:val="auto"/>
        </w:rPr>
      </w:pPr>
      <w:r>
        <w:rPr>
          <w:rFonts w:ascii="Arial" w:cs="Arial" w:eastAsia="Arial" w:hAnsi="Arial"/>
          <w:sz w:val="22"/>
          <w:szCs w:val="22"/>
          <w:b w:val="1"/>
          <w:bCs w:val="1"/>
          <w:color w:val="auto"/>
        </w:rPr>
        <w:t>ITEM 2.MANAGEMENT’S DISCUSSION AND ANALYSIS OF FINANCIAL CONDITION AND RESULTS OF OPERATIONS</w:t>
      </w:r>
    </w:p>
    <w:p>
      <w:pPr>
        <w:spacing w:after="0" w:line="128"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9"/>
          <w:szCs w:val="19"/>
          <w:i w:val="1"/>
          <w:iCs w:val="1"/>
          <w:color w:val="auto"/>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Item 1A. (Risk Factors) and Item 7. (Management’s Discussion and Analysis of Financial Condition and Results of Operations) of the Company’s 2018 Annual Report].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37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Overview</w:t>
      </w:r>
    </w:p>
    <w:p>
      <w:pPr>
        <w:spacing w:after="0" w:line="172"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The following analysis of our financial condition and results of operations should be read in conjunction with the unaudited consolidated financial statements and notes thereto included in this Quarterly Report on Form 10-Q, as well as Management’s Discussion and Analysis of Financial Condition and Results of Operations contained in our Annual Report on Form 10-K for the year ended December 31, 2018 (the “2018 Annual Report”).</w:t>
      </w:r>
    </w:p>
    <w:p>
      <w:pPr>
        <w:spacing w:after="0" w:line="145" w:lineRule="exact"/>
        <w:rPr>
          <w:sz w:val="20"/>
          <w:szCs w:val="20"/>
          <w:color w:val="auto"/>
        </w:rPr>
      </w:pPr>
    </w:p>
    <w:p>
      <w:pPr>
        <w:jc w:val="both"/>
        <w:ind w:firstLine="761"/>
        <w:spacing w:after="0" w:line="248" w:lineRule="auto"/>
        <w:rPr>
          <w:sz w:val="20"/>
          <w:szCs w:val="20"/>
          <w:color w:val="auto"/>
        </w:rPr>
      </w:pPr>
      <w:r>
        <w:rPr>
          <w:rFonts w:ascii="Arial" w:cs="Arial" w:eastAsia="Arial" w:hAnsi="Arial"/>
          <w:sz w:val="21"/>
          <w:szCs w:val="21"/>
          <w:color w:val="auto"/>
        </w:rPr>
        <w:t>The Company provides global marine and support transportation services to offshore oil, natural gas exploration and windfarm development and production facilities worldwide. As of March 31, 2019, the Company and its joint ventures operate a diverse fleet of 182 support and specialty vessels, of which 131 were owned or leased-in, 47 were joint ventured and four were managed on behalf of unaffiliated third 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50"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color w:val="auto"/>
        </w:rPr>
        <w:t>The Company’s fleet features offshore support and specialty vessels that deliver cargo and personnel to offshore installations; handle anchors and mooring equipment required to tether rigs to the seabed; tow rigs and assist in placing them on location and moving them between regions; provide construction, well workover and decommissioning support; carry and launch equipment used underwater in drilling and well installation, maintenance and repair; and provide windfarm installation, maintenance and repair support. Additionally, the Company’s vessels provide accommodations for technicians and specialists, safety support and emergency response services. The Company’s fleet also features crew transfer vessels used primarily in windfarm operations.</w:t>
      </w:r>
    </w:p>
    <w:p>
      <w:pPr>
        <w:spacing w:after="0" w:line="15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9"/>
          <w:szCs w:val="19"/>
          <w:color w:val="auto"/>
        </w:rPr>
        <w:t>The Company operates its fleet in five principal geographic regions: the United States, primarily in the Gulf of Mexico; Africa, primarily in West Africa; the Middle East and Asia; Brazil, Mexico, Central and South America (“Latin America”); and Europe, primarily in the North Sea. The Company’s vessels are highly mobile and regularly and routinely move between countries within a geographic region. In addition, the Company’s vessels are redeployed among its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rates per day worked and utilization. The Company manages its fleet utilizing a global network of shore side support, administrative and finance personnel.</w:t>
      </w:r>
    </w:p>
    <w:p>
      <w:pPr>
        <w:spacing w:after="0" w:line="146"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Offshore oil and natural gas market conditions deteriorated beginning in the second half of 2014 and continued to deteriorate when oil prices hit a thirteen-year low of less than $27 per barrel (on the New York Mercantile Exchange) in February 2016. As of March 31, 2019, oil prices had increased from the February 2016 lows to a price of approximately $62 per barrel. While the Company has experienced what it believes is a beginning of a recovery, it continued to experience difficult market conditions through the first quarter of 2019.</w:t>
      </w:r>
    </w:p>
    <w:p>
      <w:pPr>
        <w:spacing w:after="0" w:line="147"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9"/>
          <w:szCs w:val="19"/>
          <w:color w:val="auto"/>
        </w:rPr>
        <w:t>Low oil prices and the subsequent decline in offshore exploration have forced many operators in the industry to restructure or liquidate assets in addition to cold-stacking and laying up vessels. The Company continues to closely monitor the reactivation of existing offshore support vessels as well as the delivery of newly built offshore support vessels to the industry-wide fleet, which is creating situations of oversupply, thereby further lowering the demand for the Company’s existing offshore support vessel fleet. A continuation of (i) low customer exploration and drilling activity levels and (ii) the increasing size of the global offshore support vessel fleet as vessels are reactivated and newly built vessels are placed into service could, in isolation or together, have a material adverse effect on the Company’s results of operations, financial position and cash flows.</w:t>
      </w:r>
    </w:p>
    <w:p>
      <w:pPr>
        <w:spacing w:after="0" w:line="112"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As shipyards, finance parties and industry operators have been forced to restructure or liquidate assets, the Company has reviewed discreet opportunities to acquire or takeover the management of certain assets. In this industry context, the Company may from time to time deploy capital in connection with transactions that it determines enhance market coverage and/or represent a substantial discount to replacement value.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Recent Events</w:t>
      </w:r>
    </w:p>
    <w:p>
      <w:pPr>
        <w:spacing w:after="0" w:line="239"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color w:val="auto"/>
        </w:rPr>
        <w:t>On January 9, 2019, certain indirect wholly-owned subsidiaries of SEACOR Marine acquired three FSVs in exchange for the private placement of 603,872 shares of its Common Stock to U.S. holders affiliated with the McCall family of Louisiana. The value of the vessels and the Common Stock was $7.8 million based on the closing price of a share of Common Stock on the NYSE on the day of the exchange. The Common Stock was issued in reliance upon the exemption from registration provided by Section 4(a)(2) of the Securities Act. The Company has operated the acquired vessels for the past ten years under a revenue sharing pooling agreement that included four of its owned FSVs of similar specification. In accordance with its terms, this pooling agreement was terminated.</w:t>
      </w:r>
    </w:p>
    <w:p>
      <w:pPr>
        <w:spacing w:after="0" w:line="218"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color w:val="auto"/>
        </w:rPr>
        <w:t>On January 16, 2019, the Company announced it had entered into definitive agreements to acquire three PSVs from COSCO Shipping Heavy Industry (Zhoushan) Co., Ltd., an affiliate of COSCO Shipping Group, the world’s largest ship owner (“COSCO”). Aggregate consideration for the vessels is approximately $46.0 million, of which 30% will be paid in cash and 70% will be paid over the next four years. Half of the cash payment was funded in the first quarter of 2019 with the balance per vessel to be paid upon physical delivery of each vessel. The Company expects the vessels to be delivered in September 2019, January 2020, and October 2020.</w:t>
      </w:r>
    </w:p>
    <w:p>
      <w:pPr>
        <w:spacing w:after="0" w:line="215" w:lineRule="exact"/>
        <w:rPr>
          <w:sz w:val="20"/>
          <w:szCs w:val="20"/>
          <w:color w:val="auto"/>
        </w:rPr>
      </w:pPr>
    </w:p>
    <w:p>
      <w:pPr>
        <w:jc w:val="both"/>
        <w:ind w:firstLine="761"/>
        <w:spacing w:after="0" w:line="245" w:lineRule="auto"/>
        <w:rPr>
          <w:sz w:val="20"/>
          <w:szCs w:val="20"/>
          <w:color w:val="auto"/>
        </w:rPr>
      </w:pPr>
      <w:r>
        <w:rPr>
          <w:rFonts w:ascii="Arial" w:cs="Arial" w:eastAsia="Arial" w:hAnsi="Arial"/>
          <w:sz w:val="21"/>
          <w:szCs w:val="21"/>
          <w:color w:val="auto"/>
        </w:rPr>
        <w:t>Prior to January 25, 2019 Seabulk Overseas, a wholly-owned subsidiary of the Company, owned 87% of Windcat Workboats. On January 25, 2019, Seabulk Overseas, acquired a 6.25% minority interest in Windcat Workboats that it did not previously own upon the exercise of certain put options by one of the two minority owners pursuant to the Subscription and Shareholders Agreement, in exchange for consideration of £1.5 million (approximately $2.0 million) in cash. Seabulk Overseas acquired the remaining 6.25% interest in Windcat Workboats that it did not already own on March 15, 2019 in exchange for consideration of 50,000 shares of Common Stock and €1.2 million (approximately $1.4 million) in cash. The Common Stock was issued in a private placement in reliance upon the exemption from registration provided by Section 4(a)(2) of the Securities Act. The two acquisitions resulted in Seabulk Overseas owning (and SEACOR Marine indirectly owning) 100% of Windcat Workboats. Windcat Workboats owns and operates the Company's crew transfer vessels that are primarily used to move personnel and supplies in Europe’s offshore wind markets.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185"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21"/>
          <w:szCs w:val="21"/>
          <w:color w:val="auto"/>
        </w:rPr>
        <w:t>The sections below provide an analysis of the Company's results of operations for the three months (“Current Year Quarter”) ended March 31, 2019 compared with the three months (“Prior Year Quarter”) ended March 31, 2018. For the periods indicated, the Company’s consolidated results of operations were as follows (in thousands, except statistics):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Average Rates Per Day Worked (excluding crew transfer)</w:t>
            </w:r>
          </w:p>
        </w:tc>
        <w:tc>
          <w:tcPr>
            <w:tcW w:w="5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9,451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9,071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Fleet Utilization (excluding crew transfer)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62%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Utilization</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61%</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53%</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Fleet Available Days (excluding crew transfer)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8,116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9,271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12,601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Operating Revenues: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52,127</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93%</w:t>
            </w:r>
          </w:p>
        </w:tc>
        <w:tc>
          <w:tcPr>
            <w:tcW w:w="900" w:type="dxa"/>
            <w:vAlign w:val="bottom"/>
            <w:gridSpan w:val="2"/>
            <w:shd w:val="clear" w:color="auto" w:fill="CFF0FC"/>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47,142</w:t>
            </w: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1,143</w:t>
            </w:r>
          </w:p>
        </w:tc>
        <w:tc>
          <w:tcPr>
            <w:tcW w:w="3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1,143</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2,979</w:t>
            </w:r>
          </w:p>
        </w:tc>
        <w:tc>
          <w:tcPr>
            <w:tcW w:w="3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3,436</w:t>
            </w:r>
          </w:p>
        </w:tc>
        <w:tc>
          <w:tcPr>
            <w:tcW w:w="3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56,249</w:t>
            </w:r>
          </w:p>
        </w:tc>
        <w:tc>
          <w:tcPr>
            <w:tcW w:w="3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51,721</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Costs and Expenses:</w:t>
            </w: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22,756</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40%</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21,676</w:t>
            </w: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9,006</w:t>
            </w:r>
          </w:p>
        </w:tc>
        <w:tc>
          <w:tcPr>
            <w:tcW w:w="3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7,073</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2,257</w:t>
            </w: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1,474</w:t>
            </w:r>
          </w:p>
        </w:tc>
        <w:tc>
          <w:tcPr>
            <w:tcW w:w="3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1,190</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3,753</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3,545</w:t>
            </w: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4,409</w:t>
            </w:r>
          </w:p>
        </w:tc>
        <w:tc>
          <w:tcPr>
            <w:tcW w:w="3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2,607</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line="20" w:lineRule="exact"/>
              <w:rPr>
                <w:sz w:val="1"/>
                <w:szCs w:val="1"/>
                <w:color w:val="auto"/>
              </w:rPr>
            </w:pPr>
          </w:p>
        </w:tc>
      </w:tr>
      <w:tr>
        <w:trPr>
          <w:trHeight w:val="213"/>
        </w:trPr>
        <w:tc>
          <w:tcPr>
            <w:tcW w:w="6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44,277</w:t>
            </w:r>
          </w:p>
        </w:tc>
        <w:tc>
          <w:tcPr>
            <w:tcW w:w="3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78%</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38,348</w:t>
            </w:r>
          </w:p>
        </w:tc>
        <w:tc>
          <w:tcPr>
            <w:tcW w:w="300" w:type="dxa"/>
            <w:vAlign w:val="bottom"/>
            <w:shd w:val="clear" w:color="auto" w:fill="CFF0FC"/>
          </w:tcPr>
          <w:p>
            <w:pPr>
              <w:spacing w:after="0"/>
              <w:rPr>
                <w:sz w:val="18"/>
                <w:szCs w:val="18"/>
                <w:color w:val="auto"/>
              </w:rPr>
            </w:pPr>
          </w:p>
        </w:tc>
        <w:tc>
          <w:tcPr>
            <w:tcW w:w="6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12,000</w:t>
            </w:r>
          </w:p>
        </w:tc>
        <w:tc>
          <w:tcPr>
            <w:tcW w:w="3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12,374</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17,193</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31%</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19,512</w:t>
            </w: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Lease expense - operating</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4,148</w:t>
            </w:r>
          </w:p>
        </w:tc>
        <w:tc>
          <w:tcPr>
            <w:tcW w:w="3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3,258.0</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77,618</w:t>
            </w:r>
          </w:p>
        </w:tc>
        <w:tc>
          <w:tcPr>
            <w:tcW w:w="3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137%</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73,492</w:t>
            </w:r>
          </w:p>
        </w:tc>
        <w:tc>
          <w:tcPr>
            <w:tcW w:w="3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6"/>
                <w:szCs w:val="16"/>
                <w:color w:val="auto"/>
              </w:rPr>
              <w:t>Gains (Losses) on Asset Dispositions and Impairments, Net</w:t>
            </w: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line="20" w:lineRule="exact"/>
              <w:rPr>
                <w:sz w:val="1"/>
                <w:szCs w:val="1"/>
                <w:color w:val="auto"/>
              </w:rPr>
            </w:pPr>
          </w:p>
        </w:tc>
      </w:tr>
      <w:tr>
        <w:trPr>
          <w:trHeight w:val="207"/>
        </w:trPr>
        <w:tc>
          <w:tcPr>
            <w:tcW w:w="6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w:t>
            </w:r>
          </w:p>
        </w:tc>
        <w:tc>
          <w:tcPr>
            <w:tcW w:w="3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(2,643)</w:t>
            </w:r>
          </w:p>
        </w:tc>
        <w:tc>
          <w:tcPr>
            <w:tcW w:w="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(21,010)</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(37)%</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93"/>
              </w:rPr>
              <w:t>(24,414)</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(7,697)</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(17,306)</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w w:val="93"/>
              </w:rPr>
              <w:t>Loss Before Income Tax Benefit and Equity in Earnings (Losses) of 50% or Less Owned Companies</w:t>
            </w: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(28,707)</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93"/>
              </w:rPr>
              <w:t>(41,720)</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Income Tax Benefit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(3,831)</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(9,824)</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Before Equity in Earnings (Losses) of 50% or Less Owned Companies</w:t>
            </w: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(24,876)</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(44)%</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93"/>
              </w:rPr>
              <w:t>(31,896)</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Equity in (Losses) Earnings of 50% or Less Owned Companies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(3,397)</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208</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(28,273)</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93"/>
              </w:rPr>
              <w:t>(31,688)</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Net Loss attributable to Noncontrolling Interests in Subsidiaries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(2,724)</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(2,855)</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attributable to SEACOR Marine Holdings Inc.</w:t>
            </w: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shd w:val="clear" w:color="auto" w:fill="CFF0FC"/>
          </w:tcPr>
          <w:p>
            <w:pPr>
              <w:spacing w:after="0"/>
              <w:rPr>
                <w:sz w:val="18"/>
                <w:szCs w:val="18"/>
                <w:color w:val="auto"/>
              </w:rPr>
            </w:pP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(25,549)</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(45)%</w:t>
            </w:r>
          </w:p>
        </w:tc>
        <w:tc>
          <w:tcPr>
            <w:tcW w:w="900" w:type="dxa"/>
            <w:vAlign w:val="bottom"/>
            <w:gridSpan w:val="2"/>
            <w:shd w:val="clear" w:color="auto" w:fill="CFF0FC"/>
          </w:tcPr>
          <w:p>
            <w:pPr>
              <w:jc w:val="right"/>
              <w:ind w:right="7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93"/>
              </w:rPr>
              <w:t>(28,833)</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b w:val="1"/>
          <w:bCs w:val="1"/>
          <w:i w:val="1"/>
          <w:iCs w:val="1"/>
          <w:color w:val="auto"/>
        </w:rPr>
        <w:t xml:space="preserve">Direct Vessel Profit. </w:t>
      </w:r>
      <w:r>
        <w:rPr>
          <w:rFonts w:ascii="Arial" w:cs="Arial" w:eastAsia="Arial" w:hAnsi="Arial"/>
          <w:sz w:val="22"/>
          <w:szCs w:val="22"/>
          <w:color w:val="auto"/>
        </w:rPr>
        <w:t>Direct vessel profit (defined as operating revenues less operating expenses excluding leased-in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equipment, “DVP”) is the 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for owned vessel vs. leased expense for leased-in vessels). DVP is also useful when comparing the Company's fleet's performance against those of its competitors who may have differing fleet financing structures.</w:t>
      </w:r>
    </w:p>
    <w:p>
      <w:pPr>
        <w:spacing w:after="0" w:line="151"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DVP by region and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region and by vessel class to operating loss, its most comparable GAAP measure, is included in the tables below.</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ind w:right="20" w:firstLine="761"/>
        <w:spacing w:after="0" w:line="251" w:lineRule="auto"/>
        <w:rPr>
          <w:sz w:val="20"/>
          <w:szCs w:val="20"/>
          <w:color w:val="auto"/>
        </w:rPr>
      </w:pPr>
      <w:r>
        <w:rPr>
          <w:rFonts w:ascii="Arial" w:cs="Arial" w:eastAsia="Arial" w:hAnsi="Arial"/>
          <w:sz w:val="22"/>
          <w:szCs w:val="22"/>
          <w:color w:val="auto"/>
        </w:rPr>
        <w:t>The following tables summarize the operating results and property and equipment for the Company’s reportable segments for the periods indicated (in thousands, except statistics):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United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3"/>
              </w:rPr>
              <w:t>States</w:t>
            </w:r>
          </w:p>
        </w:tc>
        <w:tc>
          <w:tcPr>
            <w:tcW w:w="14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Africa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Europe</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8"/>
              </w:rPr>
              <w:t>(primarily</w:t>
            </w:r>
          </w:p>
        </w:tc>
        <w:tc>
          <w:tcPr>
            <w:tcW w:w="11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Middle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8"/>
              </w:rPr>
              <w:t>(primarily</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Gulf of</w:t>
            </w:r>
          </w:p>
        </w:tc>
        <w:tc>
          <w:tcPr>
            <w:tcW w:w="14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West</w:t>
            </w: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East</w:t>
            </w: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Latin</w:t>
            </w:r>
          </w:p>
        </w:tc>
        <w:tc>
          <w:tcPr>
            <w:tcW w:w="12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North</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Mexico)</w:t>
            </w:r>
          </w:p>
        </w:tc>
        <w:tc>
          <w:tcPr>
            <w:tcW w:w="14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Africa)</w:t>
            </w:r>
          </w:p>
        </w:tc>
        <w:tc>
          <w:tcPr>
            <w:tcW w:w="10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4"/>
              </w:rPr>
              <w:t>America</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Sea)</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2019</w:t>
            </w: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10,588</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9,461</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2,698</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8,005</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10,773</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15,928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52,127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9,137</w:t>
            </w:r>
          </w:p>
        </w:tc>
        <w:tc>
          <w:tcPr>
            <w:tcW w:w="2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10,136</w:t>
            </w:r>
          </w:p>
        </w:tc>
        <w:tc>
          <w:tcPr>
            <w:tcW w:w="2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12,727</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6,700</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17,549</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56,249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3,867</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22,756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1,994</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10,640</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8,462</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8,742</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3,054</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13,379</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44,277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16"/>
                <w:szCs w:val="16"/>
                <w:b w:val="1"/>
                <w:bCs w:val="1"/>
                <w:color w:val="auto"/>
              </w:rPr>
              <w:t>Direct Vessel (Loss)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(1,503)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1,674</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3,985</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3,646</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4,170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Lease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2,897</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500"/>
              <w:spacing w:after="0" w:line="216" w:lineRule="exact"/>
              <w:rPr>
                <w:sz w:val="20"/>
                <w:szCs w:val="20"/>
                <w:color w:val="auto"/>
              </w:rPr>
            </w:pPr>
            <w:r>
              <w:rPr>
                <w:rFonts w:ascii="Arial" w:cs="Arial" w:eastAsia="Arial" w:hAnsi="Arial"/>
                <w:sz w:val="15"/>
                <w:szCs w:val="15"/>
                <w:color w:val="auto"/>
              </w:rPr>
              <w:t xml:space="preserve">Administrative and general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5,498</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2,356</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3,154</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17,193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Gains on Asset Dispositions and Impairments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640" w:type="dxa"/>
            <w:vAlign w:val="bottom"/>
          </w:tcPr>
          <w:p>
            <w:pPr>
              <w:spacing w:after="0"/>
              <w:rPr>
                <w:sz w:val="20"/>
                <w:szCs w:val="20"/>
                <w:color w:val="auto"/>
              </w:rPr>
            </w:pPr>
            <w:r>
              <w:rPr>
                <w:rFonts w:ascii="Arial" w:cs="Arial" w:eastAsia="Arial" w:hAnsi="Arial"/>
                <w:sz w:val="16"/>
                <w:szCs w:val="16"/>
                <w:color w:val="auto"/>
              </w:rPr>
              <w:t>Operating Loss</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(21,010)</w:t>
            </w:r>
          </w:p>
        </w:tc>
        <w:tc>
          <w:tcPr>
            <w:tcW w:w="0" w:type="dxa"/>
            <w:vAlign w:val="bottom"/>
          </w:tcPr>
          <w:p>
            <w:pPr>
              <w:spacing w:after="0"/>
              <w:rPr>
                <w:sz w:val="1"/>
                <w:szCs w:val="1"/>
                <w:color w:val="auto"/>
              </w:rPr>
            </w:pPr>
          </w:p>
        </w:tc>
      </w:tr>
      <w:tr>
        <w:trPr>
          <w:trHeight w:val="200"/>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 of March 31, 2019</w:t>
            </w:r>
          </w:p>
        </w:tc>
        <w:tc>
          <w:tcPr>
            <w:tcW w:w="1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416,559</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207,167</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310,297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119,699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241,223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1,294,945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(223,720)</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(59,652)</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(85,627)</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(60,444)</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(149,998)</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(579,441)</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192,839</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147,515</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224,670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59,255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91,225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715,504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line="240"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7"/>
                <w:szCs w:val="27"/>
                <w:color w:val="auto"/>
                <w:vertAlign w:val="superscript"/>
              </w:rPr>
              <w:t>(2)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330,938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160,624</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266,007</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128,421</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133,019</w:t>
            </w:r>
          </w:p>
        </w:tc>
        <w:tc>
          <w:tcPr>
            <w:tcW w:w="26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1,019,009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hanging="376"/>
        <w:spacing w:after="0"/>
        <w:tabs>
          <w:tab w:leader="none" w:pos="11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Include $217 facility lease expense.</w:t>
      </w:r>
    </w:p>
    <w:p>
      <w:pPr>
        <w:spacing w:after="0" w:line="23" w:lineRule="exact"/>
        <w:rPr>
          <w:rFonts w:ascii="Arial" w:cs="Arial" w:eastAsia="Arial" w:hAnsi="Arial"/>
          <w:sz w:val="15"/>
          <w:szCs w:val="15"/>
          <w:color w:val="auto"/>
        </w:rPr>
      </w:pPr>
    </w:p>
    <w:p>
      <w:pPr>
        <w:ind w:left="1140" w:hanging="376"/>
        <w:spacing w:after="0"/>
        <w:tabs>
          <w:tab w:leader="none" w:pos="11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Total assets by region does not include corporate assets, which are $93,340 as of March 31,2019.</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United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3"/>
              </w:rPr>
              <w:t>States</w:t>
            </w:r>
          </w:p>
        </w:tc>
        <w:tc>
          <w:tcPr>
            <w:tcW w:w="14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Africa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Europe</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8"/>
              </w:rPr>
              <w:t>(primarily</w:t>
            </w:r>
          </w:p>
        </w:tc>
        <w:tc>
          <w:tcPr>
            <w:tcW w:w="11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Middle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8"/>
              </w:rPr>
              <w:t>(primarily</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Gulf of</w:t>
            </w:r>
          </w:p>
        </w:tc>
        <w:tc>
          <w:tcPr>
            <w:tcW w:w="14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West</w:t>
            </w: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East</w:t>
            </w:r>
          </w:p>
        </w:tc>
        <w:tc>
          <w:tcPr>
            <w:tcW w:w="1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Latin</w:t>
            </w:r>
          </w:p>
        </w:tc>
        <w:tc>
          <w:tcPr>
            <w:tcW w:w="12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North</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Mexico)</w:t>
            </w:r>
          </w:p>
        </w:tc>
        <w:tc>
          <w:tcPr>
            <w:tcW w:w="14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Africa)</w:t>
            </w:r>
          </w:p>
        </w:tc>
        <w:tc>
          <w:tcPr>
            <w:tcW w:w="10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4"/>
              </w:rPr>
              <w:t>America</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Sea)</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2018</w:t>
            </w: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8,775</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9,455</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15,272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4,050</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5,982</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10,794</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11,374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17,618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47,142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1,655</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1,287</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7,637</w:t>
            </w:r>
          </w:p>
        </w:tc>
        <w:tc>
          <w:tcPr>
            <w:tcW w:w="2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12,081</w:t>
            </w:r>
          </w:p>
        </w:tc>
        <w:tc>
          <w:tcPr>
            <w:tcW w:w="2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11,244</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2,627</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18,132</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51,721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3,992</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4,073</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2,290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6,163</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7,354</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8,917</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873</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15,041</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38,348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1,474</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4,727</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2,327</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1,754</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3,091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13,373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Lease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1,862</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963</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60"/>
              <w:spacing w:after="0" w:line="216" w:lineRule="exact"/>
              <w:rPr>
                <w:sz w:val="20"/>
                <w:szCs w:val="20"/>
                <w:color w:val="auto"/>
              </w:rPr>
            </w:pPr>
            <w:r>
              <w:rPr>
                <w:rFonts w:ascii="Arial" w:cs="Arial" w:eastAsia="Arial" w:hAnsi="Arial"/>
                <w:sz w:val="15"/>
                <w:szCs w:val="15"/>
                <w:color w:val="auto"/>
              </w:rPr>
              <w:t xml:space="preserve">Administrative and general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6,535</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2,807</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2,861</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19,512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35,144</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Losses on Asset Dispositions and</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Impairments, Net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6"/>
                <w:szCs w:val="16"/>
                <w:color w:val="auto"/>
              </w:rPr>
              <w:t>Operating Loss</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6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(24,414)</w:t>
            </w:r>
          </w:p>
        </w:tc>
        <w:tc>
          <w:tcPr>
            <w:tcW w:w="0" w:type="dxa"/>
            <w:vAlign w:val="bottom"/>
          </w:tcPr>
          <w:p>
            <w:pPr>
              <w:spacing w:after="0"/>
              <w:rPr>
                <w:sz w:val="1"/>
                <w:szCs w:val="1"/>
                <w:color w:val="auto"/>
              </w:rPr>
            </w:pPr>
          </w:p>
        </w:tc>
      </w:tr>
      <w:tr>
        <w:trPr>
          <w:trHeight w:val="200"/>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 of March 31, 2018</w:t>
            </w:r>
          </w:p>
        </w:tc>
        <w:tc>
          <w:tcPr>
            <w:tcW w:w="1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526,986</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168,317</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349,047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93,223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182,923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1,320,496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(236,120)</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(54,349)</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(109,601)</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(39,551)</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(140,840)</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(580,461)</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290,866</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113,968</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239,446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53,672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42,083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740,035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line="240"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7"/>
                <w:szCs w:val="27"/>
                <w:color w:val="auto"/>
                <w:vertAlign w:val="superscript"/>
              </w:rPr>
              <w:t>(2)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423,328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117,298</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270,293</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123,679</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53,077</w:t>
            </w:r>
          </w:p>
        </w:tc>
        <w:tc>
          <w:tcPr>
            <w:tcW w:w="26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987,675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60" w:hanging="374"/>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Includes $433 facility lease expense.</w:t>
      </w:r>
    </w:p>
    <w:p>
      <w:pPr>
        <w:spacing w:after="0" w:line="23" w:lineRule="exact"/>
        <w:rPr>
          <w:rFonts w:ascii="Arial" w:cs="Arial" w:eastAsia="Arial" w:hAnsi="Arial"/>
          <w:sz w:val="15"/>
          <w:szCs w:val="15"/>
          <w:color w:val="auto"/>
        </w:rPr>
      </w:pPr>
    </w:p>
    <w:p>
      <w:pPr>
        <w:ind w:left="760" w:hanging="374"/>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Total assets by region does not include corporate assets, which are $129,703 as of March 31, 2018.</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firstLine="761"/>
        <w:spacing w:after="0" w:line="251" w:lineRule="auto"/>
        <w:rPr>
          <w:sz w:val="20"/>
          <w:szCs w:val="20"/>
          <w:color w:val="auto"/>
        </w:rPr>
      </w:pPr>
      <w:r>
        <w:rPr>
          <w:rFonts w:ascii="Arial" w:cs="Arial" w:eastAsia="Arial" w:hAnsi="Arial"/>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Anchor</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2"/>
              </w:rPr>
              <w:t>handling</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towing</w:t>
            </w:r>
          </w:p>
        </w:tc>
        <w:tc>
          <w:tcPr>
            <w:tcW w:w="100" w:type="dxa"/>
            <w:vAlign w:val="bottom"/>
          </w:tcPr>
          <w:p>
            <w:pPr>
              <w:spacing w:after="0"/>
              <w:rPr>
                <w:sz w:val="17"/>
                <w:szCs w:val="17"/>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Fast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98"/>
              </w:rPr>
              <w:t>Standby</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Crew</w:t>
            </w:r>
          </w:p>
        </w:tc>
        <w:tc>
          <w:tcPr>
            <w:tcW w:w="8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supply</w:t>
            </w:r>
          </w:p>
        </w:tc>
        <w:tc>
          <w:tcPr>
            <w:tcW w:w="9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support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89"/>
              </w:rPr>
              <w:t>Supply</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0"/>
              </w:rPr>
              <w:t>safety</w:t>
            </w:r>
          </w:p>
        </w:tc>
        <w:tc>
          <w:tcPr>
            <w:tcW w:w="96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1"/>
              </w:rPr>
              <w:t>Specialty</w:t>
            </w:r>
          </w:p>
        </w:tc>
        <w:tc>
          <w:tcPr>
            <w:tcW w:w="96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4"/>
              </w:rPr>
              <w:t>Liftboats</w:t>
            </w:r>
          </w:p>
        </w:tc>
        <w:tc>
          <w:tcPr>
            <w:tcW w:w="9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transfer</w:t>
            </w: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0"/>
              </w:rPr>
              <w:t>activity</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9"/>
              </w:rPr>
              <w:t>For the Three Months Ended March</w:t>
            </w: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31, 2019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7,001</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8,499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17,750</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2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20"/>
                <w:szCs w:val="20"/>
                <w:color w:val="auto"/>
              </w:rPr>
            </w:pPr>
            <w:r>
              <w:rPr>
                <w:rFonts w:ascii="Arial" w:cs="Arial" w:eastAsia="Arial" w:hAnsi="Arial"/>
                <w:sz w:val="16"/>
                <w:szCs w:val="16"/>
                <w:color w:val="auto"/>
              </w:rPr>
              <w:t>Operating Revenues: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17,083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2,182</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11,308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13,877</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52,127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(658)</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2,217</w:t>
            </w:r>
          </w:p>
        </w:tc>
        <w:tc>
          <w:tcPr>
            <w:tcW w:w="2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16,832</w:t>
            </w:r>
          </w:p>
        </w:tc>
        <w:tc>
          <w:tcPr>
            <w:tcW w:w="2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4,106</w:t>
            </w:r>
          </w:p>
        </w:tc>
        <w:tc>
          <w:tcPr>
            <w:tcW w:w="2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11,339</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15,957</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5,124</w:t>
            </w:r>
          </w:p>
        </w:tc>
        <w:tc>
          <w:tcPr>
            <w:tcW w:w="26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2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56,249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1,678</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5,097</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22,756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1,983</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50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12,090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4,107</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9,111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12,241</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44,277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6"/>
                <w:szCs w:val="16"/>
                <w:b w:val="1"/>
                <w:bCs w:val="1"/>
                <w:color w:val="auto"/>
              </w:rPr>
              <w:t>Direct Vessel (Loss) Profit</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vMerge w:val="continue"/>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(654)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4,742</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2,228</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(203)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3,716</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1,313</w:t>
            </w:r>
          </w:p>
        </w:tc>
        <w:tc>
          <w:tcPr>
            <w:tcW w:w="2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831</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Lease expense</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1,498</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Administrative and general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6,053</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17,193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Gains on Asset Dispositions and</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Impairments</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680" w:type="dxa"/>
            <w:vAlign w:val="bottom"/>
          </w:tcPr>
          <w:p>
            <w:pPr>
              <w:spacing w:after="0"/>
              <w:rPr>
                <w:sz w:val="20"/>
                <w:szCs w:val="20"/>
                <w:color w:val="auto"/>
              </w:rPr>
            </w:pPr>
            <w:r>
              <w:rPr>
                <w:rFonts w:ascii="Arial" w:cs="Arial" w:eastAsia="Arial" w:hAnsi="Arial"/>
                <w:sz w:val="16"/>
                <w:szCs w:val="16"/>
                <w:color w:val="auto"/>
              </w:rPr>
              <w:t>Operating Loss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(21,010)</w:t>
            </w:r>
          </w:p>
        </w:tc>
        <w:tc>
          <w:tcPr>
            <w:tcW w:w="0" w:type="dxa"/>
            <w:vAlign w:val="bottom"/>
          </w:tcPr>
          <w:p>
            <w:pPr>
              <w:spacing w:after="0"/>
              <w:rPr>
                <w:sz w:val="1"/>
                <w:szCs w:val="1"/>
                <w:color w:val="auto"/>
              </w:rPr>
            </w:pPr>
          </w:p>
        </w:tc>
      </w:tr>
      <w:tr>
        <w:trPr>
          <w:trHeight w:val="200"/>
        </w:trPr>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 of March 31, 2019</w:t>
            </w: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Historical cost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197,343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434,298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81,407</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124,371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25,683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329,525</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75,204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27,114</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1,294,945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260"/>
              <w:spacing w:after="0"/>
              <w:rPr>
                <w:sz w:val="20"/>
                <w:szCs w:val="20"/>
                <w:color w:val="auto"/>
              </w:rPr>
            </w:pPr>
            <w:r>
              <w:rPr>
                <w:rFonts w:ascii="Arial" w:cs="Arial" w:eastAsia="Arial" w:hAnsi="Arial"/>
                <w:sz w:val="16"/>
                <w:szCs w:val="16"/>
                <w:color w:val="auto"/>
              </w:rPr>
              <w:t>Accumulated depreciation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(169,305)</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(104,524)</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(38,238)</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(99,225)</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(20,561)</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(77,938)</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(49,553)</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(20,097)</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(579,441)</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28,038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329,774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43,169</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25,146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251,587</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25,651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7,017</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715,504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hanging="379"/>
        <w:spacing w:after="0"/>
        <w:tabs>
          <w:tab w:leader="none" w:pos="8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Includes $217 facility lease expense.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Anchor</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2"/>
              </w:rPr>
              <w:t>handling</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towing</w:t>
            </w:r>
          </w:p>
        </w:tc>
        <w:tc>
          <w:tcPr>
            <w:tcW w:w="140" w:type="dxa"/>
            <w:vAlign w:val="bottom"/>
          </w:tcPr>
          <w:p>
            <w:pPr>
              <w:spacing w:after="0"/>
              <w:rPr>
                <w:sz w:val="17"/>
                <w:szCs w:val="17"/>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Fast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98"/>
              </w:rPr>
              <w:t>Standby</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Crew</w:t>
            </w:r>
          </w:p>
        </w:tc>
        <w:tc>
          <w:tcPr>
            <w:tcW w:w="8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supply</w:t>
            </w:r>
          </w:p>
        </w:tc>
        <w:tc>
          <w:tcPr>
            <w:tcW w:w="9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support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89"/>
              </w:rPr>
              <w:t>Supply</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5"/>
              </w:rPr>
              <w:t>safety</w:t>
            </w:r>
          </w:p>
        </w:tc>
        <w:tc>
          <w:tcPr>
            <w:tcW w:w="96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1"/>
              </w:rPr>
              <w:t>Specialty</w:t>
            </w:r>
          </w:p>
        </w:tc>
        <w:tc>
          <w:tcPr>
            <w:tcW w:w="96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4"/>
              </w:rPr>
              <w:t>Liftboats</w:t>
            </w:r>
          </w:p>
        </w:tc>
        <w:tc>
          <w:tcPr>
            <w:tcW w:w="9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96"/>
              </w:rPr>
              <w:t>Transfer</w:t>
            </w: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0"/>
              </w:rPr>
              <w:t>activity</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4"/>
              </w:rPr>
              <w:t>For the three months ended March 31,</w:t>
            </w: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6,454</w:t>
            </w: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16,068</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w:t>
            </w: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1,659</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Operating Revenues: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3,002</w:t>
            </w: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8,126</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47,142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4,225</w:t>
            </w:r>
          </w:p>
        </w:tc>
        <w:tc>
          <w:tcPr>
            <w:tcW w:w="2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14,771</w:t>
            </w:r>
          </w:p>
        </w:tc>
        <w:tc>
          <w:tcPr>
            <w:tcW w:w="2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4,127</w:t>
            </w:r>
          </w:p>
        </w:tc>
        <w:tc>
          <w:tcPr>
            <w:tcW w:w="2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13,091</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8,882</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5,178</w:t>
            </w:r>
          </w:p>
        </w:tc>
        <w:tc>
          <w:tcPr>
            <w:tcW w:w="26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1,447</w:t>
            </w:r>
          </w:p>
        </w:tc>
        <w:tc>
          <w:tcPr>
            <w:tcW w:w="2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51,721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1,956</w:t>
            </w: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3,461</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694</w:t>
            </w: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500"/>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9,870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3,916</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6,382</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38,348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6"/>
                <w:szCs w:val="16"/>
                <w:b w:val="1"/>
                <w:bCs w:val="1"/>
                <w:color w:val="auto"/>
              </w:rPr>
              <w:t>Direct Vessel Profit (Loss)</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vMerge w:val="continue"/>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1,258</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4,901</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211</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1,568</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(392)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2,500</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1,788</w:t>
            </w:r>
          </w:p>
        </w:tc>
        <w:tc>
          <w:tcPr>
            <w:tcW w:w="2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1,539</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13,373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Leased-in equipment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Administrative and general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2,743</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5,025</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2,428</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19,512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35,144</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Losses on Asset Dispositions and</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Impairments, Net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6"/>
                <w:szCs w:val="16"/>
                <w:color w:val="auto"/>
              </w:rPr>
              <w:t>Operating Loss</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7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(24,414)</w:t>
            </w:r>
          </w:p>
        </w:tc>
        <w:tc>
          <w:tcPr>
            <w:tcW w:w="0" w:type="dxa"/>
            <w:vAlign w:val="bottom"/>
          </w:tcPr>
          <w:p>
            <w:pPr>
              <w:spacing w:after="0"/>
              <w:rPr>
                <w:sz w:val="1"/>
                <w:szCs w:val="1"/>
                <w:color w:val="auto"/>
              </w:rPr>
            </w:pPr>
          </w:p>
        </w:tc>
      </w:tr>
      <w:tr>
        <w:trPr>
          <w:trHeight w:val="200"/>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 of March 31, 2018</w:t>
            </w: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Property and Equipment: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Historical cost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201,354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421,174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105,360</w:t>
            </w: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123,471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30,528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337,142</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69,950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31,517</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1,320,496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60"/>
              <w:spacing w:after="0"/>
              <w:rPr>
                <w:sz w:val="20"/>
                <w:szCs w:val="20"/>
                <w:color w:val="auto"/>
              </w:rPr>
            </w:pPr>
            <w:r>
              <w:rPr>
                <w:rFonts w:ascii="Arial" w:cs="Arial" w:eastAsia="Arial" w:hAnsi="Arial"/>
                <w:sz w:val="16"/>
                <w:szCs w:val="16"/>
                <w:color w:val="auto"/>
              </w:rPr>
              <w:t>Accumulated depreciation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(180,906)</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(92,519)</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(54,236)</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(102,444)</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(19,586)</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(59,567)</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(44,235)</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(26,968)</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(580,461)</w:t>
            </w: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20,448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328,655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51,124</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21,027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277,575</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25,715</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4,549</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740,035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hanging="376"/>
        <w:spacing w:after="0"/>
        <w:tabs>
          <w:tab w:leader="none" w:pos="11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$433 facility lease expense.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Fleet Counts. </w:t>
      </w:r>
      <w:r>
        <w:rPr>
          <w:rFonts w:ascii="Arial" w:cs="Arial" w:eastAsia="Arial" w:hAnsi="Arial"/>
          <w:sz w:val="22"/>
          <w:szCs w:val="22"/>
          <w:color w:val="auto"/>
        </w:rPr>
        <w:t>The Company's fleet count as of March 31, 2019 and December 31, 2018 was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Owned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Joint Ventured</w:t>
            </w: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Leased-in</w:t>
            </w: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Managed</w:t>
            </w:r>
          </w:p>
        </w:tc>
        <w:tc>
          <w:tcPr>
            <w:tcW w:w="114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3820" w:type="dxa"/>
            <w:vAlign w:val="bottom"/>
            <w:tcBorders>
              <w:top w:val="single" w:sz="8" w:color="CFF0FC"/>
            </w:tcBorders>
            <w:gridSpan w:val="2"/>
            <w:shd w:val="clear" w:color="auto" w:fill="CFF0FC"/>
          </w:tcPr>
          <w:p>
            <w:pPr>
              <w:jc w:val="center"/>
              <w:ind w:right="1490"/>
              <w:spacing w:after="0"/>
              <w:rPr>
                <w:sz w:val="20"/>
                <w:szCs w:val="20"/>
                <w:color w:val="auto"/>
              </w:rPr>
            </w:pPr>
            <w:r>
              <w:rPr>
                <w:rFonts w:ascii="Arial" w:cs="Arial" w:eastAsia="Arial" w:hAnsi="Arial"/>
                <w:sz w:val="18"/>
                <w:szCs w:val="18"/>
                <w:b w:val="1"/>
                <w:bCs w:val="1"/>
                <w:color w:val="auto"/>
                <w:w w:val="93"/>
              </w:rPr>
              <w:t>March 31, 2019</w:t>
            </w: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AHTS</w:t>
            </w:r>
          </w:p>
        </w:tc>
        <w:tc>
          <w:tcPr>
            <w:tcW w:w="3700" w:type="dxa"/>
            <w:vAlign w:val="bottom"/>
            <w:tcBorders>
              <w:top w:val="single" w:sz="8" w:color="auto"/>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FSV</w:t>
            </w:r>
          </w:p>
        </w:tc>
        <w:tc>
          <w:tcPr>
            <w:tcW w:w="4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Supply</w:t>
            </w:r>
          </w:p>
        </w:tc>
        <w:tc>
          <w:tcPr>
            <w:tcW w:w="48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Standby safety</w:t>
            </w:r>
          </w:p>
        </w:tc>
        <w:tc>
          <w:tcPr>
            <w:tcW w:w="4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Specialty</w:t>
            </w:r>
          </w:p>
        </w:tc>
        <w:tc>
          <w:tcPr>
            <w:tcW w:w="48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Liftboats</w:t>
            </w:r>
          </w:p>
        </w:tc>
        <w:tc>
          <w:tcPr>
            <w:tcW w:w="4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Crew transfer</w:t>
            </w:r>
          </w:p>
        </w:tc>
        <w:tc>
          <w:tcPr>
            <w:tcW w:w="484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38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20" w:type="dxa"/>
            <w:vAlign w:val="bottom"/>
            <w:gridSpan w:val="2"/>
          </w:tcPr>
          <w:p>
            <w:pPr>
              <w:jc w:val="center"/>
              <w:ind w:right="1490"/>
              <w:spacing w:after="0"/>
              <w:rPr>
                <w:sz w:val="20"/>
                <w:szCs w:val="20"/>
                <w:color w:val="auto"/>
              </w:rPr>
            </w:pPr>
            <w:r>
              <w:rPr>
                <w:rFonts w:ascii="Arial" w:cs="Arial" w:eastAsia="Arial" w:hAnsi="Arial"/>
                <w:sz w:val="18"/>
                <w:szCs w:val="18"/>
                <w:b w:val="1"/>
                <w:bCs w:val="1"/>
                <w:color w:val="auto"/>
                <w:w w:val="88"/>
              </w:rPr>
              <w:t>December 31, 2018</w:t>
            </w: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AHTS</w:t>
            </w:r>
          </w:p>
        </w:tc>
        <w:tc>
          <w:tcPr>
            <w:tcW w:w="37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FSV</w:t>
            </w:r>
          </w:p>
        </w:tc>
        <w:tc>
          <w:tcPr>
            <w:tcW w:w="484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4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Standby safety</w:t>
            </w:r>
          </w:p>
        </w:tc>
        <w:tc>
          <w:tcPr>
            <w:tcW w:w="484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Specialty</w:t>
            </w:r>
          </w:p>
        </w:tc>
        <w:tc>
          <w:tcPr>
            <w:tcW w:w="4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Liftboats</w:t>
            </w:r>
          </w:p>
        </w:tc>
        <w:tc>
          <w:tcPr>
            <w:tcW w:w="48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Crew transfer</w:t>
            </w:r>
          </w:p>
        </w:tc>
        <w:tc>
          <w:tcPr>
            <w:tcW w:w="4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(Loss)</w:t>
      </w:r>
    </w:p>
    <w:p>
      <w:pPr>
        <w:spacing w:after="0" w:line="172"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United States, primarily Gulf of Mexico. </w:t>
      </w:r>
      <w:r>
        <w:rPr>
          <w:rFonts w:ascii="Arial" w:cs="Arial" w:eastAsia="Arial" w:hAnsi="Arial"/>
          <w:sz w:val="22"/>
          <w:szCs w:val="22"/>
          <w:color w:val="auto"/>
        </w:rPr>
        <w:t>For the three months ended March 31, the Company’s time charter statistics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 vessel profit (loss) in the United States was as follows (in thousands, except statistics):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ind w:left="360"/>
              <w:spacing w:after="0"/>
              <w:rPr>
                <w:sz w:val="20"/>
                <w:szCs w:val="20"/>
                <w:color w:val="auto"/>
              </w:rPr>
            </w:pPr>
            <w:r>
              <w:rPr>
                <w:rFonts w:ascii="Arial" w:cs="Arial" w:eastAsia="Arial" w:hAnsi="Arial"/>
                <w:sz w:val="16"/>
                <w:szCs w:val="16"/>
                <w:b w:val="1"/>
                <w:bCs w:val="1"/>
                <w:color w:val="auto"/>
              </w:rPr>
              <w:t>For the Three Months Ended March 31,</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FF0FC"/>
            </w:tcBorders>
          </w:tcPr>
          <w:p>
            <w:pPr>
              <w:spacing w:after="0"/>
              <w:rPr>
                <w:sz w:val="18"/>
                <w:szCs w:val="18"/>
                <w:color w:val="auto"/>
              </w:rPr>
            </w:pPr>
          </w:p>
        </w:tc>
        <w:tc>
          <w:tcPr>
            <w:tcW w:w="214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2600" w:type="dxa"/>
            <w:vAlign w:val="bottom"/>
            <w:gridSpan w:val="2"/>
            <w:shd w:val="clear" w:color="auto" w:fill="CFF0FC"/>
          </w:tcPr>
          <w:p>
            <w:pPr>
              <w:jc w:val="right"/>
              <w:ind w:right="30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7,634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7,187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Overall</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10,588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8,775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Anchor handling towing supply</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Fast support</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39%</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31%</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28%</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Specialty</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2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214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w:t>
            </w:r>
          </w:p>
        </w:tc>
        <w:tc>
          <w:tcPr>
            <w:tcW w:w="26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w:t>
            </w:r>
          </w:p>
        </w:tc>
        <w:tc>
          <w:tcPr>
            <w:tcW w:w="26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600" w:type="dxa"/>
            <w:vAlign w:val="bottom"/>
            <w:gridSpan w:val="2"/>
          </w:tcPr>
          <w:p>
            <w:pPr>
              <w:jc w:val="right"/>
              <w:ind w:right="3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8,005</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88%</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5,982</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2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w:t>
            </w: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1,655</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9,137</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7,637</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21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4,503</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48%</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3,992</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2,778</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30%</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694</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1,994</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22%</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525</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683</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493</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w:t>
            </w: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10,640</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115%</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6,163</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 (Loss)</w:t>
            </w:r>
          </w:p>
        </w:tc>
        <w:tc>
          <w:tcPr>
            <w:tcW w:w="21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(1,503)</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w:t>
            </w: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1,474</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61"/>
        <w:spacing w:after="0" w:line="248"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Time charter revenues were $2.0 million higher in the Current Year Quarter compared with the Prior</w:t>
      </w:r>
      <w:r>
        <w:rPr>
          <w:rFonts w:ascii="Arial" w:cs="Arial" w:eastAsia="Arial" w:hAnsi="Arial"/>
          <w:sz w:val="21"/>
          <w:szCs w:val="21"/>
          <w:i w:val="1"/>
          <w:iCs w:val="1"/>
          <w:color w:val="auto"/>
        </w:rPr>
        <w:t xml:space="preserve"> </w:t>
      </w:r>
      <w:r>
        <w:rPr>
          <w:rFonts w:ascii="Arial" w:cs="Arial" w:eastAsia="Arial" w:hAnsi="Arial"/>
          <w:sz w:val="21"/>
          <w:szCs w:val="21"/>
          <w:color w:val="auto"/>
        </w:rPr>
        <w:t>Year Quarter primarily due to the addition of six liftboats associated with the Falcon Global Holdings joint venture. Time charter revenues were $1.9 million higher for the liftboat fleet, and $0.1 million higher for FSVs. As of March 31, 2019, the Company had 16 of 32 owned and leased-in vessels (four AHTS vessels, five FSVs, six liftboats, and one specialty vessel) cold-stacked in this region compared with 33 of 43 vessels as of March 31, 2018. As of March 31, 2019, the Company had retired and removed from service six vessels (five AHTS vessels and one supply) in this region.</w:t>
      </w:r>
    </w:p>
    <w:p>
      <w:pPr>
        <w:spacing w:after="0" w:line="137"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$4.5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On an overall basis, direct operating expenses were $5.1 million higher due to net fleet acquisitions, $0.2 million higher for the active fleet and other marine services and $0.8 million lower due to the effect of cold-stacking vessels. Repairs and maintenance costs were $2.1 million higher and drydocking expenses were $1.5 million higher primarily due to net fleet additions.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Africa, primarily West Africa. </w:t>
      </w:r>
      <w:r>
        <w:rPr>
          <w:rFonts w:ascii="Arial" w:cs="Arial" w:eastAsia="Arial" w:hAnsi="Arial"/>
          <w:sz w:val="22"/>
          <w:szCs w:val="22"/>
          <w:color w:val="auto"/>
        </w:rPr>
        <w:t>For the three months ended March 31, the Company’s time charter statistics and direct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vessel profit in Africa was as follows (in thousands, except statistics):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ind w:left="360"/>
              <w:spacing w:after="0"/>
              <w:rPr>
                <w:sz w:val="20"/>
                <w:szCs w:val="20"/>
                <w:color w:val="auto"/>
              </w:rPr>
            </w:pPr>
            <w:r>
              <w:rPr>
                <w:rFonts w:ascii="Arial" w:cs="Arial" w:eastAsia="Arial" w:hAnsi="Arial"/>
                <w:sz w:val="16"/>
                <w:szCs w:val="16"/>
                <w:b w:val="1"/>
                <w:bCs w:val="1"/>
                <w:color w:val="auto"/>
              </w:rPr>
              <w:t>For the Three Months Ended March 31,</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FF0FC"/>
            </w:tcBorders>
          </w:tcPr>
          <w:p>
            <w:pPr>
              <w:spacing w:after="0"/>
              <w:rPr>
                <w:sz w:val="18"/>
                <w:szCs w:val="18"/>
                <w:color w:val="auto"/>
              </w:rPr>
            </w:pPr>
          </w:p>
        </w:tc>
        <w:tc>
          <w:tcPr>
            <w:tcW w:w="214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2600" w:type="dxa"/>
            <w:vAlign w:val="bottom"/>
            <w:gridSpan w:val="2"/>
            <w:shd w:val="clear" w:color="auto" w:fill="CFF0FC"/>
          </w:tcPr>
          <w:p>
            <w:pPr>
              <w:jc w:val="right"/>
              <w:ind w:right="30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9,325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10,196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9,913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7,414</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Overall</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9,461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9,455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Anchor handling towing supply</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94%</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Fast support</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86%</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Supply</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81%</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87%</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214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w:t>
            </w:r>
          </w:p>
        </w:tc>
        <w:tc>
          <w:tcPr>
            <w:tcW w:w="26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w:t>
            </w:r>
          </w:p>
        </w:tc>
        <w:tc>
          <w:tcPr>
            <w:tcW w:w="26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600" w:type="dxa"/>
            <w:vAlign w:val="bottom"/>
            <w:gridSpan w:val="2"/>
          </w:tcPr>
          <w:p>
            <w:pPr>
              <w:jc w:val="right"/>
              <w:ind w:right="3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10,773</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106%</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10,794</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2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(637)</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w:t>
            </w: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1,287</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10,136</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12,081</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21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3,867</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38%</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4,073</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1,356</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338</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2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754</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669</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2,106</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w:t>
            </w: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8,462</w:t>
            </w: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83%</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7,354</w:t>
            </w: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21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1,674</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w:t>
            </w: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4,727</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Time charter revenues were flat in the Current Year Quarter compared with the Prior Year Quarter.</w:t>
      </w:r>
      <w:r>
        <w:rPr>
          <w:rFonts w:ascii="Arial" w:cs="Arial" w:eastAsia="Arial" w:hAnsi="Arial"/>
          <w:sz w:val="22"/>
          <w:szCs w:val="22"/>
          <w:i w:val="1"/>
          <w:iCs w:val="1"/>
          <w:color w:val="auto"/>
        </w:rPr>
        <w:t xml:space="preserve"> </w:t>
      </w:r>
      <w:r>
        <w:rPr>
          <w:rFonts w:ascii="Arial" w:cs="Arial" w:eastAsia="Arial" w:hAnsi="Arial"/>
          <w:sz w:val="22"/>
          <w:szCs w:val="22"/>
          <w:color w:val="auto"/>
        </w:rPr>
        <w:t>Time charter revenues were $0.6 million higher due to improved utilization, $0.4 million lower due to reduced average day rates and $0.2 million lower due to the repositioning of vessels between geographic regions. Other marine services were $1.9 million lower primarily due to the recognition in the Prior Year Quarter of previously deferred revenue, following receipt of cash, due to collection concerns with regard to one customer. As of March 31, 2019, the Company had one specialty vessel retired and removed from service in this region.</w:t>
      </w:r>
    </w:p>
    <w:p>
      <w:pPr>
        <w:spacing w:after="0" w:line="148"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$1.1 million higher in the Current Year Quarter compared</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Prior Year Quarter. On an overall basis, operating costs were $1.7 million higher due to net fleet additions, $0.3 million lower for the active fleet and other changes in fleet mix and $0.3 million lower due to the repositioning of vessels between geographic regions. Other Operating Expenses were $1.1 million higher primarily due to mobilization costs.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Middle East and Asia. </w:t>
      </w:r>
      <w:r>
        <w:rPr>
          <w:rFonts w:ascii="Arial" w:cs="Arial" w:eastAsia="Arial" w:hAnsi="Arial"/>
          <w:sz w:val="22"/>
          <w:szCs w:val="22"/>
          <w:color w:val="auto"/>
        </w:rPr>
        <w:t>For the three months ended March 31, the Company’s time charter statistics and direct vessel profit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the Middle East and Asia was as follows (in thousands, except statistics):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40" w:type="dxa"/>
            <w:vAlign w:val="bottom"/>
            <w:gridSpan w:val="5"/>
          </w:tcPr>
          <w:p>
            <w:pPr>
              <w:ind w:left="360"/>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0"/>
        </w:trPr>
        <w:tc>
          <w:tcPr>
            <w:tcW w:w="4700" w:type="dxa"/>
            <w:vAlign w:val="bottom"/>
            <w:tcBorders>
              <w:bottom w:val="single" w:sz="8" w:color="CFF0FC"/>
            </w:tcBorders>
          </w:tcPr>
          <w:p>
            <w:pPr>
              <w:spacing w:after="0"/>
              <w:rPr>
                <w:sz w:val="18"/>
                <w:szCs w:val="18"/>
                <w:color w:val="auto"/>
              </w:rPr>
            </w:pPr>
          </w:p>
        </w:tc>
        <w:tc>
          <w:tcPr>
            <w:tcW w:w="2140" w:type="dxa"/>
            <w:vAlign w:val="bottom"/>
            <w:tcBorders>
              <w:bottom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top w:val="single" w:sz="8" w:color="auto"/>
              <w:bottom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FF0FC"/>
            </w:tcBorders>
          </w:tcPr>
          <w:p>
            <w:pPr>
              <w:spacing w:after="0"/>
              <w:rPr>
                <w:sz w:val="18"/>
                <w:szCs w:val="18"/>
                <w:color w:val="auto"/>
              </w:rPr>
            </w:pPr>
          </w:p>
        </w:tc>
      </w:tr>
      <w:tr>
        <w:trPr>
          <w:trHeight w:val="212"/>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25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5,892</w:t>
            </w:r>
          </w:p>
        </w:tc>
        <w:tc>
          <w:tcPr>
            <w:tcW w:w="76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7,629</w:t>
            </w:r>
          </w:p>
        </w:tc>
        <w:tc>
          <w:tcPr>
            <w:tcW w:w="200" w:type="dxa"/>
            <w:vAlign w:val="bottom"/>
            <w:shd w:val="clear" w:color="auto" w:fill="CFF0FC"/>
          </w:tcPr>
          <w:p>
            <w:pPr>
              <w:spacing w:after="0"/>
              <w:rPr>
                <w:sz w:val="19"/>
                <w:szCs w:val="19"/>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ind w:right="599"/>
              <w:spacing w:after="0"/>
              <w:rPr>
                <w:sz w:val="20"/>
                <w:szCs w:val="20"/>
                <w:color w:val="auto"/>
              </w:rPr>
            </w:pPr>
            <w:r>
              <w:rPr>
                <w:rFonts w:ascii="Arial" w:cs="Arial" w:eastAsia="Arial" w:hAnsi="Arial"/>
                <w:sz w:val="16"/>
                <w:szCs w:val="16"/>
                <w:color w:val="auto"/>
              </w:rPr>
              <w:t>6,111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ind w:right="619"/>
              <w:spacing w:after="0"/>
              <w:rPr>
                <w:sz w:val="20"/>
                <w:szCs w:val="20"/>
                <w:color w:val="auto"/>
              </w:rPr>
            </w:pPr>
            <w:r>
              <w:rPr>
                <w:rFonts w:ascii="Arial" w:cs="Arial" w:eastAsia="Arial" w:hAnsi="Arial"/>
                <w:sz w:val="16"/>
                <w:szCs w:val="16"/>
                <w:color w:val="auto"/>
              </w:rPr>
              <w:t>6,584</w:t>
            </w:r>
          </w:p>
        </w:tc>
        <w:tc>
          <w:tcPr>
            <w:tcW w:w="200" w:type="dxa"/>
            <w:vAlign w:val="bottom"/>
          </w:tcPr>
          <w:p>
            <w:pPr>
              <w:spacing w:after="0"/>
              <w:rPr>
                <w:sz w:val="18"/>
                <w:szCs w:val="18"/>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5,982</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4,147</w:t>
            </w:r>
          </w:p>
        </w:tc>
        <w:tc>
          <w:tcPr>
            <w:tcW w:w="200" w:type="dxa"/>
            <w:vAlign w:val="bottom"/>
            <w:shd w:val="clear" w:color="auto" w:fill="CFF0FC"/>
          </w:tcPr>
          <w:p>
            <w:pPr>
              <w:spacing w:after="0"/>
              <w:rPr>
                <w:sz w:val="19"/>
                <w:szCs w:val="19"/>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ind w:right="599"/>
              <w:spacing w:after="0"/>
              <w:rPr>
                <w:sz w:val="20"/>
                <w:szCs w:val="20"/>
                <w:color w:val="auto"/>
              </w:rPr>
            </w:pPr>
            <w:r>
              <w:rPr>
                <w:rFonts w:ascii="Arial" w:cs="Arial" w:eastAsia="Arial" w:hAnsi="Arial"/>
                <w:sz w:val="16"/>
                <w:szCs w:val="16"/>
                <w:color w:val="auto"/>
              </w:rPr>
              <w:t>27,150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ind w:right="619"/>
              <w:spacing w:after="0"/>
              <w:rPr>
                <w:sz w:val="20"/>
                <w:szCs w:val="20"/>
                <w:color w:val="auto"/>
              </w:rPr>
            </w:pPr>
            <w:r>
              <w:rPr>
                <w:rFonts w:ascii="Arial" w:cs="Arial" w:eastAsia="Arial" w:hAnsi="Arial"/>
                <w:sz w:val="16"/>
                <w:szCs w:val="16"/>
                <w:color w:val="auto"/>
              </w:rPr>
              <w:t>35,700</w:t>
            </w:r>
          </w:p>
        </w:tc>
        <w:tc>
          <w:tcPr>
            <w:tcW w:w="200" w:type="dxa"/>
            <w:vAlign w:val="bottom"/>
          </w:tcPr>
          <w:p>
            <w:pPr>
              <w:spacing w:after="0"/>
              <w:rPr>
                <w:sz w:val="18"/>
                <w:szCs w:val="18"/>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Crew transfer</w:t>
            </w:r>
          </w:p>
        </w:tc>
        <w:tc>
          <w:tcPr>
            <w:tcW w:w="2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2,025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FF0FC"/>
          </w:tcPr>
          <w:p>
            <w:pPr>
              <w:spacing w:after="0"/>
              <w:rPr>
                <w:sz w:val="19"/>
                <w:szCs w:val="19"/>
                <w:color w:val="auto"/>
              </w:rPr>
            </w:pPr>
          </w:p>
        </w:tc>
      </w:tr>
      <w:tr>
        <w:trPr>
          <w:trHeight w:val="210"/>
        </w:trPr>
        <w:tc>
          <w:tcPr>
            <w:tcW w:w="4700" w:type="dxa"/>
            <w:vAlign w:val="bottom"/>
          </w:tcPr>
          <w:p>
            <w:pPr>
              <w:ind w:left="500"/>
              <w:spacing w:after="0"/>
              <w:rPr>
                <w:sz w:val="20"/>
                <w:szCs w:val="20"/>
                <w:color w:val="auto"/>
              </w:rPr>
            </w:pPr>
            <w:r>
              <w:rPr>
                <w:rFonts w:ascii="Arial" w:cs="Arial" w:eastAsia="Arial" w:hAnsi="Arial"/>
                <w:sz w:val="16"/>
                <w:szCs w:val="16"/>
                <w:color w:val="auto"/>
              </w:rPr>
              <w:t>Overall</w:t>
            </w: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ind w:right="599"/>
              <w:spacing w:after="0"/>
              <w:rPr>
                <w:sz w:val="20"/>
                <w:szCs w:val="20"/>
                <w:color w:val="auto"/>
              </w:rPr>
            </w:pPr>
            <w:r>
              <w:rPr>
                <w:rFonts w:ascii="Arial" w:cs="Arial" w:eastAsia="Arial" w:hAnsi="Arial"/>
                <w:sz w:val="16"/>
                <w:szCs w:val="16"/>
                <w:color w:val="auto"/>
              </w:rPr>
              <w:t>8,386</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ind w:right="619"/>
              <w:spacing w:after="0"/>
              <w:rPr>
                <w:sz w:val="20"/>
                <w:szCs w:val="20"/>
                <w:color w:val="auto"/>
              </w:rPr>
            </w:pPr>
            <w:r>
              <w:rPr>
                <w:rFonts w:ascii="Arial" w:cs="Arial" w:eastAsia="Arial" w:hAnsi="Arial"/>
                <w:sz w:val="16"/>
                <w:szCs w:val="16"/>
                <w:color w:val="auto"/>
              </w:rPr>
              <w:t>8,072</w:t>
            </w:r>
          </w:p>
        </w:tc>
        <w:tc>
          <w:tcPr>
            <w:tcW w:w="20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4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13"/>
        </w:trPr>
        <w:tc>
          <w:tcPr>
            <w:tcW w:w="5600" w:type="dxa"/>
            <w:vAlign w:val="bottom"/>
          </w:tcPr>
          <w:p>
            <w:pPr>
              <w:ind w:left="500"/>
              <w:spacing w:after="0"/>
              <w:rPr>
                <w:sz w:val="20"/>
                <w:szCs w:val="20"/>
                <w:color w:val="auto"/>
              </w:rPr>
            </w:pPr>
            <w:r>
              <w:rPr>
                <w:rFonts w:ascii="Arial" w:cs="Arial" w:eastAsia="Arial" w:hAnsi="Arial"/>
                <w:sz w:val="16"/>
                <w:szCs w:val="16"/>
                <w:color w:val="auto"/>
              </w:rPr>
              <w:t>Anchor handling towing supply</w:t>
            </w:r>
          </w:p>
        </w:tc>
        <w:tc>
          <w:tcPr>
            <w:tcW w:w="4420" w:type="dxa"/>
            <w:vAlign w:val="bottom"/>
          </w:tcPr>
          <w:p>
            <w:pPr>
              <w:jc w:val="right"/>
              <w:ind w:right="919"/>
              <w:spacing w:after="0"/>
              <w:rPr>
                <w:sz w:val="20"/>
                <w:szCs w:val="20"/>
                <w:color w:val="auto"/>
              </w:rPr>
            </w:pPr>
            <w:r>
              <w:rPr>
                <w:rFonts w:ascii="Arial" w:cs="Arial" w:eastAsia="Arial" w:hAnsi="Arial"/>
                <w:sz w:val="16"/>
                <w:szCs w:val="16"/>
                <w:color w:val="auto"/>
              </w:rPr>
              <w:t>41%</w:t>
            </w:r>
          </w:p>
        </w:tc>
        <w:tc>
          <w:tcPr>
            <w:tcW w:w="14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5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Fast support</w:t>
            </w:r>
          </w:p>
        </w:tc>
        <w:tc>
          <w:tcPr>
            <w:tcW w:w="442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rPr>
              <w:t>79%</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5600" w:type="dxa"/>
            <w:vAlign w:val="bottom"/>
          </w:tcPr>
          <w:p>
            <w:pPr>
              <w:ind w:left="500"/>
              <w:spacing w:after="0"/>
              <w:rPr>
                <w:sz w:val="20"/>
                <w:szCs w:val="20"/>
                <w:color w:val="auto"/>
              </w:rPr>
            </w:pPr>
            <w:r>
              <w:rPr>
                <w:rFonts w:ascii="Arial" w:cs="Arial" w:eastAsia="Arial" w:hAnsi="Arial"/>
                <w:sz w:val="16"/>
                <w:szCs w:val="16"/>
                <w:color w:val="auto"/>
              </w:rPr>
              <w:t>Supply</w:t>
            </w:r>
          </w:p>
        </w:tc>
        <w:tc>
          <w:tcPr>
            <w:tcW w:w="4420" w:type="dxa"/>
            <w:vAlign w:val="bottom"/>
          </w:tcPr>
          <w:p>
            <w:pPr>
              <w:jc w:val="right"/>
              <w:ind w:right="919"/>
              <w:spacing w:after="0"/>
              <w:rPr>
                <w:sz w:val="20"/>
                <w:szCs w:val="20"/>
                <w:color w:val="auto"/>
              </w:rPr>
            </w:pPr>
            <w:r>
              <w:rPr>
                <w:rFonts w:ascii="Arial" w:cs="Arial" w:eastAsia="Arial" w:hAnsi="Arial"/>
                <w:sz w:val="16"/>
                <w:szCs w:val="16"/>
                <w:color w:val="auto"/>
              </w:rPr>
              <w:t>50%</w:t>
            </w:r>
          </w:p>
        </w:tc>
        <w:tc>
          <w:tcPr>
            <w:tcW w:w="14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5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442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rPr>
              <w:t>100%</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5600" w:type="dxa"/>
            <w:vAlign w:val="bottom"/>
          </w:tcPr>
          <w:p>
            <w:pPr>
              <w:ind w:left="500"/>
              <w:spacing w:after="0"/>
              <w:rPr>
                <w:sz w:val="20"/>
                <w:szCs w:val="20"/>
                <w:color w:val="auto"/>
              </w:rPr>
            </w:pPr>
            <w:r>
              <w:rPr>
                <w:rFonts w:ascii="Arial" w:cs="Arial" w:eastAsia="Arial" w:hAnsi="Arial"/>
                <w:sz w:val="16"/>
                <w:szCs w:val="16"/>
                <w:color w:val="auto"/>
              </w:rPr>
              <w:t>Crew transfer</w:t>
            </w:r>
          </w:p>
        </w:tc>
        <w:tc>
          <w:tcPr>
            <w:tcW w:w="4420" w:type="dxa"/>
            <w:vAlign w:val="bottom"/>
          </w:tcPr>
          <w:p>
            <w:pPr>
              <w:jc w:val="right"/>
              <w:ind w:right="919"/>
              <w:spacing w:after="0"/>
              <w:rPr>
                <w:sz w:val="20"/>
                <w:szCs w:val="20"/>
                <w:color w:val="auto"/>
              </w:rPr>
            </w:pPr>
            <w:r>
              <w:rPr>
                <w:rFonts w:ascii="Arial" w:cs="Arial" w:eastAsia="Arial" w:hAnsi="Arial"/>
                <w:sz w:val="16"/>
                <w:szCs w:val="16"/>
                <w:color w:val="auto"/>
              </w:rPr>
              <w:t>50%</w:t>
            </w:r>
          </w:p>
        </w:tc>
        <w:tc>
          <w:tcPr>
            <w:tcW w:w="14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9"/>
        </w:trPr>
        <w:tc>
          <w:tcPr>
            <w:tcW w:w="5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442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rPr>
              <w:t>72%</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0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Anchor handling towing supply</w:t>
            </w:r>
          </w:p>
        </w:tc>
        <w:tc>
          <w:tcPr>
            <w:tcW w:w="2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Fast support</w:t>
            </w: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Crew transfer</w:t>
            </w:r>
          </w:p>
        </w:tc>
        <w:tc>
          <w:tcPr>
            <w:tcW w:w="2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214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2,061</w:t>
            </w:r>
          </w:p>
        </w:tc>
        <w:tc>
          <w:tcPr>
            <w:tcW w:w="26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w:t>
            </w:r>
          </w:p>
        </w:tc>
        <w:tc>
          <w:tcPr>
            <w:tcW w:w="26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640" w:type="dxa"/>
            <w:vAlign w:val="bottom"/>
            <w:gridSpan w:val="2"/>
          </w:tcPr>
          <w:p>
            <w:pPr>
              <w:jc w:val="right"/>
              <w:ind w:right="34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12,499</w:t>
            </w:r>
          </w:p>
        </w:tc>
        <w:tc>
          <w:tcPr>
            <w:tcW w:w="2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98%</w:t>
            </w:r>
          </w:p>
        </w:tc>
        <w:tc>
          <w:tcPr>
            <w:tcW w:w="5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11,374</w:t>
            </w: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2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(130)</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12,727</w:t>
            </w:r>
          </w:p>
        </w:tc>
        <w:tc>
          <w:tcPr>
            <w:tcW w:w="2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11,244</w:t>
            </w: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214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4,254</w:t>
            </w:r>
          </w:p>
        </w:tc>
        <w:tc>
          <w:tcPr>
            <w:tcW w:w="2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4,022</w:t>
            </w: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2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2,193</w:t>
            </w:r>
          </w:p>
        </w:tc>
        <w:tc>
          <w:tcPr>
            <w:tcW w:w="2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2,428</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w:t>
            </w:r>
          </w:p>
        </w:tc>
        <w:tc>
          <w:tcPr>
            <w:tcW w:w="2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2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709</w:t>
            </w:r>
          </w:p>
        </w:tc>
        <w:tc>
          <w:tcPr>
            <w:tcW w:w="2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1,034</w:t>
            </w: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w:t>
            </w: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w:t>
            </w:r>
          </w:p>
        </w:tc>
        <w:tc>
          <w:tcPr>
            <w:tcW w:w="2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8,742</w:t>
            </w:r>
          </w:p>
        </w:tc>
        <w:tc>
          <w:tcPr>
            <w:tcW w:w="2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8,917</w:t>
            </w: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21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3,985</w:t>
            </w:r>
          </w:p>
        </w:tc>
        <w:tc>
          <w:tcPr>
            <w:tcW w:w="2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w:t>
            </w:r>
          </w:p>
        </w:tc>
        <w:tc>
          <w:tcPr>
            <w:tcW w:w="58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2,327</w:t>
            </w:r>
          </w:p>
        </w:tc>
        <w:tc>
          <w:tcPr>
            <w:tcW w:w="2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i w:val="1"/>
          <w:iCs w:val="1"/>
          <w:color w:val="auto"/>
        </w:rPr>
        <w:t>Operating Revenues</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Time charter revenues were $1.1 million higher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Time charter revenues were $3.2 million higher due to improved utilization, $1.6 million lower due to a reduction in average day rates and $0.5 million lower due to net fleet dispositions. As of March 31, 2019, the Company had one of 23 owned and leased-in vessels cold-stacked in this region (one AHTS vessel) compared with one of 23 vessels as of March 31, 2018. As of March 31, 2019, the Company had one specialty vessel retired and removed from service in this region.</w:t>
      </w:r>
    </w:p>
    <w:p>
      <w:pPr>
        <w:spacing w:after="0" w:line="107" w:lineRule="exact"/>
        <w:rPr>
          <w:sz w:val="20"/>
          <w:szCs w:val="20"/>
          <w:color w:val="auto"/>
        </w:rPr>
      </w:pPr>
    </w:p>
    <w:p>
      <w:pPr>
        <w:jc w:val="both"/>
        <w:ind w:right="20" w:firstLine="761"/>
        <w:spacing w:after="0" w:line="238"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$0.2 million lower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On an overall basis, direct operating expenses were $1.1 million higher due to the repositioning of vessels between geographic regions, $0.8 million lower for the core fleet including $0.3 million due to the effect of cold-stacking vessels, and $0.5 million lower due to net fleet dispositions.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21"/>
          <w:szCs w:val="21"/>
          <w:b w:val="1"/>
          <w:bCs w:val="1"/>
          <w:i w:val="1"/>
          <w:iCs w:val="1"/>
          <w:color w:val="auto"/>
        </w:rPr>
        <w:t xml:space="preserve">Latin America (Brazil, Mexico, Central and South America). </w:t>
      </w:r>
      <w:r>
        <w:rPr>
          <w:rFonts w:ascii="Arial" w:cs="Arial" w:eastAsia="Arial" w:hAnsi="Arial"/>
          <w:sz w:val="21"/>
          <w:szCs w:val="21"/>
          <w:color w:val="auto"/>
        </w:rPr>
        <w:t>For the three months ended March 31, the Company’s time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charter statistics and direct vessel profit in Latin America was as follows (in thousands, except statistics):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ind w:left="360"/>
              <w:spacing w:after="0"/>
              <w:rPr>
                <w:sz w:val="20"/>
                <w:szCs w:val="20"/>
                <w:color w:val="auto"/>
              </w:rPr>
            </w:pPr>
            <w:r>
              <w:rPr>
                <w:rFonts w:ascii="Arial" w:cs="Arial" w:eastAsia="Arial" w:hAnsi="Arial"/>
                <w:sz w:val="16"/>
                <w:szCs w:val="16"/>
                <w:b w:val="1"/>
                <w:bCs w:val="1"/>
                <w:color w:val="auto"/>
              </w:rPr>
              <w:t>For the Three Months Ended March 31,</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FF0FC"/>
            </w:tcBorders>
          </w:tcPr>
          <w:p>
            <w:pPr>
              <w:spacing w:after="0"/>
              <w:rPr>
                <w:sz w:val="18"/>
                <w:szCs w:val="18"/>
                <w:color w:val="auto"/>
              </w:rPr>
            </w:pPr>
          </w:p>
        </w:tc>
        <w:tc>
          <w:tcPr>
            <w:tcW w:w="24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Fast support</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6,800</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18,212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15,272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12,900</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15,272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Fast support</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59%</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85%</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71%</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Fast support</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Liftboats</w:t>
            </w:r>
          </w:p>
        </w:tc>
        <w:tc>
          <w:tcPr>
            <w:tcW w:w="24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24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4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541</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2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880" w:type="dxa"/>
            <w:vAlign w:val="bottom"/>
            <w:gridSpan w:val="2"/>
            <w:shd w:val="clear" w:color="auto" w:fill="CFF0FC"/>
          </w:tcPr>
          <w:p>
            <w:pPr>
              <w:jc w:val="right"/>
              <w:ind w:right="304"/>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4,922</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74%</w:t>
            </w: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1,374</w:t>
            </w: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1,143</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1,143</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2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2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6,700</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100%</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2,627</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24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1,556</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376</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428</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w:t>
            </w:r>
          </w:p>
        </w:tc>
        <w:tc>
          <w:tcPr>
            <w:tcW w:w="2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3,054</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45%</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873</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24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3,646</w:t>
            </w:r>
          </w:p>
        </w:tc>
        <w:tc>
          <w:tcPr>
            <w:tcW w:w="2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w:t>
            </w: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1,754</w:t>
            </w: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Time charter revenues were $3.5 million higher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Time charter revenues were $2.9 million higher due to the repositioning of vessels between geographic regions, $0.5 million higher due to net fleet additions, $0.2 million higher due to improved utilization and $0.1 million lower due to reduced average day rates of the core fleet. As of March 31, 2019, the Company had one of seven owned and leased-in vessels cold-stacked in this region (one FSV) compared with one of five vessels as of March 31, 2018.</w:t>
      </w:r>
    </w:p>
    <w:p>
      <w:pPr>
        <w:spacing w:after="0" w:line="107" w:lineRule="exact"/>
        <w:rPr>
          <w:sz w:val="20"/>
          <w:szCs w:val="20"/>
          <w:color w:val="auto"/>
        </w:rPr>
      </w:pPr>
    </w:p>
    <w:p>
      <w:pPr>
        <w:jc w:val="both"/>
        <w:ind w:firstLine="761"/>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$2.2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of which $1.8 million was due to the repositioning of vessels between geographic regions, and $0.4 million was due to fleet additions.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Europe, primarily North Sea. </w:t>
      </w:r>
      <w:r>
        <w:rPr>
          <w:rFonts w:ascii="Arial" w:cs="Arial" w:eastAsia="Arial" w:hAnsi="Arial"/>
          <w:sz w:val="22"/>
          <w:szCs w:val="22"/>
          <w:color w:val="auto"/>
        </w:rPr>
        <w:t>For the three months ended March 31, the Company’s time charter statistics and direct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vessel profit in Europe was as follows (in thousands, except statistics):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ind w:left="360"/>
              <w:spacing w:after="0"/>
              <w:rPr>
                <w:sz w:val="20"/>
                <w:szCs w:val="20"/>
                <w:color w:val="auto"/>
              </w:rPr>
            </w:pPr>
            <w:r>
              <w:rPr>
                <w:rFonts w:ascii="Arial" w:cs="Arial" w:eastAsia="Arial" w:hAnsi="Arial"/>
                <w:sz w:val="16"/>
                <w:szCs w:val="16"/>
                <w:b w:val="1"/>
                <w:bCs w:val="1"/>
                <w:color w:val="auto"/>
              </w:rPr>
              <w:t>For the Three Months ended March 31,</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FF0FC"/>
            </w:tcBorders>
          </w:tcPr>
          <w:p>
            <w:pPr>
              <w:spacing w:after="0"/>
              <w:rPr>
                <w:sz w:val="18"/>
                <w:szCs w:val="18"/>
                <w:color w:val="auto"/>
              </w:rPr>
            </w:pPr>
          </w:p>
        </w:tc>
        <w:tc>
          <w:tcPr>
            <w:tcW w:w="24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Standby</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8,499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Crew Transfer</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2,317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5,164</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Standby</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82%</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Crew Transfer</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61%</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67%</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Standby</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Crew Transfer</w:t>
            </w:r>
          </w:p>
        </w:tc>
        <w:tc>
          <w:tcPr>
            <w:tcW w:w="24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w:t>
            </w:r>
          </w:p>
        </w:tc>
        <w:tc>
          <w:tcPr>
            <w:tcW w:w="24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3,091</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4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4,923</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4,940</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2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880" w:type="dxa"/>
            <w:vAlign w:val="bottom"/>
            <w:gridSpan w:val="2"/>
            <w:shd w:val="clear" w:color="auto" w:fill="CFF0FC"/>
          </w:tcPr>
          <w:p>
            <w:pPr>
              <w:jc w:val="right"/>
              <w:ind w:right="304"/>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15,928</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91%</w:t>
            </w: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17,618</w:t>
            </w: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1,621</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514</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17,549</w:t>
            </w:r>
          </w:p>
        </w:tc>
        <w:tc>
          <w:tcPr>
            <w:tcW w:w="2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18,132</w:t>
            </w: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444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24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8,576</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9,213</w:t>
            </w: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2,516</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2,290</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2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w:t>
            </w: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Other</w:t>
            </w: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592</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278</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13,379</w:t>
            </w:r>
          </w:p>
        </w:tc>
        <w:tc>
          <w:tcPr>
            <w:tcW w:w="2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76%</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15,041</w:t>
            </w: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6"/>
                <w:szCs w:val="16"/>
                <w:color w:val="auto"/>
              </w:rPr>
              <w:t>Direct Vessel Profit</w:t>
            </w:r>
          </w:p>
        </w:tc>
        <w:tc>
          <w:tcPr>
            <w:tcW w:w="2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4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4,170</w:t>
            </w: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3,091</w:t>
            </w:r>
          </w:p>
        </w:tc>
        <w:tc>
          <w:tcPr>
            <w:tcW w:w="26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For standby safety vessels, time charter revenues were $1.7 million lower in the Current Year</w:t>
      </w:r>
      <w:r>
        <w:rPr>
          <w:rFonts w:ascii="Arial" w:cs="Arial" w:eastAsia="Arial" w:hAnsi="Arial"/>
          <w:sz w:val="22"/>
          <w:szCs w:val="22"/>
          <w:i w:val="1"/>
          <w:iCs w:val="1"/>
          <w:color w:val="auto"/>
        </w:rPr>
        <w:t xml:space="preserve"> </w:t>
      </w:r>
      <w:r>
        <w:rPr>
          <w:rFonts w:ascii="Arial" w:cs="Arial" w:eastAsia="Arial" w:hAnsi="Arial"/>
          <w:sz w:val="22"/>
          <w:szCs w:val="22"/>
          <w:color w:val="auto"/>
        </w:rPr>
        <w:t>Quarter compared with the Prior Year Quarter. Time charter revenues were $1.9 million lower due to net fleet dispositions, $0.7 million lower due to unfavorable changes in currency exchange rates and $0.1 million lower due to reduced average day rates. Time charter revenues were $0.8 million higher due to the repositioning of vessels between geographic regions and $0.2 million higher due to improved utilization.</w:t>
      </w:r>
    </w:p>
    <w:p>
      <w:pPr>
        <w:spacing w:after="0" w:line="147"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For CTVs, time charter revenues were $0.1 million higher. Time charter revenues were $0.5 million higher due net fleet additions, $0.2 million higher due to increased average day rates and $0.1 million higher due to the repositioning of vessels between geographic regions. Time charter revenues were $0.4 million lower due to reduced utilization and $0.3 million lower due to unfavorable changes in currency exchange rates. As of March 31, 2019, the Company had one of 36 CTVs cold stacked in this region.</w:t>
      </w:r>
    </w:p>
    <w:p>
      <w:pPr>
        <w:spacing w:after="0" w:line="147"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$1.7 million lower in the Current Year Quarter compared to</w:t>
      </w:r>
      <w:r>
        <w:rPr>
          <w:rFonts w:ascii="Arial" w:cs="Arial" w:eastAsia="Arial" w:hAnsi="Arial"/>
          <w:sz w:val="19"/>
          <w:szCs w:val="19"/>
          <w:i w:val="1"/>
          <w:iCs w:val="1"/>
          <w:color w:val="auto"/>
        </w:rPr>
        <w:t xml:space="preserve"> </w:t>
      </w:r>
      <w:r>
        <w:rPr>
          <w:rFonts w:ascii="Arial" w:cs="Arial" w:eastAsia="Arial" w:hAnsi="Arial"/>
          <w:sz w:val="19"/>
          <w:szCs w:val="19"/>
          <w:color w:val="auto"/>
        </w:rPr>
        <w:t>the Prior Year Quarter. On an overall basis vessel operating expenses were $1.2 million lower for vessels in active service, $1.0 million lower due to net fleet dispositions, $0.4 million higher for other marine services and $0.1 million higher due to the repositioning of vessels between geographic regions. Drydocking costs were $1.4 million lower due to the timing of drydockings.</w:t>
      </w:r>
    </w:p>
    <w:p>
      <w:pPr>
        <w:spacing w:after="0" w:line="116"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b w:val="1"/>
          <w:bCs w:val="1"/>
          <w:i w:val="1"/>
          <w:iCs w:val="1"/>
          <w:color w:val="auto"/>
        </w:rPr>
        <w:t xml:space="preserve">Leased Expense. </w:t>
      </w:r>
      <w:r>
        <w:rPr>
          <w:rFonts w:ascii="Arial" w:cs="Arial" w:eastAsia="Arial" w:hAnsi="Arial"/>
          <w:sz w:val="21"/>
          <w:szCs w:val="21"/>
          <w:color w:val="auto"/>
        </w:rPr>
        <w:t>Leased-in equipment expenses for the Current Year Quarter were $1.1 million higher compared with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Prior Year Quarter, primarily due to the implementation of the new lease accounting standard, which removed the $1.9 million prior year quarter benefit of amortization of deferred gains on sale-leaseback vessels. The benefit would have been partially reduced by the impairment and removal from service of two leased-in vessels during 2018.</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ind w:firstLine="761"/>
        <w:spacing w:after="0"/>
        <w:rPr>
          <w:sz w:val="20"/>
          <w:szCs w:val="20"/>
          <w:color w:val="auto"/>
        </w:rPr>
      </w:pPr>
      <w:r>
        <w:rPr>
          <w:rFonts w:ascii="Arial" w:cs="Arial" w:eastAsia="Arial" w:hAnsi="Arial"/>
          <w:sz w:val="22"/>
          <w:szCs w:val="22"/>
          <w:b w:val="1"/>
          <w:bCs w:val="1"/>
          <w:i w:val="1"/>
          <w:iCs w:val="1"/>
          <w:color w:val="auto"/>
        </w:rPr>
        <w:t xml:space="preserve">Administrative and general. </w:t>
      </w:r>
      <w:r>
        <w:rPr>
          <w:rFonts w:ascii="Arial" w:cs="Arial" w:eastAsia="Arial" w:hAnsi="Arial"/>
          <w:sz w:val="22"/>
          <w:szCs w:val="22"/>
          <w:color w:val="auto"/>
        </w:rPr>
        <w:t>Administrative and general expenses were $0.5 million lower for the Current Year Quarter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compared with the Prior Year Quarter, primarily due to lower allowances for doubtful accounts, and lower legal and professional services.</w:t>
      </w:r>
    </w:p>
    <w:p>
      <w:pPr>
        <w:spacing w:after="0" w:line="159" w:lineRule="exact"/>
        <w:rPr>
          <w:sz w:val="20"/>
          <w:szCs w:val="20"/>
          <w:color w:val="auto"/>
        </w:rPr>
      </w:pPr>
    </w:p>
    <w:p>
      <w:pPr>
        <w:jc w:val="both"/>
        <w:ind w:firstLine="761"/>
        <w:spacing w:after="0"/>
        <w:rPr>
          <w:sz w:val="20"/>
          <w:szCs w:val="20"/>
          <w:color w:val="auto"/>
        </w:rPr>
      </w:pPr>
      <w:r>
        <w:rPr>
          <w:rFonts w:ascii="Arial" w:cs="Arial" w:eastAsia="Arial" w:hAnsi="Arial"/>
          <w:sz w:val="22"/>
          <w:szCs w:val="22"/>
          <w:b w:val="1"/>
          <w:bCs w:val="1"/>
          <w:i w:val="1"/>
          <w:iCs w:val="1"/>
          <w:color w:val="auto"/>
        </w:rPr>
        <w:t xml:space="preserve">Depreciation and amortization. </w:t>
      </w:r>
      <w:r>
        <w:rPr>
          <w:rFonts w:ascii="Arial" w:cs="Arial" w:eastAsia="Arial" w:hAnsi="Arial"/>
          <w:sz w:val="22"/>
          <w:szCs w:val="22"/>
          <w:color w:val="auto"/>
        </w:rPr>
        <w:t>Depreciation and amortization expense for the Current Year Quarter was $2.3 million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lower compared with the Prior Year Quarter, primarily due to net fleet dispositions and the removal from service of five AHTS vessels.</w:t>
      </w:r>
    </w:p>
    <w:p>
      <w:pPr>
        <w:spacing w:after="0" w:line="146"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b w:val="1"/>
          <w:bCs w:val="1"/>
          <w:i w:val="1"/>
          <w:iCs w:val="1"/>
          <w:color w:val="auto"/>
        </w:rPr>
        <w:t xml:space="preserve">Gains (Losses) on Asset Dispositions and Impairments, Net. </w:t>
      </w:r>
      <w:r>
        <w:rPr>
          <w:rFonts w:ascii="Arial" w:cs="Arial" w:eastAsia="Arial" w:hAnsi="Arial"/>
          <w:sz w:val="19"/>
          <w:szCs w:val="19"/>
          <w:color w:val="auto"/>
        </w:rPr>
        <w:t>During the Current Year Quarter, the Company sold one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standby safety vessel and other equipment for net proceeds of $4.4 million ($0.1 million in cash and $4.3 million of previously received deposits) and a gain of $0.3 million, all of which was recognized currently. During the Prior Year Quarter, the Company recorded impairment charges of $2.9 million primarily related to the Company’s AHTS vessels. In addition, the Company sold one FSV and other equipment for net proceeds of $0.4 million and a gain of $0.2 million, all of which was recognized currently.</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(Expense), Net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the periods ended March 31, the Company’s other income (expense) was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26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18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372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357</w:t>
            </w:r>
          </w:p>
        </w:tc>
        <w:tc>
          <w:tcPr>
            <w:tcW w:w="160" w:type="dxa"/>
            <w:vAlign w:val="bottom"/>
          </w:tcPr>
          <w:p>
            <w:pPr>
              <w:spacing w:after="0"/>
              <w:rPr>
                <w:sz w:val="18"/>
                <w:szCs w:val="18"/>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r>
      <w:tr>
        <w:trPr>
          <w:trHeight w:val="219"/>
        </w:trPr>
        <w:tc>
          <w:tcPr>
            <w:tcW w:w="5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26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(7,735)</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(6,133)</w:t>
            </w:r>
          </w:p>
        </w:tc>
      </w:tr>
      <w:tr>
        <w:trPr>
          <w:trHeight w:val="213"/>
        </w:trPr>
        <w:tc>
          <w:tcPr>
            <w:tcW w:w="5180" w:type="dxa"/>
            <w:vAlign w:val="bottom"/>
          </w:tcPr>
          <w:p>
            <w:pPr>
              <w:ind w:left="260"/>
              <w:spacing w:after="0"/>
              <w:rPr>
                <w:sz w:val="20"/>
                <w:szCs w:val="20"/>
                <w:color w:val="auto"/>
              </w:rPr>
            </w:pPr>
            <w:r>
              <w:rPr>
                <w:rFonts w:ascii="Arial" w:cs="Arial" w:eastAsia="Arial" w:hAnsi="Arial"/>
                <w:sz w:val="16"/>
                <w:szCs w:val="16"/>
                <w:color w:val="auto"/>
              </w:rPr>
              <w:t>SEACOR Holdings guarantee fees</w:t>
            </w:r>
          </w:p>
        </w:tc>
        <w:tc>
          <w:tcPr>
            <w:tcW w:w="2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r>
      <w:tr>
        <w:trPr>
          <w:trHeight w:val="219"/>
        </w:trPr>
        <w:tc>
          <w:tcPr>
            <w:tcW w:w="5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losses, net</w:t>
            </w:r>
          </w:p>
        </w:tc>
        <w:tc>
          <w:tcPr>
            <w:tcW w:w="26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(11,516)</w:t>
            </w:r>
          </w:p>
        </w:tc>
      </w:tr>
      <w:tr>
        <w:trPr>
          <w:trHeight w:val="213"/>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Foreign currency gains, net</w:t>
            </w:r>
          </w:p>
        </w:tc>
        <w:tc>
          <w:tcPr>
            <w:tcW w:w="268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FF0FC"/>
            </w:tcBorders>
          </w:tcPr>
          <w:p>
            <w:pPr>
              <w:spacing w:after="0"/>
              <w:rPr>
                <w:sz w:val="18"/>
                <w:szCs w:val="18"/>
                <w:color w:val="auto"/>
              </w:rPr>
            </w:pPr>
          </w:p>
        </w:tc>
      </w:tr>
      <w:tr>
        <w:trPr>
          <w:trHeight w:val="210"/>
        </w:trPr>
        <w:tc>
          <w:tcPr>
            <w:tcW w:w="5180" w:type="dxa"/>
            <w:vAlign w:val="bottom"/>
            <w:shd w:val="clear" w:color="auto" w:fill="CFF0FC"/>
          </w:tcPr>
          <w:p>
            <w:pPr>
              <w:spacing w:after="0"/>
              <w:rPr>
                <w:sz w:val="18"/>
                <w:szCs w:val="18"/>
                <w:color w:val="auto"/>
              </w:rPr>
            </w:pPr>
          </w:p>
        </w:tc>
        <w:tc>
          <w:tcPr>
            <w:tcW w:w="3720" w:type="dxa"/>
            <w:vAlign w:val="bottom"/>
            <w:gridSpan w:val="2"/>
            <w:shd w:val="clear" w:color="auto" w:fill="CFF0FC"/>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(7,697)</w:t>
            </w:r>
          </w:p>
        </w:tc>
        <w:tc>
          <w:tcPr>
            <w:tcW w:w="1140" w:type="dxa"/>
            <w:vAlign w:val="bottom"/>
            <w:gridSpan w:val="2"/>
            <w:shd w:val="clear" w:color="auto" w:fill="CFF0FC"/>
          </w:tcPr>
          <w:p>
            <w:pPr>
              <w:jc w:val="right"/>
              <w:ind w:right="9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(17,306)</w:t>
            </w: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Interest income. </w:t>
      </w:r>
      <w:r>
        <w:rPr>
          <w:rFonts w:ascii="Arial" w:cs="Arial" w:eastAsia="Arial" w:hAnsi="Arial"/>
          <w:sz w:val="22"/>
          <w:szCs w:val="22"/>
          <w:color w:val="auto"/>
        </w:rPr>
        <w:t>Interest income in the Current Year Quarter was higher compared with the Prior Year Quarter primarily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due to higher interest rates.</w:t>
      </w:r>
    </w:p>
    <w:p>
      <w:pPr>
        <w:spacing w:after="0" w:line="133" w:lineRule="exact"/>
        <w:rPr>
          <w:sz w:val="20"/>
          <w:szCs w:val="20"/>
          <w:color w:val="auto"/>
        </w:rPr>
      </w:pPr>
    </w:p>
    <w:p>
      <w:pPr>
        <w:jc w:val="both"/>
        <w:ind w:firstLine="761"/>
        <w:spacing w:after="0"/>
        <w:rPr>
          <w:sz w:val="20"/>
          <w:szCs w:val="20"/>
          <w:color w:val="auto"/>
        </w:rPr>
      </w:pPr>
      <w:r>
        <w:rPr>
          <w:rFonts w:ascii="Arial" w:cs="Arial" w:eastAsia="Arial" w:hAnsi="Arial"/>
          <w:sz w:val="22"/>
          <w:szCs w:val="22"/>
          <w:b w:val="1"/>
          <w:bCs w:val="1"/>
          <w:i w:val="1"/>
          <w:iCs w:val="1"/>
          <w:color w:val="auto"/>
        </w:rPr>
        <w:t xml:space="preserve">Interest expense. </w:t>
      </w:r>
      <w:r>
        <w:rPr>
          <w:rFonts w:ascii="Arial" w:cs="Arial" w:eastAsia="Arial" w:hAnsi="Arial"/>
          <w:sz w:val="22"/>
          <w:szCs w:val="22"/>
          <w:color w:val="auto"/>
        </w:rPr>
        <w:t>Interest expense in the Current Year Quarter compared with the Prior Year Quarter was higher primarily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due to additional interest incurred on the debt facilities of SEACOR Marine Foreign Holdings and SEACOR 88/888, along with higher interest as a result of the variable nature of interest rates on debt facilities.</w:t>
      </w:r>
    </w:p>
    <w:p>
      <w:pPr>
        <w:spacing w:after="0" w:line="146"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b w:val="1"/>
          <w:bCs w:val="1"/>
          <w:i w:val="1"/>
          <w:iCs w:val="1"/>
          <w:color w:val="auto"/>
        </w:rPr>
        <w:t xml:space="preserve">Derivative losses, net. </w:t>
      </w:r>
      <w:r>
        <w:rPr>
          <w:rFonts w:ascii="Arial" w:cs="Arial" w:eastAsia="Arial" w:hAnsi="Arial"/>
          <w:sz w:val="22"/>
          <w:szCs w:val="22"/>
          <w:color w:val="auto"/>
        </w:rPr>
        <w:t>Net derivative losses during the Current Year Quarter and Prior Year Quarter were primarily due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increases in the fair value of the Company’s conversion option liability embedded in the Company’s Convertible Senior Notes. The increase in the conversion option liability was primarily the result of increases in the Company’s share price and estimated credit spread.</w:t>
      </w:r>
    </w:p>
    <w:p>
      <w:pPr>
        <w:spacing w:after="0" w:line="158"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Foreign currency gains, net. </w:t>
      </w:r>
      <w:r>
        <w:rPr>
          <w:rFonts w:ascii="Arial" w:cs="Arial" w:eastAsia="Arial" w:hAnsi="Arial"/>
          <w:sz w:val="22"/>
          <w:szCs w:val="22"/>
          <w:color w:val="auto"/>
        </w:rPr>
        <w:t>Foreign currency gains for the Current Year Quarter were primarily due to the weakening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pound sterling in relation to the euro underlying certain of the Company’s debt balances.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Benefit</w:t>
      </w:r>
    </w:p>
    <w:p>
      <w:pPr>
        <w:spacing w:after="0" w:line="172"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color w:val="auto"/>
        </w:rPr>
        <w:t>For the three months ended March 31, 2019, the Company's effective income tax rate of 13.4% was primarily due to taxes provided on income attributable to noncontrolling interest, foreign sourced income not subject to U.S. income taxes, and foreign taxes not creditable against U.S. income taxes. For the three months ended March 31, 2018, the Company’s effective income tax rate of 23.5% was primarily due to taxes not provided on income attributable to noncontrolling interests, foreign sourced income not subject to U.S. income taxes, and a reversal of an unrecognized benefit.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 Earnings (Losses) of 50% or Less Owned Companies</w:t>
      </w:r>
    </w:p>
    <w:p>
      <w:pPr>
        <w:spacing w:after="0" w:line="185"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Equity in losses of 50% or less owned companies for the Current Year Quarter compared with the Prior Year Quarter were $3.6 million lower, due to the following changes in equity earnings (losses)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2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820" w:type="dxa"/>
            <w:vAlign w:val="bottom"/>
            <w:tcBorders>
              <w:bottom w:val="single" w:sz="8" w:color="CFF0FC"/>
            </w:tcBorders>
          </w:tcPr>
          <w:p>
            <w:pPr>
              <w:spacing w:after="0"/>
              <w:rPr>
                <w:sz w:val="18"/>
                <w:szCs w:val="18"/>
                <w:color w:val="auto"/>
              </w:rPr>
            </w:pPr>
          </w:p>
        </w:tc>
        <w:tc>
          <w:tcPr>
            <w:tcW w:w="304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2"/>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MexMar</w:t>
            </w:r>
          </w:p>
        </w:tc>
        <w:tc>
          <w:tcPr>
            <w:tcW w:w="4080" w:type="dxa"/>
            <w:vAlign w:val="bottom"/>
            <w:gridSpan w:val="2"/>
            <w:shd w:val="clear" w:color="auto" w:fill="CFF0FC"/>
          </w:tcPr>
          <w:p>
            <w:pPr>
              <w:jc w:val="right"/>
              <w:ind w:right="881"/>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1,432</w:t>
            </w:r>
          </w:p>
        </w:tc>
        <w:tc>
          <w:tcPr>
            <w:tcW w:w="120" w:type="dxa"/>
            <w:vAlign w:val="bottom"/>
            <w:shd w:val="clear" w:color="auto" w:fill="CFF0FC"/>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6"/>
                <w:szCs w:val="16"/>
                <w:color w:val="auto"/>
              </w:rPr>
              <w:t>OSV Partners</w:t>
            </w:r>
          </w:p>
        </w:tc>
        <w:tc>
          <w:tcPr>
            <w:tcW w:w="3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(687)</w:t>
            </w:r>
          </w:p>
        </w:tc>
      </w:tr>
      <w:tr>
        <w:trPr>
          <w:trHeight w:val="219"/>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SEACOR Grant DIS</w:t>
            </w:r>
          </w:p>
        </w:tc>
        <w:tc>
          <w:tcPr>
            <w:tcW w:w="30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(1,056)</w:t>
            </w:r>
          </w:p>
        </w:tc>
      </w:tr>
      <w:tr>
        <w:trPr>
          <w:trHeight w:val="213"/>
        </w:trPr>
        <w:tc>
          <w:tcPr>
            <w:tcW w:w="4820" w:type="dxa"/>
            <w:vAlign w:val="bottom"/>
          </w:tcPr>
          <w:p>
            <w:pPr>
              <w:spacing w:after="0"/>
              <w:rPr>
                <w:sz w:val="20"/>
                <w:szCs w:val="20"/>
                <w:color w:val="auto"/>
              </w:rPr>
            </w:pPr>
            <w:r>
              <w:rPr>
                <w:rFonts w:ascii="Arial" w:cs="Arial" w:eastAsia="Arial" w:hAnsi="Arial"/>
                <w:sz w:val="16"/>
                <w:szCs w:val="16"/>
                <w:color w:val="auto"/>
              </w:rPr>
              <w:t>Dynamic Offshore Drilling</w:t>
            </w:r>
          </w:p>
        </w:tc>
        <w:tc>
          <w:tcPr>
            <w:tcW w:w="3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r>
      <w:tr>
        <w:trPr>
          <w:trHeight w:val="219"/>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SEACOSCO</w:t>
            </w:r>
          </w:p>
        </w:tc>
        <w:tc>
          <w:tcPr>
            <w:tcW w:w="30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(1,641)</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(168)</w:t>
            </w:r>
          </w:p>
        </w:tc>
      </w:tr>
      <w:tr>
        <w:trPr>
          <w:trHeight w:val="213"/>
        </w:trPr>
        <w:tc>
          <w:tcPr>
            <w:tcW w:w="4820" w:type="dxa"/>
            <w:vAlign w:val="bottom"/>
          </w:tcPr>
          <w:p>
            <w:pPr>
              <w:spacing w:after="0"/>
              <w:rPr>
                <w:sz w:val="20"/>
                <w:szCs w:val="20"/>
                <w:color w:val="auto"/>
              </w:rPr>
            </w:pPr>
            <w:r>
              <w:rPr>
                <w:rFonts w:ascii="Arial" w:cs="Arial" w:eastAsia="Arial" w:hAnsi="Arial"/>
                <w:sz w:val="16"/>
                <w:szCs w:val="16"/>
                <w:color w:val="auto"/>
              </w:rPr>
              <w:t>Other</w:t>
            </w:r>
          </w:p>
        </w:tc>
        <w:tc>
          <w:tcPr>
            <w:tcW w:w="3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8"/>
                <w:szCs w:val="18"/>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30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820" w:type="dxa"/>
            <w:vAlign w:val="bottom"/>
            <w:shd w:val="clear" w:color="auto" w:fill="CFF0FC"/>
          </w:tcPr>
          <w:p>
            <w:pPr>
              <w:spacing w:after="0"/>
              <w:rPr>
                <w:sz w:val="18"/>
                <w:szCs w:val="18"/>
                <w:color w:val="auto"/>
              </w:rPr>
            </w:pPr>
          </w:p>
        </w:tc>
        <w:tc>
          <w:tcPr>
            <w:tcW w:w="30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(3,397)</w:t>
            </w:r>
          </w:p>
        </w:tc>
        <w:tc>
          <w:tcPr>
            <w:tcW w:w="1180" w:type="dxa"/>
            <w:vAlign w:val="bottom"/>
            <w:gridSpan w:val="2"/>
            <w:shd w:val="clear" w:color="auto" w:fill="CFF0FC"/>
          </w:tcPr>
          <w:p>
            <w:pPr>
              <w:jc w:val="right"/>
              <w:ind w:right="8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FF0FC"/>
          </w:tcPr>
          <w:p>
            <w:pPr>
              <w:spacing w:after="0"/>
              <w:rPr>
                <w:sz w:val="18"/>
                <w:szCs w:val="18"/>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30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b w:val="1"/>
          <w:bCs w:val="1"/>
          <w:i w:val="1"/>
          <w:iCs w:val="1"/>
          <w:color w:val="auto"/>
        </w:rPr>
        <w:t xml:space="preserve">MexMar. </w:t>
      </w:r>
      <w:r>
        <w:rPr>
          <w:rFonts w:ascii="Arial" w:cs="Arial" w:eastAsia="Arial" w:hAnsi="Arial"/>
          <w:sz w:val="22"/>
          <w:szCs w:val="22"/>
          <w:color w:val="auto"/>
        </w:rPr>
        <w:t>During the Current Year Quarter, decrease in equity earnings of $1.3 million was primarily due to reduced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utilization and day rates.</w:t>
      </w:r>
    </w:p>
    <w:p>
      <w:pPr>
        <w:spacing w:after="0" w:line="200" w:lineRule="exact"/>
        <w:rPr>
          <w:sz w:val="20"/>
          <w:szCs w:val="20"/>
          <w:color w:val="auto"/>
        </w:rPr>
      </w:pPr>
    </w:p>
    <w:p>
      <w:pPr>
        <w:jc w:val="both"/>
        <w:ind w:firstLine="761"/>
        <w:spacing w:after="0"/>
        <w:rPr>
          <w:sz w:val="20"/>
          <w:szCs w:val="20"/>
          <w:color w:val="auto"/>
        </w:rPr>
      </w:pPr>
      <w:r>
        <w:rPr>
          <w:rFonts w:ascii="Arial" w:cs="Arial" w:eastAsia="Arial" w:hAnsi="Arial"/>
          <w:sz w:val="22"/>
          <w:szCs w:val="22"/>
          <w:b w:val="1"/>
          <w:bCs w:val="1"/>
          <w:i w:val="1"/>
          <w:iCs w:val="1"/>
          <w:color w:val="auto"/>
        </w:rPr>
        <w:t xml:space="preserve">Seacor Grant DIS. </w:t>
      </w:r>
      <w:r>
        <w:rPr>
          <w:rFonts w:ascii="Arial" w:cs="Arial" w:eastAsia="Arial" w:hAnsi="Arial"/>
          <w:sz w:val="22"/>
          <w:szCs w:val="22"/>
          <w:color w:val="auto"/>
        </w:rPr>
        <w:t>During the Prior Year Quarter equity losses of $1.1 million were primarily due to an impairment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charge of $1.1 million, net of taxes, for an other-than-temporary decline in the fair value of the Company’s investment in Seacor Grant DIS.</w:t>
      </w:r>
    </w:p>
    <w:p>
      <w:pPr>
        <w:spacing w:after="0" w:line="146" w:lineRule="exact"/>
        <w:rPr>
          <w:sz w:val="20"/>
          <w:szCs w:val="20"/>
          <w:color w:val="auto"/>
        </w:rPr>
      </w:pPr>
    </w:p>
    <w:p>
      <w:pPr>
        <w:jc w:val="both"/>
        <w:ind w:right="20" w:firstLine="761"/>
        <w:spacing w:after="0" w:line="251" w:lineRule="auto"/>
        <w:rPr>
          <w:sz w:val="20"/>
          <w:szCs w:val="20"/>
          <w:color w:val="auto"/>
        </w:rPr>
      </w:pPr>
      <w:r>
        <w:rPr>
          <w:rFonts w:ascii="Arial" w:cs="Arial" w:eastAsia="Arial" w:hAnsi="Arial"/>
          <w:sz w:val="22"/>
          <w:szCs w:val="22"/>
          <w:b w:val="1"/>
          <w:bCs w:val="1"/>
          <w:i w:val="1"/>
          <w:iCs w:val="1"/>
          <w:color w:val="auto"/>
        </w:rPr>
        <w:t xml:space="preserve">SEACOSCO. </w:t>
      </w:r>
      <w:r>
        <w:rPr>
          <w:rFonts w:ascii="Arial" w:cs="Arial" w:eastAsia="Arial" w:hAnsi="Arial"/>
          <w:sz w:val="22"/>
          <w:szCs w:val="22"/>
          <w:color w:val="auto"/>
        </w:rPr>
        <w:t>During the Current Year Quarter equity losses of $1.6 million included a $0.7 million non-cash adjustment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prior year interest expense on the long-term debt of the joint venture.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General</w:t>
      </w:r>
    </w:p>
    <w:p>
      <w:pPr>
        <w:spacing w:after="0" w:line="172"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color w:val="auto"/>
        </w:rPr>
        <w:t>The Company’s ongoing liquidity requirements arise primarily from working capital needs, capital commitments and its obligations to service outstanding debt.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SEACOR Marine Common Stock or common stock of its subsidiaries, preferred stock or a combination thereof.</w:t>
      </w:r>
    </w:p>
    <w:p>
      <w:pPr>
        <w:spacing w:after="0" w:line="107"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As of March 31, 2019, the Company had unfunded capital commitments of $85.7 million that included one FSV, two supply vessels, three CTVs and three PSVs. The Company’s capital commitments by year of expected payment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Remainder of 2019</w:t>
            </w:r>
          </w:p>
        </w:tc>
        <w:tc>
          <w:tcPr>
            <w:tcW w:w="484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54,016</w:t>
            </w:r>
          </w:p>
        </w:tc>
        <w:tc>
          <w:tcPr>
            <w:tcW w:w="100" w:type="dxa"/>
            <w:vAlign w:val="bottom"/>
            <w:shd w:val="clear" w:color="auto" w:fill="CFF0FC"/>
          </w:tcPr>
          <w:p>
            <w:pPr>
              <w:spacing w:after="0"/>
              <w:rPr>
                <w:sz w:val="18"/>
                <w:szCs w:val="18"/>
                <w:color w:val="auto"/>
              </w:rPr>
            </w:pPr>
          </w:p>
        </w:tc>
      </w:tr>
      <w:tr>
        <w:trPr>
          <w:trHeight w:val="213"/>
        </w:trPr>
        <w:tc>
          <w:tcPr>
            <w:tcW w:w="5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2020</w:t>
            </w:r>
          </w:p>
        </w:tc>
        <w:tc>
          <w:tcPr>
            <w:tcW w:w="4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31,724</w:t>
            </w:r>
          </w:p>
        </w:tc>
        <w:tc>
          <w:tcPr>
            <w:tcW w:w="100" w:type="dxa"/>
            <w:vAlign w:val="bottom"/>
            <w:tcBorders>
              <w:bottom w:val="single" w:sz="8" w:color="CFF0FC"/>
            </w:tcBorders>
          </w:tcPr>
          <w:p>
            <w:pPr>
              <w:spacing w:after="0"/>
              <w:rPr>
                <w:sz w:val="18"/>
                <w:szCs w:val="18"/>
                <w:color w:val="auto"/>
              </w:rPr>
            </w:pPr>
          </w:p>
        </w:tc>
      </w:tr>
      <w:tr>
        <w:trPr>
          <w:trHeight w:val="210"/>
        </w:trPr>
        <w:tc>
          <w:tcPr>
            <w:tcW w:w="5340" w:type="dxa"/>
            <w:vAlign w:val="bottom"/>
            <w:shd w:val="clear" w:color="auto" w:fill="CFF0FC"/>
          </w:tcPr>
          <w:p>
            <w:pPr>
              <w:spacing w:after="0"/>
              <w:rPr>
                <w:sz w:val="18"/>
                <w:szCs w:val="18"/>
                <w:color w:val="auto"/>
              </w:rPr>
            </w:pPr>
          </w:p>
        </w:tc>
        <w:tc>
          <w:tcPr>
            <w:tcW w:w="484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85,740</w:t>
            </w:r>
          </w:p>
        </w:tc>
        <w:tc>
          <w:tcPr>
            <w:tcW w:w="100" w:type="dxa"/>
            <w:vAlign w:val="bottom"/>
            <w:shd w:val="clear" w:color="auto" w:fill="CFF0FC"/>
          </w:tcPr>
          <w:p>
            <w:pPr>
              <w:spacing w:after="0"/>
              <w:rPr>
                <w:sz w:val="18"/>
                <w:szCs w:val="18"/>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The Company has indefinitely deferred an additional $20.2 million of orders with respect to two fast support vessels for which the Company had previously reported unfunded capital commitments.</w:t>
      </w:r>
    </w:p>
    <w:p>
      <w:pPr>
        <w:spacing w:after="0" w:line="146"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22"/>
          <w:szCs w:val="22"/>
          <w:color w:val="auto"/>
        </w:rPr>
        <w:t>As of March 31, 2019, the Company had outstanding debt of $401.8 million, net of debt discount and issue costs. The Company’s contractual long-term debt maturities as of March 31,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ind w:left="320"/>
              <w:spacing w:after="0"/>
              <w:rPr>
                <w:sz w:val="20"/>
                <w:szCs w:val="20"/>
                <w:color w:val="auto"/>
              </w:rPr>
            </w:pPr>
            <w:r>
              <w:rPr>
                <w:rFonts w:ascii="Arial" w:cs="Arial" w:eastAsia="Arial" w:hAnsi="Arial"/>
                <w:sz w:val="16"/>
                <w:szCs w:val="16"/>
                <w:b w:val="1"/>
                <w:bCs w:val="1"/>
                <w:color w:val="auto"/>
              </w:rPr>
              <w:t>Actual</w:t>
            </w:r>
          </w:p>
        </w:tc>
      </w:tr>
      <w:tr>
        <w:trPr>
          <w:trHeight w:val="213"/>
        </w:trPr>
        <w:tc>
          <w:tcPr>
            <w:tcW w:w="9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Remainder 2019</w:t>
            </w:r>
          </w:p>
        </w:tc>
        <w:tc>
          <w:tcPr>
            <w:tcW w:w="400" w:type="dxa"/>
            <w:vAlign w:val="bottom"/>
            <w:tcBorders>
              <w:top w:val="single" w:sz="8" w:color="auto"/>
            </w:tcBorders>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12,451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9400" w:type="dxa"/>
            <w:vAlign w:val="bottom"/>
          </w:tcPr>
          <w:p>
            <w:pPr>
              <w:spacing w:after="0"/>
              <w:rPr>
                <w:sz w:val="20"/>
                <w:szCs w:val="20"/>
                <w:color w:val="auto"/>
              </w:rPr>
            </w:pPr>
            <w:r>
              <w:rPr>
                <w:rFonts w:ascii="Arial" w:cs="Arial" w:eastAsia="Arial" w:hAnsi="Arial"/>
                <w:sz w:val="16"/>
                <w:szCs w:val="16"/>
                <w:color w:val="auto"/>
              </w:rPr>
              <w:t>2020</w:t>
            </w:r>
          </w:p>
        </w:tc>
        <w:tc>
          <w:tcPr>
            <w:tcW w:w="4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25,489</w:t>
            </w:r>
          </w:p>
        </w:tc>
        <w:tc>
          <w:tcPr>
            <w:tcW w:w="100" w:type="dxa"/>
            <w:vAlign w:val="bottom"/>
          </w:tcPr>
          <w:p>
            <w:pPr>
              <w:spacing w:after="0"/>
              <w:rPr>
                <w:sz w:val="18"/>
                <w:szCs w:val="18"/>
                <w:color w:val="auto"/>
              </w:rPr>
            </w:pPr>
          </w:p>
        </w:tc>
      </w:tr>
      <w:tr>
        <w:trPr>
          <w:trHeight w:val="219"/>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51,146</w:t>
            </w:r>
          </w:p>
        </w:tc>
        <w:tc>
          <w:tcPr>
            <w:tcW w:w="100" w:type="dxa"/>
            <w:vAlign w:val="bottom"/>
            <w:shd w:val="clear" w:color="auto" w:fill="CFF0FC"/>
          </w:tcPr>
          <w:p>
            <w:pPr>
              <w:spacing w:after="0"/>
              <w:rPr>
                <w:sz w:val="19"/>
                <w:szCs w:val="19"/>
                <w:color w:val="auto"/>
              </w:rPr>
            </w:pPr>
          </w:p>
        </w:tc>
      </w:tr>
      <w:tr>
        <w:trPr>
          <w:trHeight w:val="213"/>
        </w:trPr>
        <w:tc>
          <w:tcPr>
            <w:tcW w:w="9400" w:type="dxa"/>
            <w:vAlign w:val="bottom"/>
          </w:tcPr>
          <w:p>
            <w:pPr>
              <w:spacing w:after="0"/>
              <w:rPr>
                <w:sz w:val="20"/>
                <w:szCs w:val="20"/>
                <w:color w:val="auto"/>
              </w:rPr>
            </w:pPr>
            <w:r>
              <w:rPr>
                <w:rFonts w:ascii="Arial" w:cs="Arial" w:eastAsia="Arial" w:hAnsi="Arial"/>
                <w:sz w:val="16"/>
                <w:szCs w:val="16"/>
                <w:color w:val="auto"/>
              </w:rPr>
              <w:t>2022</w:t>
            </w:r>
          </w:p>
        </w:tc>
        <w:tc>
          <w:tcPr>
            <w:tcW w:w="4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25,150</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Years subsequent to 2022</w:t>
            </w:r>
          </w:p>
        </w:tc>
        <w:tc>
          <w:tcPr>
            <w:tcW w:w="4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324,140</w:t>
            </w:r>
          </w:p>
        </w:tc>
        <w:tc>
          <w:tcPr>
            <w:tcW w:w="100" w:type="dxa"/>
            <w:vAlign w:val="bottom"/>
            <w:shd w:val="clear" w:color="auto" w:fill="CFF0FC"/>
          </w:tcPr>
          <w:p>
            <w:pPr>
              <w:spacing w:after="0"/>
              <w:rPr>
                <w:sz w:val="18"/>
                <w:szCs w:val="18"/>
                <w:color w:val="auto"/>
              </w:rPr>
            </w:pPr>
          </w:p>
        </w:tc>
      </w:tr>
      <w:tr>
        <w:trPr>
          <w:trHeight w:val="210"/>
        </w:trPr>
        <w:tc>
          <w:tcPr>
            <w:tcW w:w="9400" w:type="dxa"/>
            <w:vAlign w:val="bottom"/>
          </w:tcPr>
          <w:p>
            <w:pPr>
              <w:spacing w:after="0"/>
              <w:rPr>
                <w:sz w:val="18"/>
                <w:szCs w:val="18"/>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438,376</w:t>
            </w:r>
          </w:p>
        </w:tc>
        <w:tc>
          <w:tcPr>
            <w:tcW w:w="10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9"/>
          <w:szCs w:val="19"/>
          <w:color w:val="auto"/>
        </w:rPr>
        <w:t>As of March 31, 2019, the Company held balances of cash, cash equivalents, restricted cash and construction reserve funds totaling $94.2 million. As of March 31, 2019, construction reserve funds of $28.1 million were classified as non-current assets in the accompanying condensed consolidated balance sheets as the Company has the intent and ability to use the funds to acquire equipment. Additionally, the Company had $2.1 million available under subsidiary credit facilities.</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Summary of Cash Flows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1"/>
          <w:szCs w:val="21"/>
          <w:color w:val="auto"/>
        </w:rPr>
        <w:t>For the three months ended March 31, the following is a summary of the Company's cash flows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20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2"/>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Cash flows provided by or (used in):</w:t>
            </w:r>
          </w:p>
        </w:tc>
        <w:tc>
          <w:tcPr>
            <w:tcW w:w="1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20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266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(1,967)</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(11,509)</w:t>
            </w:r>
          </w:p>
        </w:tc>
      </w:tr>
      <w:tr>
        <w:trPr>
          <w:trHeight w:val="219"/>
        </w:trPr>
        <w:tc>
          <w:tcPr>
            <w:tcW w:w="6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Investing Activities</w:t>
            </w:r>
          </w:p>
        </w:tc>
        <w:tc>
          <w:tcPr>
            <w:tcW w:w="16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(22,630)</w:t>
            </w: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(28,126)</w:t>
            </w:r>
          </w:p>
        </w:tc>
      </w:tr>
      <w:tr>
        <w:trPr>
          <w:trHeight w:val="213"/>
        </w:trPr>
        <w:tc>
          <w:tcPr>
            <w:tcW w:w="6200" w:type="dxa"/>
            <w:vAlign w:val="bottom"/>
          </w:tcPr>
          <w:p>
            <w:pPr>
              <w:ind w:left="260"/>
              <w:spacing w:after="0"/>
              <w:rPr>
                <w:sz w:val="20"/>
                <w:szCs w:val="20"/>
                <w:color w:val="auto"/>
              </w:rPr>
            </w:pPr>
            <w:r>
              <w:rPr>
                <w:rFonts w:ascii="Arial" w:cs="Arial" w:eastAsia="Arial" w:hAnsi="Arial"/>
                <w:sz w:val="16"/>
                <w:szCs w:val="16"/>
                <w:color w:val="auto"/>
              </w:rPr>
              <w:t>Financing Activities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(7,645)</w:t>
            </w:r>
          </w:p>
        </w:tc>
        <w:tc>
          <w:tcPr>
            <w:tcW w:w="10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(8,543)</w:t>
            </w:r>
          </w:p>
        </w:tc>
      </w:tr>
      <w:tr>
        <w:trPr>
          <w:trHeight w:val="219"/>
        </w:trPr>
        <w:tc>
          <w:tcPr>
            <w:tcW w:w="6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Effects of Exchange Rate Changes on Cash and Cash Equivalents</w:t>
            </w:r>
          </w:p>
        </w:tc>
        <w:tc>
          <w:tcPr>
            <w:tcW w:w="16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1,485</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FF0FC"/>
          </w:tcPr>
          <w:p>
            <w:pPr>
              <w:spacing w:after="0"/>
              <w:rPr>
                <w:sz w:val="19"/>
                <w:szCs w:val="19"/>
                <w:color w:val="auto"/>
              </w:rPr>
            </w:pPr>
          </w:p>
        </w:tc>
      </w:tr>
      <w:tr>
        <w:trPr>
          <w:trHeight w:val="207"/>
        </w:trPr>
        <w:tc>
          <w:tcPr>
            <w:tcW w:w="6200" w:type="dxa"/>
            <w:vAlign w:val="bottom"/>
          </w:tcPr>
          <w:p>
            <w:pPr>
              <w:spacing w:after="0"/>
              <w:rPr>
                <w:sz w:val="20"/>
                <w:szCs w:val="20"/>
                <w:color w:val="auto"/>
              </w:rPr>
            </w:pPr>
            <w:r>
              <w:rPr>
                <w:rFonts w:ascii="Arial" w:cs="Arial" w:eastAsia="Arial" w:hAnsi="Arial"/>
                <w:sz w:val="16"/>
                <w:szCs w:val="16"/>
                <w:color w:val="auto"/>
              </w:rPr>
              <w:t>Decrease in Cash and Cash Equivalents</w:t>
            </w:r>
          </w:p>
        </w:tc>
        <w:tc>
          <w:tcPr>
            <w:tcW w:w="266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(30,757)</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(47,496)</w:t>
            </w:r>
          </w:p>
        </w:tc>
      </w:tr>
      <w:tr>
        <w:trPr>
          <w:trHeight w:val="20"/>
        </w:trPr>
        <w:tc>
          <w:tcPr>
            <w:tcW w:w="6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Operating Activities</w:t>
      </w:r>
    </w:p>
    <w:p>
      <w:pPr>
        <w:spacing w:after="0" w:line="172"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Cash flows used in operating activities increased by $9.5 million in the Current Year Quarter compared with the Prior Year Quarter. The components of cash flows used in operating activities during the Current Year Quarter and Prior Year Quarter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2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12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2"/>
        </w:trPr>
        <w:tc>
          <w:tcPr>
            <w:tcW w:w="7120" w:type="dxa"/>
            <w:vAlign w:val="bottom"/>
            <w:shd w:val="clear" w:color="auto" w:fill="CFF0FC"/>
          </w:tcPr>
          <w:p>
            <w:pPr>
              <w:spacing w:after="0"/>
              <w:rPr>
                <w:sz w:val="20"/>
                <w:szCs w:val="20"/>
                <w:color w:val="auto"/>
              </w:rPr>
            </w:pPr>
            <w:r>
              <w:rPr>
                <w:rFonts w:ascii="Arial" w:cs="Arial" w:eastAsia="Arial" w:hAnsi="Arial"/>
                <w:sz w:val="16"/>
                <w:szCs w:val="16"/>
                <w:color w:val="auto"/>
              </w:rPr>
              <w:t>DVP:</w:t>
            </w: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120" w:type="dxa"/>
            <w:vAlign w:val="bottom"/>
          </w:tcPr>
          <w:p>
            <w:pPr>
              <w:ind w:left="260"/>
              <w:spacing w:after="0"/>
              <w:rPr>
                <w:sz w:val="20"/>
                <w:szCs w:val="20"/>
                <w:color w:val="auto"/>
              </w:rPr>
            </w:pPr>
            <w:r>
              <w:rPr>
                <w:rFonts w:ascii="Arial" w:cs="Arial" w:eastAsia="Arial" w:hAnsi="Arial"/>
                <w:sz w:val="16"/>
                <w:szCs w:val="16"/>
                <w:color w:val="auto"/>
              </w:rPr>
              <w:t>United States, primarily Gulf of Mexico</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(1,503)</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Pr>
          <w:p>
            <w:pPr>
              <w:spacing w:after="0"/>
              <w:rPr>
                <w:sz w:val="18"/>
                <w:szCs w:val="18"/>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Africa, primarily West Africa</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4,727</w:t>
            </w:r>
          </w:p>
        </w:tc>
        <w:tc>
          <w:tcPr>
            <w:tcW w:w="120" w:type="dxa"/>
            <w:vAlign w:val="bottom"/>
            <w:shd w:val="clear" w:color="auto" w:fill="CFF0FC"/>
          </w:tcPr>
          <w:p>
            <w:pPr>
              <w:spacing w:after="0"/>
              <w:rPr>
                <w:sz w:val="19"/>
                <w:szCs w:val="19"/>
                <w:color w:val="auto"/>
              </w:rPr>
            </w:pPr>
          </w:p>
        </w:tc>
      </w:tr>
      <w:tr>
        <w:trPr>
          <w:trHeight w:val="213"/>
        </w:trPr>
        <w:tc>
          <w:tcPr>
            <w:tcW w:w="7120" w:type="dxa"/>
            <w:vAlign w:val="bottom"/>
          </w:tcPr>
          <w:p>
            <w:pPr>
              <w:ind w:left="260"/>
              <w:spacing w:after="0"/>
              <w:rPr>
                <w:sz w:val="20"/>
                <w:szCs w:val="20"/>
                <w:color w:val="auto"/>
              </w:rPr>
            </w:pPr>
            <w:r>
              <w:rPr>
                <w:rFonts w:ascii="Arial" w:cs="Arial" w:eastAsia="Arial" w:hAnsi="Arial"/>
                <w:sz w:val="16"/>
                <w:szCs w:val="16"/>
                <w:color w:val="auto"/>
              </w:rPr>
              <w:t>Middle East and Asia</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3,985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2,327</w:t>
            </w:r>
          </w:p>
        </w:tc>
        <w:tc>
          <w:tcPr>
            <w:tcW w:w="120" w:type="dxa"/>
            <w:vAlign w:val="bottom"/>
          </w:tcPr>
          <w:p>
            <w:pPr>
              <w:spacing w:after="0"/>
              <w:rPr>
                <w:sz w:val="18"/>
                <w:szCs w:val="18"/>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Brazil, Mexico, Central and South America</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CFF0FC"/>
          </w:tcPr>
          <w:p>
            <w:pPr>
              <w:spacing w:after="0"/>
              <w:rPr>
                <w:sz w:val="19"/>
                <w:szCs w:val="19"/>
                <w:color w:val="auto"/>
              </w:rPr>
            </w:pPr>
          </w:p>
        </w:tc>
      </w:tr>
      <w:tr>
        <w:trPr>
          <w:trHeight w:val="213"/>
        </w:trPr>
        <w:tc>
          <w:tcPr>
            <w:tcW w:w="7120" w:type="dxa"/>
            <w:vAlign w:val="bottom"/>
          </w:tcPr>
          <w:p>
            <w:pPr>
              <w:ind w:left="260"/>
              <w:spacing w:after="0"/>
              <w:rPr>
                <w:sz w:val="20"/>
                <w:szCs w:val="20"/>
                <w:color w:val="auto"/>
              </w:rPr>
            </w:pPr>
            <w:r>
              <w:rPr>
                <w:rFonts w:ascii="Arial" w:cs="Arial" w:eastAsia="Arial" w:hAnsi="Arial"/>
                <w:sz w:val="16"/>
                <w:szCs w:val="16"/>
                <w:color w:val="auto"/>
              </w:rPr>
              <w:t>Europe, primarily North Sea</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4,170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3,091</w:t>
            </w:r>
          </w:p>
        </w:tc>
        <w:tc>
          <w:tcPr>
            <w:tcW w:w="120" w:type="dxa"/>
            <w:vAlign w:val="bottom"/>
          </w:tcPr>
          <w:p>
            <w:pPr>
              <w:spacing w:after="0"/>
              <w:rPr>
                <w:sz w:val="18"/>
                <w:szCs w:val="18"/>
                <w:color w:val="auto"/>
              </w:rPr>
            </w:pPr>
          </w:p>
        </w:tc>
      </w:tr>
      <w:tr>
        <w:trPr>
          <w:trHeight w:val="219"/>
        </w:trPr>
        <w:tc>
          <w:tcPr>
            <w:tcW w:w="71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leased-in equipment (excluding amortization of deferred gains)</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(5,157)</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(4,834)</w:t>
            </w: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Administrative and general (excluding provisions for bad debts and amortization of share awards)</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(11,860)</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(12,357)</w:t>
            </w:r>
          </w:p>
        </w:tc>
      </w:tr>
      <w:tr>
        <w:trPr>
          <w:trHeight w:val="219"/>
        </w:trPr>
        <w:tc>
          <w:tcPr>
            <w:tcW w:w="7120" w:type="dxa"/>
            <w:vAlign w:val="bottom"/>
            <w:shd w:val="clear" w:color="auto" w:fill="CFF0FC"/>
          </w:tcPr>
          <w:p>
            <w:pPr>
              <w:spacing w:after="0"/>
              <w:rPr>
                <w:sz w:val="20"/>
                <w:szCs w:val="20"/>
                <w:color w:val="auto"/>
              </w:rPr>
            </w:pPr>
            <w:r>
              <w:rPr>
                <w:rFonts w:ascii="Arial" w:cs="Arial" w:eastAsia="Arial" w:hAnsi="Arial"/>
                <w:sz w:val="16"/>
                <w:szCs w:val="16"/>
                <w:color w:val="auto"/>
              </w:rPr>
              <w:t>SEACOR Holdings management and guarantee fees</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(29)</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r>
      <w:tr>
        <w:trPr>
          <w:trHeight w:val="213"/>
        </w:trPr>
        <w:tc>
          <w:tcPr>
            <w:tcW w:w="7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Dividends received from 50% or less owned companies</w:t>
            </w:r>
          </w:p>
        </w:tc>
        <w:tc>
          <w:tcPr>
            <w:tcW w:w="7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r>
      <w:tr>
        <w:trPr>
          <w:trHeight w:val="213"/>
        </w:trPr>
        <w:tc>
          <w:tcPr>
            <w:tcW w:w="7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(4,674)</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(3,830)</w:t>
            </w: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Changes in operating assets and liabilities before interest and income taxes</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5,372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(4,938)</w:t>
            </w:r>
          </w:p>
        </w:tc>
      </w:tr>
      <w:tr>
        <w:trPr>
          <w:trHeight w:val="219"/>
        </w:trPr>
        <w:tc>
          <w:tcPr>
            <w:tcW w:w="712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vested</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(282)</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Cash settlements on derivative transactions, net</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(75)</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(129)</w:t>
            </w:r>
          </w:p>
        </w:tc>
      </w:tr>
      <w:tr>
        <w:trPr>
          <w:trHeight w:val="219"/>
        </w:trPr>
        <w:tc>
          <w:tcPr>
            <w:tcW w:w="71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Interest paid, excluding capitalized interest </w:t>
            </w:r>
            <w:r>
              <w:rPr>
                <w:rFonts w:ascii="Arial" w:cs="Arial" w:eastAsia="Arial" w:hAnsi="Arial"/>
                <w:sz w:val="25"/>
                <w:szCs w:val="25"/>
                <w:color w:val="auto"/>
                <w:vertAlign w:val="superscript"/>
              </w:rPr>
              <w:t>(1)</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(4,664)</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(2,828)</w:t>
            </w: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Interest received</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r>
      <w:tr>
        <w:trPr>
          <w:trHeight w:val="219"/>
        </w:trPr>
        <w:tc>
          <w:tcPr>
            <w:tcW w:w="7120" w:type="dxa"/>
            <w:vAlign w:val="bottom"/>
            <w:shd w:val="clear" w:color="auto" w:fill="CFF0FC"/>
          </w:tcPr>
          <w:p>
            <w:pPr>
              <w:spacing w:after="0"/>
              <w:rPr>
                <w:sz w:val="20"/>
                <w:szCs w:val="20"/>
                <w:color w:val="auto"/>
              </w:rPr>
            </w:pPr>
            <w:r>
              <w:rPr>
                <w:rFonts w:ascii="Arial" w:cs="Arial" w:eastAsia="Arial" w:hAnsi="Arial"/>
                <w:sz w:val="16"/>
                <w:szCs w:val="16"/>
                <w:color w:val="auto"/>
              </w:rPr>
              <w:t>Income taxes refunded, net</w:t>
            </w:r>
          </w:p>
        </w:tc>
        <w:tc>
          <w:tcPr>
            <w:tcW w:w="7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1,999</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r>
      <w:tr>
        <w:trPr>
          <w:trHeight w:val="207"/>
        </w:trPr>
        <w:tc>
          <w:tcPr>
            <w:tcW w:w="7120" w:type="dxa"/>
            <w:vAlign w:val="bottom"/>
          </w:tcPr>
          <w:p>
            <w:pPr>
              <w:spacing w:after="0"/>
              <w:rPr>
                <w:sz w:val="20"/>
                <w:szCs w:val="20"/>
                <w:color w:val="auto"/>
              </w:rPr>
            </w:pPr>
            <w:r>
              <w:rPr>
                <w:rFonts w:ascii="Arial" w:cs="Arial" w:eastAsia="Arial" w:hAnsi="Arial"/>
                <w:sz w:val="16"/>
                <w:szCs w:val="16"/>
                <w:color w:val="auto"/>
              </w:rPr>
              <w:t>Total cash flows used in operating activities</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(1,967)</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(11,509)</w:t>
            </w:r>
          </w:p>
        </w:tc>
      </w:tr>
      <w:tr>
        <w:trPr>
          <w:trHeight w:val="20"/>
        </w:trPr>
        <w:tc>
          <w:tcPr>
            <w:tcW w:w="7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Current Year Quarter and the Prior Year Quarter, capitalized interest paid and included in purchases of property and equipment was $0.4 million and $0.5 million, respectively.</w:t>
      </w:r>
    </w:p>
    <w:p>
      <w:pPr>
        <w:spacing w:after="0" w:line="123"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Investing Activities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1"/>
          <w:szCs w:val="21"/>
          <w:color w:val="auto"/>
        </w:rPr>
        <w:t>During the Current Year Quarter, net cash used in investing activities was $22.6 million, primarily for the following:</w:t>
      </w:r>
    </w:p>
    <w:p>
      <w:pPr>
        <w:spacing w:after="0" w:line="110" w:lineRule="exact"/>
        <w:rPr>
          <w:sz w:val="20"/>
          <w:szCs w:val="20"/>
          <w:color w:val="auto"/>
        </w:rPr>
      </w:pPr>
    </w:p>
    <w:p>
      <w:pPr>
        <w:ind w:left="1280" w:hanging="516"/>
        <w:spacing w:after="0"/>
        <w:tabs>
          <w:tab w:leader="none" w:pos="12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capital expenditures were $21.2 million;</w:t>
      </w:r>
    </w:p>
    <w:p>
      <w:pPr>
        <w:spacing w:after="0" w:line="98" w:lineRule="exact"/>
        <w:rPr>
          <w:rFonts w:ascii="Arial" w:cs="Arial" w:eastAsia="Arial" w:hAnsi="Arial"/>
          <w:sz w:val="22"/>
          <w:szCs w:val="22"/>
          <w:color w:val="auto"/>
        </w:rPr>
      </w:pPr>
    </w:p>
    <w:p>
      <w:pPr>
        <w:jc w:val="both"/>
        <w:ind w:left="1280" w:hanging="516"/>
        <w:spacing w:after="0"/>
        <w:tabs>
          <w:tab w:leader="none" w:pos="12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Company sold one standby safety vessel and other equipment for $0.1 million cash and one vessel under construction for net proceeds of $4.3 million (all of which was a previously received deposit) and received $0.4 million in deposits for the future sale of vessels; and</w:t>
      </w:r>
    </w:p>
    <w:p>
      <w:pPr>
        <w:spacing w:after="0" w:line="78" w:lineRule="exact"/>
        <w:rPr>
          <w:rFonts w:ascii="Arial" w:cs="Arial" w:eastAsia="Arial" w:hAnsi="Arial"/>
          <w:sz w:val="22"/>
          <w:szCs w:val="22"/>
          <w:color w:val="auto"/>
        </w:rPr>
      </w:pPr>
    </w:p>
    <w:p>
      <w:pPr>
        <w:ind w:left="1280" w:hanging="516"/>
        <w:spacing w:after="0" w:line="251" w:lineRule="auto"/>
        <w:tabs>
          <w:tab w:leader="none" w:pos="12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Company made investments in, and advances to, its 50% or less owned companies of $2.0 million, comprised primarily of its capital contribution in the SEACOSCO joint venture.</w:t>
      </w:r>
    </w:p>
    <w:p>
      <w:pPr>
        <w:spacing w:after="0" w:line="133" w:lineRule="exact"/>
        <w:rPr>
          <w:sz w:val="20"/>
          <w:szCs w:val="20"/>
          <w:color w:val="auto"/>
        </w:rPr>
      </w:pPr>
    </w:p>
    <w:p>
      <w:pPr>
        <w:ind w:firstLine="761"/>
        <w:spacing w:after="0" w:line="251" w:lineRule="auto"/>
        <w:rPr>
          <w:sz w:val="20"/>
          <w:szCs w:val="20"/>
          <w:color w:val="auto"/>
        </w:rPr>
      </w:pPr>
      <w:r>
        <w:rPr>
          <w:rFonts w:ascii="Arial" w:cs="Arial" w:eastAsia="Arial" w:hAnsi="Arial"/>
          <w:sz w:val="22"/>
          <w:szCs w:val="22"/>
          <w:color w:val="auto"/>
        </w:rPr>
        <w:t>During the Prior Year Quarter, net cash used in investing activities was $28.1 million, primarily as a result of the following:</w:t>
      </w:r>
    </w:p>
    <w:p>
      <w:pPr>
        <w:spacing w:after="0" w:line="65" w:lineRule="exact"/>
        <w:rPr>
          <w:sz w:val="20"/>
          <w:szCs w:val="20"/>
          <w:color w:val="auto"/>
        </w:rPr>
      </w:pPr>
    </w:p>
    <w:p>
      <w:pPr>
        <w:ind w:left="1280" w:hanging="516"/>
        <w:spacing w:after="0"/>
        <w:tabs>
          <w:tab w:leader="none" w:pos="12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capital expenditures were $8.6 million;</w:t>
      </w:r>
    </w:p>
    <w:p>
      <w:pPr>
        <w:spacing w:after="0" w:line="98" w:lineRule="exact"/>
        <w:rPr>
          <w:rFonts w:ascii="Arial" w:cs="Arial" w:eastAsia="Arial" w:hAnsi="Arial"/>
          <w:sz w:val="22"/>
          <w:szCs w:val="22"/>
          <w:color w:val="auto"/>
        </w:rPr>
      </w:pPr>
    </w:p>
    <w:p>
      <w:pPr>
        <w:ind w:left="1280" w:hanging="516"/>
        <w:spacing w:after="0" w:line="251" w:lineRule="auto"/>
        <w:tabs>
          <w:tab w:leader="none" w:pos="12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sold one fast support vessel and other equipment for net proceeds of $0.3 million ($0.4 million in cash and $0.1 million of previously received deposits); and</w:t>
      </w:r>
    </w:p>
    <w:p>
      <w:pPr>
        <w:spacing w:after="0" w:line="65" w:lineRule="exact"/>
        <w:rPr>
          <w:rFonts w:ascii="Arial" w:cs="Arial" w:eastAsia="Arial" w:hAnsi="Arial"/>
          <w:sz w:val="22"/>
          <w:szCs w:val="22"/>
          <w:color w:val="auto"/>
        </w:rPr>
      </w:pPr>
    </w:p>
    <w:p>
      <w:pPr>
        <w:ind w:left="1280" w:hanging="516"/>
        <w:spacing w:after="0" w:line="251" w:lineRule="auto"/>
        <w:tabs>
          <w:tab w:leader="none" w:pos="12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made investments in and advances to, its 50% or less owned companies of $20.0 million for the new SEACOSCO joint venture.</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Financing Activities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Current Year Quarter, net cash used in financing activities was $7.6 million. The Company:</w:t>
      </w:r>
    </w:p>
    <w:p>
      <w:pPr>
        <w:spacing w:after="0" w:line="98" w:lineRule="exact"/>
        <w:rPr>
          <w:sz w:val="20"/>
          <w:szCs w:val="20"/>
          <w:color w:val="auto"/>
        </w:rPr>
      </w:pPr>
    </w:p>
    <w:p>
      <w:pPr>
        <w:ind w:left="1280" w:hanging="516"/>
        <w:spacing w:after="0"/>
        <w:tabs>
          <w:tab w:leader="none" w:pos="12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made scheduled payments on long-term debt and obligations of $4.4 million;</w:t>
      </w:r>
    </w:p>
    <w:p>
      <w:pPr>
        <w:spacing w:after="0" w:line="98" w:lineRule="exact"/>
        <w:rPr>
          <w:rFonts w:ascii="Arial" w:cs="Arial" w:eastAsia="Arial" w:hAnsi="Arial"/>
          <w:sz w:val="22"/>
          <w:szCs w:val="22"/>
          <w:color w:val="auto"/>
        </w:rPr>
      </w:pPr>
    </w:p>
    <w:p>
      <w:pPr>
        <w:ind w:left="1280" w:hanging="516"/>
        <w:spacing w:after="0"/>
        <w:tabs>
          <w:tab w:leader="none" w:pos="1280" w:val="left"/>
        </w:tabs>
        <w:numPr>
          <w:ilvl w:val="0"/>
          <w:numId w:val="29"/>
        </w:numPr>
        <w:rPr>
          <w:rFonts w:ascii="Arial" w:cs="Arial" w:eastAsia="Arial" w:hAnsi="Arial"/>
          <w:sz w:val="21"/>
          <w:szCs w:val="21"/>
          <w:color w:val="auto"/>
        </w:rPr>
      </w:pPr>
      <w:r>
        <w:rPr>
          <w:rFonts w:ascii="Arial" w:cs="Arial" w:eastAsia="Arial" w:hAnsi="Arial"/>
          <w:sz w:val="21"/>
          <w:szCs w:val="21"/>
          <w:color w:val="auto"/>
        </w:rPr>
        <w:t>purchased subsidiary shares from a joint venture in which it had a noncontrolling interest for $3.4 million; and</w:t>
      </w:r>
    </w:p>
    <w:p>
      <w:pPr>
        <w:spacing w:after="0" w:line="109" w:lineRule="exact"/>
        <w:rPr>
          <w:rFonts w:ascii="Arial" w:cs="Arial" w:eastAsia="Arial" w:hAnsi="Arial"/>
          <w:sz w:val="21"/>
          <w:szCs w:val="21"/>
          <w:color w:val="auto"/>
        </w:rPr>
      </w:pPr>
    </w:p>
    <w:p>
      <w:pPr>
        <w:ind w:left="1280" w:hanging="516"/>
        <w:spacing w:after="0"/>
        <w:tabs>
          <w:tab w:leader="none" w:pos="12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issued Common Stock for proceeds of $0.1 million.</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Prior Year Quarter, net cash used in financing activities was $8.5 million. The Company:</w:t>
      </w:r>
    </w:p>
    <w:p>
      <w:pPr>
        <w:spacing w:after="0" w:line="98" w:lineRule="exact"/>
        <w:rPr>
          <w:sz w:val="20"/>
          <w:szCs w:val="20"/>
          <w:color w:val="auto"/>
        </w:rPr>
      </w:pPr>
    </w:p>
    <w:p>
      <w:pPr>
        <w:ind w:left="1280" w:hanging="516"/>
        <w:spacing w:after="0"/>
        <w:tabs>
          <w:tab w:leader="none" w:pos="12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borrowed $10.0 million under the Revolving Loan Facility of Falcon Global USA LLC;</w:t>
      </w:r>
    </w:p>
    <w:p>
      <w:pPr>
        <w:spacing w:after="0" w:line="98" w:lineRule="exact"/>
        <w:rPr>
          <w:rFonts w:ascii="Arial" w:cs="Arial" w:eastAsia="Arial" w:hAnsi="Arial"/>
          <w:sz w:val="22"/>
          <w:szCs w:val="22"/>
          <w:color w:val="auto"/>
        </w:rPr>
      </w:pPr>
    </w:p>
    <w:p>
      <w:pPr>
        <w:ind w:left="1280" w:hanging="516"/>
        <w:spacing w:after="0"/>
        <w:tabs>
          <w:tab w:leader="none" w:pos="12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paid $15.0 million in debtor-in-possession obligations assumed from Montco Offshore Inc.;</w:t>
      </w:r>
    </w:p>
    <w:p>
      <w:pPr>
        <w:spacing w:after="0" w:line="98" w:lineRule="exact"/>
        <w:rPr>
          <w:rFonts w:ascii="Arial" w:cs="Arial" w:eastAsia="Arial" w:hAnsi="Arial"/>
          <w:sz w:val="22"/>
          <w:szCs w:val="22"/>
          <w:color w:val="auto"/>
        </w:rPr>
      </w:pPr>
    </w:p>
    <w:p>
      <w:pPr>
        <w:ind w:left="1280" w:right="20" w:hanging="516"/>
        <w:spacing w:after="0" w:line="274" w:lineRule="auto"/>
        <w:tabs>
          <w:tab w:leader="none" w:pos="1280" w:val="left"/>
        </w:tabs>
        <w:numPr>
          <w:ilvl w:val="0"/>
          <w:numId w:val="30"/>
        </w:numPr>
        <w:rPr>
          <w:rFonts w:ascii="Arial" w:cs="Arial" w:eastAsia="Arial" w:hAnsi="Arial"/>
          <w:sz w:val="21"/>
          <w:szCs w:val="21"/>
          <w:color w:val="auto"/>
        </w:rPr>
      </w:pPr>
      <w:r>
        <w:rPr>
          <w:rFonts w:ascii="Arial" w:cs="Arial" w:eastAsia="Arial" w:hAnsi="Arial"/>
          <w:sz w:val="21"/>
          <w:szCs w:val="21"/>
          <w:color w:val="auto"/>
        </w:rPr>
        <w:t>converted €6.0 million of denominated debt into pound sterling debt, paying $7.5 million in euro debt and borrowing $8.5 million in pound sterling debt, resulting in a net increase in USD borrowings of $1.0 million;</w:t>
      </w:r>
    </w:p>
    <w:p>
      <w:pPr>
        <w:spacing w:after="0" w:line="42" w:lineRule="exact"/>
        <w:rPr>
          <w:rFonts w:ascii="Arial" w:cs="Arial" w:eastAsia="Arial" w:hAnsi="Arial"/>
          <w:sz w:val="21"/>
          <w:szCs w:val="21"/>
          <w:color w:val="auto"/>
        </w:rPr>
      </w:pPr>
    </w:p>
    <w:p>
      <w:pPr>
        <w:ind w:left="1280" w:hanging="516"/>
        <w:spacing w:after="0"/>
        <w:tabs>
          <w:tab w:leader="none" w:pos="12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made scheduled payments on long-term debt and capital lease obligations of $6.3 million; and</w:t>
      </w:r>
    </w:p>
    <w:p>
      <w:pPr>
        <w:spacing w:after="0" w:line="98" w:lineRule="exact"/>
        <w:rPr>
          <w:rFonts w:ascii="Arial" w:cs="Arial" w:eastAsia="Arial" w:hAnsi="Arial"/>
          <w:sz w:val="22"/>
          <w:szCs w:val="22"/>
          <w:color w:val="auto"/>
        </w:rPr>
      </w:pPr>
    </w:p>
    <w:p>
      <w:pPr>
        <w:ind w:left="1280" w:hanging="516"/>
        <w:spacing w:after="0"/>
        <w:tabs>
          <w:tab w:leader="none" w:pos="12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issued $1.8 million in stock in a private placement.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Short and Long-Term Liquidity Requirements</w:t>
      </w:r>
    </w:p>
    <w:p>
      <w:pPr>
        <w:spacing w:after="0" w:line="18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9"/>
          <w:szCs w:val="19"/>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performance and liquidity, as well as the credit and capital markets.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Off-Balance Sheet Arrangements</w:t>
      </w:r>
    </w:p>
    <w:p>
      <w:pPr>
        <w:spacing w:after="0" w:line="185"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For a discussion of the Company’s off-balance sheet arrangements, refer to Liquidity and Capital Resources included in the Company's Annual Report on Form 10-K for the year ended December 31, 2018. There has been no material change in the Company’s off-balance sheet arrangements during the three months ended March 31, 2019.</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Debt Securities and Credit Agreements</w:t>
      </w:r>
    </w:p>
    <w:p>
      <w:pPr>
        <w:spacing w:after="0" w:line="172"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21"/>
          <w:szCs w:val="21"/>
          <w:color w:val="auto"/>
        </w:rPr>
        <w:t>For a discussion of the Company’s debt securities and credit agreements, see “Note 4. Long-Term Debt” in the unaudited consolidated financial statements included elsewhere in this Quarterly Report on Form 10-Q and in “Note 7. Long-Term Debt” in the Company's audited consolidated financial statements included in its Annual Report on Form 10-K.</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Contractual Obligations and Commercial Commitments</w:t>
      </w:r>
    </w:p>
    <w:p>
      <w:pPr>
        <w:spacing w:after="0" w:line="172"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color w:val="auto"/>
        </w:rPr>
        <w:t>For a discussion of the Company’s contractual obligations and commercial commitments, refer to Liquidity and Capital Resources included in the Company's Annual Report on Form 10-K for the year ended December 31, 2018. There has been no material change in the Company’s contractual obligations and commercial commitments other than the adoption of ASC 842 during the three months ended March 31, 2019, see “Note 1. Basis of Presentation and Accounting Policies” and “Note 10. Stockholder Equity” in the unaudited consolidated financial statements included elsewhere in this Quarterly Report on Form 10-Q.</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Contingencies</w:t>
      </w:r>
    </w:p>
    <w:p>
      <w:pPr>
        <w:spacing w:after="0" w:line="185"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9"/>
          <w:szCs w:val="19"/>
          <w:color w:val="auto"/>
        </w:rPr>
        <w:t>As of March 31, 2019, SEACOR Holdings has guaranteed $36.6 million on behalf of the Company for various obligations including: performance obligations under sale-leaseback arrangements and invoiced amounts for funding deficits under the MNOPF. Pursuant to a Distribution Agreement with SEACOR Holdings, SEACOR Holdings charges the Company a fee of 0.5% per annum on outstanding guaranteed amounts, which declines as the obligations are settled by the Company.</w:t>
      </w:r>
    </w:p>
    <w:p>
      <w:pPr>
        <w:spacing w:after="0" w:line="103" w:lineRule="exact"/>
        <w:rPr>
          <w:sz w:val="20"/>
          <w:szCs w:val="20"/>
          <w:color w:val="auto"/>
        </w:rPr>
      </w:pPr>
    </w:p>
    <w:p>
      <w:pPr>
        <w:jc w:val="both"/>
        <w:ind w:firstLine="761"/>
        <w:spacing w:after="0" w:line="248"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3.QUANTITATIVE AND QUALITATIVE DISCLOSURES ABOUT MARKET RISK</w:t>
      </w:r>
    </w:p>
    <w:p>
      <w:pPr>
        <w:spacing w:after="0" w:line="172"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For a discussion of the Company’s exposure to market risk, refer to “Quantitative and Qualitative Disclosures About Market Risk” included in the Company's Annual Report on Form 10-K for the year ended December 31, 2018. There has been no material change in the Company’s exposure to market risk during the Current Nine Months.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72"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March 31, 2019. Based on their evaluation, the Company’s principal executive officer and principal financial officer concluded that the Company’s disclosure controls and procedures were effective as of March 31, 2019.</w:t>
      </w:r>
    </w:p>
    <w:p>
      <w:pPr>
        <w:spacing w:after="0" w:line="147" w:lineRule="exact"/>
        <w:rPr>
          <w:sz w:val="20"/>
          <w:szCs w:val="20"/>
          <w:color w:val="auto"/>
        </w:rPr>
      </w:pPr>
    </w:p>
    <w:p>
      <w:pPr>
        <w:jc w:val="both"/>
        <w:ind w:right="20" w:firstLine="761"/>
        <w:spacing w:after="0"/>
        <w:rPr>
          <w:sz w:val="20"/>
          <w:szCs w:val="20"/>
          <w:color w:val="auto"/>
        </w:rPr>
      </w:pPr>
      <w:r>
        <w:rPr>
          <w:rFonts w:ascii="Arial" w:cs="Arial" w:eastAsia="Arial" w:hAnsi="Arial"/>
          <w:sz w:val="22"/>
          <w:szCs w:val="22"/>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72"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21"/>
          <w:szCs w:val="21"/>
          <w:color w:val="auto"/>
        </w:rPr>
        <w:t>There have been no changes in the Company’s internal control over financial reporting (as defined in Rules 13a-15(f) and 15d-15(f) under the Exchange Act) that occurred during the quarter ended March 31, 2019 that have materially affected, or are reasonably likely to materially affect, the Company’s internal control over financial reporting.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1.LEGAL PROCEEDINGS</w:t>
      </w:r>
    </w:p>
    <w:p>
      <w:pPr>
        <w:spacing w:after="0" w:line="172"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For a description of developments with respect to pending legal proceedings described in the Company's Annual Report on Form 10-K for the year ended December 31, 2018, see “Note 11. Commitments and Contingencies” included in Part I. Item 1. “Financial Statements” elsewhere in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1A.RISK FACTORS</w:t>
      </w:r>
    </w:p>
    <w:p>
      <w:pPr>
        <w:spacing w:after="0" w:line="172"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For a discussion of the Company’s risk factors, refer to “Risk Factors” included in the Company's Annual Report on Form 10-K for the year ended December 31, 2018. There have been no material changes in the Company’s risk factors during the Current Nine Months.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2.UNREGISTERED SALES OF EQUITY SECURITIES AND USE OF PROCEEDS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 (b) On January 9, 2019, certain indirect wholly-owned subsidiaries of the Company entered into an asset purchase agreement with each of McCall Marine Transportation, L.L.C., Carlene McCall, L.L.C. and N.F. McCall Offshore, L.L.C. (the “Sellers” and such agreements, the “Asset Purchase Agreements”) pursuant to which the Company purchased a total of three fast support vessels (the “Asset Purchase”) in exchange for a private placement of 603,872 shares of common stock, par value $0.01 per share, of the Company (the “Consideration Shares”) that were issued to a limited number of affiliates of the Sellers (the “Seller Affiliates”) as purchase consideration. The issuance of the Consideration Shares pursuant to the Asset Purchase Agreement was made in reliance upon the exemption from registration provided under Section 4(a)(2) of the Securities Act. In determining that the issuance of the Consideration Shares qualified for an exemption under Section 4(a)(2), the Company relied on the following facts:</w:t>
      </w:r>
    </w:p>
    <w:p>
      <w:pPr>
        <w:spacing w:after="0" w:line="4" w:lineRule="exact"/>
        <w:rPr>
          <w:sz w:val="20"/>
          <w:szCs w:val="20"/>
          <w:color w:val="auto"/>
        </w:rPr>
      </w:pPr>
    </w:p>
    <w:p>
      <w:pPr>
        <w:ind w:firstLine="8"/>
        <w:spacing w:after="0" w:line="308" w:lineRule="auto"/>
        <w:tabs>
          <w:tab w:leader="none" w:pos="275" w:val="left"/>
        </w:tabs>
        <w:numPr>
          <w:ilvl w:val="0"/>
          <w:numId w:val="31"/>
        </w:numPr>
        <w:rPr>
          <w:rFonts w:ascii="Arial" w:cs="Arial" w:eastAsia="Arial" w:hAnsi="Arial"/>
          <w:sz w:val="19"/>
          <w:szCs w:val="19"/>
          <w:color w:val="auto"/>
        </w:rPr>
      </w:pPr>
      <w:r>
        <w:rPr>
          <w:rFonts w:ascii="Arial" w:cs="Arial" w:eastAsia="Arial" w:hAnsi="Arial"/>
          <w:sz w:val="19"/>
          <w:szCs w:val="19"/>
          <w:color w:val="auto"/>
        </w:rPr>
        <w:t>all of the Sellers and Seller Affiliates were accredited investors or qualified institutional buyers, (ii) the Company did not use any form of general solicitation or advertising to offer the common stock and (iii) the investment intent of the Seller Affiliates.</w:t>
      </w:r>
    </w:p>
    <w:p>
      <w:pPr>
        <w:spacing w:after="0" w:line="150" w:lineRule="exact"/>
        <w:rPr>
          <w:sz w:val="20"/>
          <w:szCs w:val="20"/>
          <w:color w:val="auto"/>
        </w:rPr>
      </w:pPr>
    </w:p>
    <w:p>
      <w:pPr>
        <w:jc w:val="both"/>
        <w:ind w:firstLine="761"/>
        <w:spacing w:after="0" w:line="244" w:lineRule="auto"/>
        <w:rPr>
          <w:sz w:val="20"/>
          <w:szCs w:val="20"/>
          <w:color w:val="auto"/>
        </w:rPr>
      </w:pPr>
      <w:r>
        <w:rPr>
          <w:rFonts w:ascii="Arial" w:cs="Arial" w:eastAsia="Arial" w:hAnsi="Arial"/>
          <w:sz w:val="21"/>
          <w:szCs w:val="21"/>
          <w:color w:val="auto"/>
        </w:rPr>
        <w:t>On March 15, 2019, Seabulk Overseas, a wholly-owned subsidiary of SEACOR Marine, acquired the remaining 6.25% minority interest in Windcat Workboats that it did not previously own upon the exercise by Roleen B.V. (the “Windcat Seller”) of a put option under a certain subscription and shareholders agreement, initially dated as of December 22, 2011, as amended. As partial consideration for the acquisition of such minority interest in Windcat Workboats, SEACOR Marine issued to an affiliate of Windcat Seller (“Windcat Seller Affiliate”) an aggregate of 50,000 shares of its common stock in a private placement in accordance with Section 4(a)(2) of the Securities Act, pursuant to the terms of a certain share purchase agreement with Windcat Seller. In determining that the issuance of the shares used as consideration for the acquisition of the minority interests in Windcat Workboats qualified for the exemption provided by Section 4(a)(2), the Company relied on the following facts: (i) the Windcat Seller and Windcat Seller Affiliate were accredited investors or qualified institutional buyers, (ii) the Company did not use any form of general solicitation or advertising to offer the common stock and (iii) the investment intent of the Windcat Seller or Windcat Seller Affiliate.</w:t>
      </w:r>
    </w:p>
    <w:p>
      <w:pPr>
        <w:spacing w:after="0" w:line="217" w:lineRule="exact"/>
        <w:rPr>
          <w:sz w:val="20"/>
          <w:szCs w:val="20"/>
          <w:color w:val="auto"/>
        </w:rPr>
      </w:pPr>
    </w:p>
    <w:p>
      <w:pPr>
        <w:ind w:right="360" w:firstLine="8"/>
        <w:spacing w:after="0" w:line="245" w:lineRule="auto"/>
        <w:tabs>
          <w:tab w:leader="none" w:pos="942"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This table provides information with respect to purchases by the Company of shares of its Common Stock during the Current Year Quarter: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Total Number of</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of</w:t>
            </w:r>
          </w:p>
        </w:tc>
      </w:tr>
      <w:tr>
        <w:trPr>
          <w:trHeight w:val="203"/>
        </w:trPr>
        <w:tc>
          <w:tcPr>
            <w:tcW w:w="3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Shares Purchased as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Shares that may be</w:t>
            </w:r>
          </w:p>
        </w:tc>
      </w:tr>
      <w:tr>
        <w:trPr>
          <w:trHeight w:val="199"/>
        </w:trPr>
        <w:tc>
          <w:tcPr>
            <w:tcW w:w="374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Total Number of</w:t>
            </w:r>
          </w:p>
        </w:tc>
        <w:tc>
          <w:tcPr>
            <w:tcW w:w="140" w:type="dxa"/>
            <w:vAlign w:val="bottom"/>
          </w:tcPr>
          <w:p>
            <w:pPr>
              <w:spacing w:after="0"/>
              <w:rPr>
                <w:sz w:val="17"/>
                <w:szCs w:val="17"/>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Average Price per</w:t>
            </w: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Part of a Publicly</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r>
      <w:tr>
        <w:trPr>
          <w:trHeight w:val="220"/>
        </w:trPr>
        <w:tc>
          <w:tcPr>
            <w:tcW w:w="3740" w:type="dxa"/>
            <w:vAlign w:val="bottom"/>
          </w:tcPr>
          <w:p>
            <w:pPr>
              <w:spacing w:after="0"/>
              <w:rPr>
                <w:sz w:val="19"/>
                <w:szCs w:val="19"/>
                <w:color w:val="auto"/>
              </w:rPr>
            </w:pPr>
          </w:p>
        </w:tc>
        <w:tc>
          <w:tcPr>
            <w:tcW w:w="1960" w:type="dxa"/>
            <w:vAlign w:val="bottom"/>
            <w:gridSpan w:val="2"/>
          </w:tcPr>
          <w:p>
            <w:pPr>
              <w:jc w:val="center"/>
              <w:ind w:right="320"/>
              <w:spacing w:after="0" w:line="220" w:lineRule="exact"/>
              <w:rPr>
                <w:sz w:val="20"/>
                <w:szCs w:val="20"/>
                <w:color w:val="auto"/>
              </w:rPr>
            </w:pPr>
            <w:r>
              <w:rPr>
                <w:rFonts w:ascii="Arial" w:cs="Arial" w:eastAsia="Arial" w:hAnsi="Arial"/>
                <w:sz w:val="15"/>
                <w:szCs w:val="15"/>
                <w:b w:val="1"/>
                <w:bCs w:val="1"/>
                <w:color w:val="auto"/>
                <w:w w:val="95"/>
              </w:rPr>
              <w:t xml:space="preserve">Shares Withheld </w:t>
            </w:r>
            <w:r>
              <w:rPr>
                <w:rFonts w:ascii="Arial" w:cs="Arial" w:eastAsia="Arial" w:hAnsi="Arial"/>
                <w:sz w:val="25"/>
                <w:szCs w:val="25"/>
                <w:b w:val="1"/>
                <w:bCs w:val="1"/>
                <w:color w:val="auto"/>
                <w:w w:val="95"/>
                <w:vertAlign w:val="superscript"/>
              </w:rPr>
              <w:t>(1)</w:t>
            </w:r>
          </w:p>
        </w:tc>
        <w:tc>
          <w:tcPr>
            <w:tcW w:w="140" w:type="dxa"/>
            <w:vAlign w:val="bottom"/>
          </w:tcPr>
          <w:p>
            <w:pPr>
              <w:spacing w:after="0"/>
              <w:rPr>
                <w:sz w:val="19"/>
                <w:szCs w:val="19"/>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Share</w:t>
            </w: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Announced Plan</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4"/>
              </w:rPr>
              <w:t>Plan</w:t>
            </w:r>
          </w:p>
        </w:tc>
      </w:tr>
      <w:tr>
        <w:trPr>
          <w:trHeight w:val="244"/>
        </w:trPr>
        <w:tc>
          <w:tcPr>
            <w:tcW w:w="3740" w:type="dxa"/>
            <w:vAlign w:val="bottom"/>
          </w:tcPr>
          <w:p>
            <w:pPr>
              <w:spacing w:after="0"/>
              <w:rPr>
                <w:sz w:val="20"/>
                <w:szCs w:val="20"/>
                <w:color w:val="auto"/>
              </w:rPr>
            </w:pPr>
            <w:r>
              <w:rPr>
                <w:rFonts w:ascii="Arial" w:cs="Arial" w:eastAsia="Arial" w:hAnsi="Arial"/>
                <w:sz w:val="20"/>
                <w:szCs w:val="20"/>
                <w:color w:val="auto"/>
              </w:rPr>
              <w:t>January 1, 2019 to March 31, 2019</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21,551</w:t>
            </w:r>
          </w:p>
        </w:tc>
        <w:tc>
          <w:tcPr>
            <w:tcW w:w="3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13.08</w:t>
            </w:r>
          </w:p>
        </w:tc>
        <w:tc>
          <w:tcPr>
            <w:tcW w:w="300" w:type="dxa"/>
            <w:vAlign w:val="bottom"/>
          </w:tcPr>
          <w:p>
            <w:pPr>
              <w:spacing w:after="0"/>
              <w:rPr>
                <w:sz w:val="21"/>
                <w:szCs w:val="21"/>
                <w:color w:val="auto"/>
              </w:rPr>
            </w:pPr>
          </w:p>
        </w:tc>
        <w:tc>
          <w:tcPr>
            <w:tcW w:w="1660" w:type="dxa"/>
            <w:vAlign w:val="bottom"/>
            <w:tcBorders>
              <w:top w:val="single" w:sz="8" w:color="auto"/>
            </w:tcBorders>
          </w:tcPr>
          <w:p>
            <w:pPr>
              <w:ind w:left="78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1680" w:type="dxa"/>
            <w:vAlign w:val="bottom"/>
            <w:tcBorders>
              <w:top w:val="single" w:sz="8" w:color="auto"/>
            </w:tcBorders>
          </w:tcPr>
          <w:p>
            <w:pPr>
              <w:ind w:left="780"/>
              <w:spacing w:after="0"/>
              <w:rPr>
                <w:sz w:val="20"/>
                <w:szCs w:val="20"/>
                <w:color w:val="auto"/>
              </w:rPr>
            </w:pPr>
            <w:r>
              <w:rPr>
                <w:rFonts w:ascii="Arial" w:cs="Arial" w:eastAsia="Arial" w:hAnsi="Arial"/>
                <w:sz w:val="20"/>
                <w:szCs w:val="20"/>
                <w:color w:val="auto"/>
              </w:rPr>
              <w:t>—</w:t>
            </w:r>
          </w:p>
        </w:tc>
      </w:tr>
    </w:tbl>
    <w:p>
      <w:pPr>
        <w:spacing w:after="0" w:line="150" w:lineRule="exact"/>
        <w:rPr>
          <w:sz w:val="20"/>
          <w:szCs w:val="20"/>
          <w:color w:val="auto"/>
        </w:rPr>
      </w:pPr>
    </w:p>
    <w:p>
      <w:pPr>
        <w:ind w:left="760" w:right="280" w:hanging="374"/>
        <w:spacing w:after="0" w:line="238" w:lineRule="auto"/>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the three months ended March 31, 2019, the Company acquired for treasury 21,551 shares of Common Stock for an aggregate purchase price of $281,833 from its employees to cover their tax withholding obligations upon the lapsing of restrictions on share awards. These shares were purchased in accordance with the terms of the Company’s 2017 Equity Incentive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3.DEFAULT UPON SENIOR SECURITIES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4.MINE SAFETY DISCLOSURES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5.OTHER INFORMATION</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206"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4" w:name="page45"/>
    <w:bookmarkEnd w:id="44"/>
    <w:p>
      <w:pPr>
        <w:spacing w:after="0" w:line="209" w:lineRule="auto"/>
        <w:framePr w:w="2000" w:h="160" w:wrap="auto" w:vAnchor="page" w:hAnchor="page" w:x="1500" w:y="2627"/>
        <w:rPr>
          <w:rFonts w:ascii="Arial" w:cs="Arial" w:eastAsia="Arial" w:hAnsi="Arial"/>
          <w:sz w:val="16"/>
          <w:szCs w:val="16"/>
          <w:color w:val="auto"/>
        </w:rPr>
      </w:pPr>
      <w:r>
        <w:rPr>
          <w:rFonts w:ascii="Arial" w:cs="Arial" w:eastAsia="Arial" w:hAnsi="Arial"/>
          <w:sz w:val="16"/>
          <w:szCs w:val="16"/>
          <w:color w:val="auto"/>
        </w:rPr>
        <w:t>XBRL Instance Document</w:t>
      </w:r>
    </w:p>
    <w:p>
      <w:pPr>
        <w:spacing w:after="0" w:line="209" w:lineRule="auto"/>
        <w:framePr w:w="2740" w:h="160" w:wrap="auto" w:vAnchor="page" w:hAnchor="page" w:x="1500" w:y="2964"/>
        <w:rPr>
          <w:rFonts w:ascii="Arial" w:cs="Arial" w:eastAsia="Arial" w:hAnsi="Arial"/>
          <w:sz w:val="16"/>
          <w:szCs w:val="16"/>
          <w:color w:val="auto"/>
        </w:rPr>
      </w:pPr>
      <w:r>
        <w:rPr>
          <w:rFonts w:ascii="Arial" w:cs="Arial" w:eastAsia="Arial" w:hAnsi="Arial"/>
          <w:sz w:val="16"/>
          <w:szCs w:val="16"/>
          <w:color w:val="auto"/>
        </w:rPr>
        <w:t>XBRL Taxonomy Extension Schema</w:t>
      </w:r>
    </w:p>
    <w:p>
      <w:pPr>
        <w:spacing w:after="0" w:line="382" w:lineRule="auto"/>
        <w:framePr w:w="3760" w:h="1173" w:wrap="auto" w:vAnchor="page" w:hAnchor="page" w:x="1500" w:y="3302"/>
        <w:rPr>
          <w:rFonts w:ascii="Arial" w:cs="Arial" w:eastAsia="Arial" w:hAnsi="Arial"/>
          <w:sz w:val="16"/>
          <w:szCs w:val="16"/>
          <w:color w:val="auto"/>
        </w:rPr>
      </w:pPr>
      <w:r>
        <w:rPr>
          <w:rFonts w:ascii="Arial" w:cs="Arial" w:eastAsia="Arial" w:hAnsi="Arial"/>
          <w:sz w:val="16"/>
          <w:szCs w:val="16"/>
          <w:color w:val="auto"/>
        </w:rPr>
        <w:t>XBRL Taxonomy Extension Calculation Linkbase XBRL Taxonomy Extension Definition Linkbase XBRL Taxonomy Extension Label Linkbase XBRL Taxonomy Extension Presentation Linkbase</w:t>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20"/>
          <w:szCs w:val="20"/>
          <w:b w:val="1"/>
          <w:bCs w:val="1"/>
          <w:color w:val="auto"/>
        </w:rPr>
        <w:t xml:space="preserve">ITEM 6. </w:t>
      </w:r>
      <w:r>
        <w:rPr>
          <w:rFonts w:ascii="Arial" w:cs="Arial" w:eastAsia="Arial" w:hAnsi="Arial"/>
          <w:sz w:val="21"/>
          <w:szCs w:val="21"/>
          <w:b w:val="1"/>
          <w:bCs w:val="1"/>
          <w:color w:val="auto"/>
        </w:rPr>
        <w:t>EXHIBITS</w:t>
      </w:r>
    </w:p>
    <w:p>
      <w:pPr>
        <w:spacing w:after="0" w:line="241" w:lineRule="exact"/>
        <w:rPr>
          <w:rFonts w:ascii="Arial" w:cs="Arial" w:eastAsia="Arial" w:hAnsi="Arial"/>
          <w:sz w:val="16"/>
          <w:szCs w:val="16"/>
          <w:color w:val="auto"/>
        </w:rPr>
      </w:pPr>
    </w:p>
    <w:tbl>
      <w:tblPr>
        <w:tblLayout w:type="fixed"/>
        <w:tblInd w:w="14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10.1</w:t>
            </w:r>
          </w:p>
        </w:tc>
        <w:tc>
          <w:tcPr>
            <w:tcW w:w="10080" w:type="dxa"/>
            <w:vAlign w:val="bottom"/>
            <w:gridSpan w:val="3"/>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Form of Performance Restricted Stock Unit Grant Agreement under the SEACOR Marine Holdings Inc. 2017 Equity Incentive Plan</w:t>
              </w:r>
            </w:hyperlink>
          </w:p>
        </w:tc>
      </w:tr>
      <w:tr>
        <w:trPr>
          <w:trHeight w:val="20"/>
        </w:trPr>
        <w:tc>
          <w:tcPr>
            <w:tcW w:w="1160" w:type="dxa"/>
            <w:vAlign w:val="bottom"/>
          </w:tcPr>
          <w:p>
            <w:pPr>
              <w:spacing w:after="0" w:line="20" w:lineRule="exact"/>
              <w:rPr>
                <w:sz w:val="1"/>
                <w:szCs w:val="1"/>
                <w:color w:val="auto"/>
              </w:rPr>
            </w:pPr>
          </w:p>
        </w:tc>
        <w:tc>
          <w:tcPr>
            <w:tcW w:w="95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31.1</w:t>
            </w:r>
          </w:p>
        </w:tc>
        <w:tc>
          <w:tcPr>
            <w:tcW w:w="100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Certification by the Principal Executive Officer pursuant to Rule 13a-14(a) and Rule 15d-14(a) of the Securities Exchange Act, as amended.</w:t>
              </w:r>
            </w:hyperlink>
          </w:p>
        </w:tc>
      </w:tr>
      <w:tr>
        <w:trPr>
          <w:trHeight w:val="318"/>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31.2</w:t>
            </w:r>
          </w:p>
        </w:tc>
        <w:tc>
          <w:tcPr>
            <w:tcW w:w="100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Certification by the Principal Financial Officer pursuant to Rule 13a-14(a) and Rule 15d-14(a) of the Securities Exchange Act, as amended.</w:t>
              </w:r>
            </w:hyperlink>
          </w:p>
        </w:tc>
        <w:tc>
          <w:tcPr>
            <w:tcW w:w="40" w:type="dxa"/>
            <w:vAlign w:val="bottom"/>
          </w:tcPr>
          <w:p>
            <w:pPr>
              <w:spacing w:after="0"/>
              <w:rPr>
                <w:sz w:val="24"/>
                <w:szCs w:val="24"/>
                <w:color w:val="auto"/>
              </w:rPr>
            </w:pPr>
          </w:p>
        </w:tc>
      </w:tr>
    </w:tbl>
    <w:p>
      <w:pPr>
        <w:spacing w:after="0" w:line="134" w:lineRule="exact"/>
        <w:rPr>
          <w:sz w:val="20"/>
          <w:szCs w:val="20"/>
          <w:color w:val="auto"/>
        </w:rPr>
      </w:pPr>
    </w:p>
    <w:p>
      <w:pPr>
        <w:ind w:left="1300" w:hanging="1112"/>
        <w:spacing w:after="0" w:line="277" w:lineRule="auto"/>
        <w:tabs>
          <w:tab w:leader="none" w:pos="1300" w:val="left"/>
        </w:tabs>
        <w:numPr>
          <w:ilvl w:val="0"/>
          <w:numId w:val="34"/>
        </w:numPr>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Certification by the Principal Executive Officer and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Section 906 of the Sarbanes-Oxley Act of 2002</w:t>
        </w:r>
      </w:hyperlink>
    </w:p>
    <w:p>
      <w:pPr>
        <w:spacing w:after="0" w:line="7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101.INS**</w:t>
      </w:r>
    </w:p>
    <w:p>
      <w:pPr>
        <w:spacing w:after="0" w:line="13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101.SCH**</w:t>
      </w:r>
    </w:p>
    <w:p>
      <w:pPr>
        <w:spacing w:after="0" w:line="13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101.CAL**</w:t>
      </w:r>
    </w:p>
    <w:p>
      <w:pPr>
        <w:spacing w:after="0" w:line="13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101.DEF**</w:t>
      </w:r>
    </w:p>
    <w:p>
      <w:pPr>
        <w:spacing w:after="0" w:line="13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101.LAB**</w:t>
      </w:r>
    </w:p>
    <w:p>
      <w:pPr>
        <w:spacing w:after="0" w:line="13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101.PRE**</w:t>
      </w:r>
    </w:p>
    <w:p>
      <w:pPr>
        <w:spacing w:after="0" w:line="158" w:lineRule="exact"/>
        <w:rPr>
          <w:rFonts w:ascii="Arial" w:cs="Arial" w:eastAsia="Arial" w:hAnsi="Arial"/>
          <w:sz w:val="18"/>
          <w:szCs w:val="18"/>
          <w:color w:val="auto"/>
        </w:rPr>
      </w:pPr>
    </w:p>
    <w:p>
      <w:pPr>
        <w:ind w:left="520" w:right="80" w:hanging="512"/>
        <w:spacing w:after="0" w:line="342"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1929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20" w:firstLine="761"/>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45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2"/>
                <w:szCs w:val="22"/>
                <w:color w:val="auto"/>
              </w:rPr>
              <w:t>SEACOR Marine Holdings Inc.</w:t>
            </w:r>
          </w:p>
        </w:tc>
      </w:tr>
      <w:tr>
        <w:trPr>
          <w:trHeight w:val="275"/>
        </w:trPr>
        <w:tc>
          <w:tcPr>
            <w:tcW w:w="45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Arial" w:cs="Arial" w:eastAsia="Arial" w:hAnsi="Arial"/>
                <w:sz w:val="22"/>
                <w:szCs w:val="22"/>
                <w:color w:val="auto"/>
              </w:rPr>
              <w:t>(Registrant)</w:t>
            </w:r>
          </w:p>
        </w:tc>
      </w:tr>
      <w:tr>
        <w:trPr>
          <w:trHeight w:val="476"/>
        </w:trPr>
        <w:tc>
          <w:tcPr>
            <w:tcW w:w="4560" w:type="dxa"/>
            <w:vAlign w:val="bottom"/>
          </w:tcPr>
          <w:p>
            <w:pPr>
              <w:spacing w:after="0"/>
              <w:rPr>
                <w:sz w:val="20"/>
                <w:szCs w:val="20"/>
                <w:color w:val="auto"/>
              </w:rPr>
            </w:pPr>
            <w:r>
              <w:rPr>
                <w:rFonts w:ascii="Arial" w:cs="Arial" w:eastAsia="Arial" w:hAnsi="Arial"/>
                <w:sz w:val="22"/>
                <w:szCs w:val="22"/>
                <w:color w:val="auto"/>
              </w:rPr>
              <w:t>DATE: May 10, 2019</w:t>
            </w:r>
          </w:p>
        </w:tc>
        <w:tc>
          <w:tcPr>
            <w:tcW w:w="3320" w:type="dxa"/>
            <w:vAlign w:val="bottom"/>
          </w:tcPr>
          <w:p>
            <w:pPr>
              <w:ind w:left="2620"/>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Gellert</w:t>
            </w:r>
          </w:p>
        </w:tc>
      </w:tr>
      <w:tr>
        <w:trPr>
          <w:trHeight w:val="215"/>
        </w:trPr>
        <w:tc>
          <w:tcPr>
            <w:tcW w:w="45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60" w:type="dxa"/>
            <w:vAlign w:val="bottom"/>
          </w:tcPr>
          <w:p>
            <w:pPr>
              <w:spacing w:after="0" w:line="216" w:lineRule="exact"/>
              <w:rPr>
                <w:sz w:val="20"/>
                <w:szCs w:val="20"/>
                <w:color w:val="auto"/>
              </w:rPr>
            </w:pPr>
            <w:r>
              <w:rPr>
                <w:rFonts w:ascii="Arial" w:cs="Arial" w:eastAsia="Arial" w:hAnsi="Arial"/>
                <w:sz w:val="22"/>
                <w:szCs w:val="22"/>
                <w:color w:val="auto"/>
              </w:rPr>
              <w:t xml:space="preserve">John Gellert, </w:t>
            </w:r>
            <w:r>
              <w:rPr>
                <w:rFonts w:ascii="Arial" w:cs="Arial" w:eastAsia="Arial" w:hAnsi="Arial"/>
                <w:sz w:val="22"/>
                <w:szCs w:val="22"/>
                <w:i w:val="1"/>
                <w:iCs w:val="1"/>
                <w:color w:val="auto"/>
              </w:rPr>
              <w:t>President,</w:t>
            </w:r>
          </w:p>
        </w:tc>
      </w:tr>
      <w:tr>
        <w:trPr>
          <w:trHeight w:val="243"/>
        </w:trPr>
        <w:tc>
          <w:tcPr>
            <w:tcW w:w="45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460" w:type="dxa"/>
            <w:vAlign w:val="bottom"/>
          </w:tcPr>
          <w:p>
            <w:pPr>
              <w:spacing w:after="0" w:line="243" w:lineRule="exact"/>
              <w:rPr>
                <w:sz w:val="20"/>
                <w:szCs w:val="20"/>
                <w:color w:val="auto"/>
              </w:rPr>
            </w:pPr>
            <w:r>
              <w:rPr>
                <w:rFonts w:ascii="Arial" w:cs="Arial" w:eastAsia="Arial" w:hAnsi="Arial"/>
                <w:sz w:val="22"/>
                <w:szCs w:val="22"/>
                <w:i w:val="1"/>
                <w:iCs w:val="1"/>
                <w:color w:val="auto"/>
              </w:rPr>
              <w:t>Chief Executive Officer</w:t>
            </w:r>
          </w:p>
        </w:tc>
      </w:tr>
      <w:tr>
        <w:trPr>
          <w:trHeight w:val="275"/>
        </w:trPr>
        <w:tc>
          <w:tcPr>
            <w:tcW w:w="45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Arial" w:cs="Arial" w:eastAsia="Arial" w:hAnsi="Arial"/>
                <w:sz w:val="22"/>
                <w:szCs w:val="22"/>
                <w:i w:val="1"/>
                <w:iCs w:val="1"/>
                <w:color w:val="auto"/>
              </w:rPr>
              <w:t>(Principal Executive Officer)</w:t>
            </w:r>
          </w:p>
        </w:tc>
      </w:tr>
      <w:tr>
        <w:trPr>
          <w:trHeight w:val="476"/>
        </w:trPr>
        <w:tc>
          <w:tcPr>
            <w:tcW w:w="4560" w:type="dxa"/>
            <w:vAlign w:val="bottom"/>
          </w:tcPr>
          <w:p>
            <w:pPr>
              <w:spacing w:after="0"/>
              <w:rPr>
                <w:sz w:val="20"/>
                <w:szCs w:val="20"/>
                <w:color w:val="auto"/>
              </w:rPr>
            </w:pPr>
            <w:r>
              <w:rPr>
                <w:rFonts w:ascii="Arial" w:cs="Arial" w:eastAsia="Arial" w:hAnsi="Arial"/>
                <w:sz w:val="22"/>
                <w:szCs w:val="22"/>
                <w:color w:val="auto"/>
              </w:rPr>
              <w:t>DATE: May 10, 2019</w:t>
            </w:r>
          </w:p>
        </w:tc>
        <w:tc>
          <w:tcPr>
            <w:tcW w:w="3320" w:type="dxa"/>
            <w:vAlign w:val="bottom"/>
          </w:tcPr>
          <w:p>
            <w:pPr>
              <w:ind w:left="2620"/>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Jesús Llorca</w:t>
            </w:r>
          </w:p>
        </w:tc>
      </w:tr>
      <w:tr>
        <w:trPr>
          <w:trHeight w:val="215"/>
        </w:trPr>
        <w:tc>
          <w:tcPr>
            <w:tcW w:w="45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60" w:type="dxa"/>
            <w:vAlign w:val="bottom"/>
          </w:tcPr>
          <w:p>
            <w:pPr>
              <w:spacing w:after="0" w:line="216" w:lineRule="exact"/>
              <w:rPr>
                <w:sz w:val="20"/>
                <w:szCs w:val="20"/>
                <w:color w:val="auto"/>
              </w:rPr>
            </w:pPr>
            <w:r>
              <w:rPr>
                <w:rFonts w:ascii="Arial" w:cs="Arial" w:eastAsia="Arial" w:hAnsi="Arial"/>
                <w:sz w:val="22"/>
                <w:szCs w:val="22"/>
                <w:color w:val="auto"/>
                <w:w w:val="90"/>
              </w:rPr>
              <w:t xml:space="preserve">Jesús Llorca, </w:t>
            </w:r>
            <w:r>
              <w:rPr>
                <w:rFonts w:ascii="Arial" w:cs="Arial" w:eastAsia="Arial" w:hAnsi="Arial"/>
                <w:sz w:val="22"/>
                <w:szCs w:val="22"/>
                <w:i w:val="1"/>
                <w:iCs w:val="1"/>
                <w:color w:val="auto"/>
                <w:w w:val="90"/>
              </w:rPr>
              <w:t>Executive Vice President</w:t>
            </w:r>
          </w:p>
        </w:tc>
      </w:tr>
      <w:tr>
        <w:trPr>
          <w:trHeight w:val="243"/>
        </w:trPr>
        <w:tc>
          <w:tcPr>
            <w:tcW w:w="45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46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Financial Officer</w:t>
            </w:r>
          </w:p>
        </w:tc>
      </w:tr>
      <w:tr>
        <w:trPr>
          <w:trHeight w:val="275"/>
        </w:trPr>
        <w:tc>
          <w:tcPr>
            <w:tcW w:w="45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Arial" w:cs="Arial" w:eastAsia="Arial" w:hAnsi="Arial"/>
                <w:sz w:val="22"/>
                <w:szCs w:val="22"/>
                <w:i w:val="1"/>
                <w:iCs w:val="1"/>
                <w:color w:val="auto"/>
              </w:rPr>
              <w:t>(Principal Financial Officer)</w:t>
            </w:r>
          </w:p>
        </w:tc>
      </w:tr>
      <w:tr>
        <w:trPr>
          <w:trHeight w:val="476"/>
        </w:trPr>
        <w:tc>
          <w:tcPr>
            <w:tcW w:w="4560" w:type="dxa"/>
            <w:vAlign w:val="bottom"/>
          </w:tcPr>
          <w:p>
            <w:pPr>
              <w:spacing w:after="0"/>
              <w:rPr>
                <w:sz w:val="20"/>
                <w:szCs w:val="20"/>
                <w:color w:val="auto"/>
              </w:rPr>
            </w:pPr>
            <w:r>
              <w:rPr>
                <w:rFonts w:ascii="Arial" w:cs="Arial" w:eastAsia="Arial" w:hAnsi="Arial"/>
                <w:sz w:val="22"/>
                <w:szCs w:val="22"/>
                <w:color w:val="auto"/>
              </w:rPr>
              <w:t>DATE: May 10, 2019</w:t>
            </w:r>
          </w:p>
        </w:tc>
        <w:tc>
          <w:tcPr>
            <w:tcW w:w="3320" w:type="dxa"/>
            <w:vAlign w:val="bottom"/>
          </w:tcPr>
          <w:p>
            <w:pPr>
              <w:ind w:left="2620"/>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Gregory S. Rossmiller</w:t>
            </w:r>
          </w:p>
        </w:tc>
      </w:tr>
      <w:tr>
        <w:trPr>
          <w:trHeight w:val="215"/>
        </w:trPr>
        <w:tc>
          <w:tcPr>
            <w:tcW w:w="45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60" w:type="dxa"/>
            <w:vAlign w:val="bottom"/>
          </w:tcPr>
          <w:p>
            <w:pPr>
              <w:spacing w:after="0" w:line="216" w:lineRule="exact"/>
              <w:rPr>
                <w:sz w:val="20"/>
                <w:szCs w:val="20"/>
                <w:color w:val="auto"/>
              </w:rPr>
            </w:pPr>
            <w:r>
              <w:rPr>
                <w:rFonts w:ascii="Arial" w:cs="Arial" w:eastAsia="Arial" w:hAnsi="Arial"/>
                <w:sz w:val="22"/>
                <w:szCs w:val="22"/>
                <w:color w:val="auto"/>
              </w:rPr>
              <w:t>Gregory S. Rossmiller,</w:t>
            </w:r>
          </w:p>
        </w:tc>
      </w:tr>
      <w:tr>
        <w:trPr>
          <w:trHeight w:val="243"/>
        </w:trPr>
        <w:tc>
          <w:tcPr>
            <w:tcW w:w="45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460" w:type="dxa"/>
            <w:vAlign w:val="bottom"/>
          </w:tcPr>
          <w:p>
            <w:pPr>
              <w:spacing w:after="0" w:line="243" w:lineRule="exact"/>
              <w:rPr>
                <w:sz w:val="20"/>
                <w:szCs w:val="20"/>
                <w:color w:val="auto"/>
              </w:rPr>
            </w:pPr>
            <w:r>
              <w:rPr>
                <w:rFonts w:ascii="Arial" w:cs="Arial" w:eastAsia="Arial" w:hAnsi="Arial"/>
                <w:sz w:val="22"/>
                <w:szCs w:val="22"/>
                <w:i w:val="1"/>
                <w:iCs w:val="1"/>
                <w:color w:val="auto"/>
              </w:rPr>
              <w:t>Senior Vice President</w:t>
            </w:r>
          </w:p>
        </w:tc>
      </w:tr>
      <w:tr>
        <w:trPr>
          <w:trHeight w:val="243"/>
        </w:trPr>
        <w:tc>
          <w:tcPr>
            <w:tcW w:w="45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46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Accounting Officer</w:t>
            </w:r>
          </w:p>
        </w:tc>
      </w:tr>
      <w:tr>
        <w:trPr>
          <w:trHeight w:val="275"/>
        </w:trPr>
        <w:tc>
          <w:tcPr>
            <w:tcW w:w="45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460" w:type="dxa"/>
            <w:vAlign w:val="bottom"/>
          </w:tcPr>
          <w:p>
            <w:pPr>
              <w:spacing w:after="0"/>
              <w:rPr>
                <w:sz w:val="20"/>
                <w:szCs w:val="20"/>
                <w:color w:val="auto"/>
              </w:rPr>
            </w:pPr>
            <w:r>
              <w:rPr>
                <w:rFonts w:ascii="Arial" w:cs="Arial" w:eastAsia="Arial" w:hAnsi="Arial"/>
                <w:sz w:val="22"/>
                <w:szCs w:val="22"/>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Exhibit 10.1</w:t>
      </w:r>
    </w:p>
    <w:p>
      <w:pPr>
        <w:spacing w:after="0" w:line="17" w:lineRule="exact"/>
        <w:rPr>
          <w:sz w:val="20"/>
          <w:szCs w:val="20"/>
          <w:color w:val="auto"/>
        </w:rPr>
      </w:pPr>
    </w:p>
    <w:p>
      <w:pPr>
        <w:jc w:val="center"/>
        <w:spacing w:after="0" w:line="244" w:lineRule="auto"/>
        <w:rPr>
          <w:sz w:val="20"/>
          <w:szCs w:val="20"/>
          <w:color w:val="auto"/>
        </w:rPr>
      </w:pPr>
      <w:r>
        <w:rPr>
          <w:rFonts w:ascii="Arial" w:cs="Arial" w:eastAsia="Arial" w:hAnsi="Arial"/>
          <w:sz w:val="21"/>
          <w:szCs w:val="21"/>
          <w:b w:val="1"/>
          <w:bCs w:val="1"/>
          <w:color w:val="auto"/>
        </w:rPr>
        <w:t>PERFORMANCE RESTRICTED STOCK UNIT GRANT AGREEMENT PURSUANT TO THE SEACOR MARINE HOLDINGS INC. 2017 EQUITY INCENTIVE PLAN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PERFORMANCE RESTRICTED STOCK UNIT GRANT AGREEMENT </w:t>
      </w:r>
      <w:r>
        <w:rPr>
          <w:rFonts w:ascii="Arial" w:cs="Arial" w:eastAsia="Arial" w:hAnsi="Arial"/>
          <w:sz w:val="20"/>
          <w:szCs w:val="20"/>
          <w:color w:val="auto"/>
        </w:rPr>
        <w:t>(this “</w:t>
      </w:r>
      <w:r>
        <w:rPr>
          <w:rFonts w:ascii="Arial" w:cs="Arial" w:eastAsia="Arial" w:hAnsi="Arial"/>
          <w:sz w:val="20"/>
          <w:szCs w:val="20"/>
          <w:b w:val="1"/>
          <w:bCs w:val="1"/>
          <w:color w:val="auto"/>
        </w:rPr>
        <w:t>Agreement</w:t>
      </w:r>
      <w:r>
        <w:rPr>
          <w:rFonts w:ascii="Arial" w:cs="Arial" w:eastAsia="Arial" w:hAnsi="Arial"/>
          <w:sz w:val="20"/>
          <w:szCs w:val="20"/>
          <w:color w:val="auto"/>
        </w:rPr>
        <w:t>”), dated as of [________], 2019</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Grant Date</w:t>
      </w:r>
      <w:r>
        <w:rPr>
          <w:rFonts w:ascii="Arial" w:cs="Arial" w:eastAsia="Arial" w:hAnsi="Arial"/>
          <w:sz w:val="19"/>
          <w:szCs w:val="19"/>
          <w:color w:val="auto"/>
        </w:rPr>
        <w:t>”), is between SEACOR Marine Holdings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[______________] (the</w:t>
      </w:r>
    </w:p>
    <w:p>
      <w:pPr>
        <w:spacing w:after="0" w:line="25" w:lineRule="exact"/>
        <w:rPr>
          <w:sz w:val="20"/>
          <w:szCs w:val="20"/>
          <w:color w:val="auto"/>
        </w:rPr>
      </w:pPr>
    </w:p>
    <w:p>
      <w:pPr>
        <w:ind w:right="200"/>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Grantee</w:t>
      </w:r>
      <w:r>
        <w:rPr>
          <w:rFonts w:ascii="Arial" w:cs="Arial" w:eastAsia="Arial" w:hAnsi="Arial"/>
          <w:sz w:val="21"/>
          <w:szCs w:val="21"/>
          <w:color w:val="auto"/>
        </w:rPr>
        <w:t>”). This Agreement is subject to all terms and provisions of the SEACOR Marine Holdings Inc. 2017 Equity Incentive Plan (and as amended, modified or supplemented from time to time, the “</w:t>
      </w:r>
      <w:r>
        <w:rPr>
          <w:rFonts w:ascii="Arial" w:cs="Arial" w:eastAsia="Arial" w:hAnsi="Arial"/>
          <w:sz w:val="21"/>
          <w:szCs w:val="21"/>
          <w:b w:val="1"/>
          <w:bCs w:val="1"/>
          <w:color w:val="auto"/>
        </w:rPr>
        <w:t>Plan</w:t>
      </w:r>
      <w:r>
        <w:rPr>
          <w:rFonts w:ascii="Arial" w:cs="Arial" w:eastAsia="Arial" w:hAnsi="Arial"/>
          <w:sz w:val="21"/>
          <w:szCs w:val="21"/>
          <w:color w:val="auto"/>
        </w:rPr>
        <w:t>”), which are incorporated herein by reference. In the event of any conflict, the terms and provisions of the Plan shall control over the terms and provisions of this Agreement. All capitalized terms herein shall have the meanings given to such terms by the Plan unless otherwise defined herein or unless the context clearly indicates otherwise.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Grantee is an employee of, or consultant to, the Company or its Affiliates; and</w:t>
      </w:r>
    </w:p>
    <w:p>
      <w:pPr>
        <w:spacing w:after="0" w:line="245" w:lineRule="exact"/>
        <w:rPr>
          <w:sz w:val="20"/>
          <w:szCs w:val="20"/>
          <w:color w:val="auto"/>
        </w:rPr>
      </w:pPr>
    </w:p>
    <w:p>
      <w:pPr>
        <w:ind w:right="260"/>
        <w:spacing w:after="0" w:line="27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to issue and grant to the Grantee, and the Grantee desires to accept, this Award, upon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conditions herein set forth;</w:t>
      </w:r>
    </w:p>
    <w:p>
      <w:pPr>
        <w:spacing w:after="0" w:line="186" w:lineRule="exact"/>
        <w:rPr>
          <w:sz w:val="20"/>
          <w:szCs w:val="20"/>
          <w:color w:val="auto"/>
        </w:rPr>
      </w:pPr>
    </w:p>
    <w:p>
      <w:pPr>
        <w:ind w:right="280"/>
        <w:spacing w:after="0" w:line="270"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promises and the mutual covenants herein contained, the parties hereto, intending to be</w:t>
      </w:r>
      <w:r>
        <w:rPr>
          <w:rFonts w:ascii="Arial" w:cs="Arial" w:eastAsia="Arial" w:hAnsi="Arial"/>
          <w:sz w:val="21"/>
          <w:szCs w:val="21"/>
          <w:b w:val="1"/>
          <w:bCs w:val="1"/>
          <w:color w:val="auto"/>
        </w:rPr>
        <w:t xml:space="preserve"> </w:t>
      </w:r>
      <w:r>
        <w:rPr>
          <w:rFonts w:ascii="Arial" w:cs="Arial" w:eastAsia="Arial" w:hAnsi="Arial"/>
          <w:sz w:val="21"/>
          <w:szCs w:val="21"/>
          <w:color w:val="auto"/>
        </w:rPr>
        <w:t>legally bound, hereby agree as follows:</w:t>
      </w:r>
    </w:p>
    <w:p>
      <w:pPr>
        <w:spacing w:after="0" w:line="184" w:lineRule="exact"/>
        <w:rPr>
          <w:sz w:val="20"/>
          <w:szCs w:val="20"/>
          <w:color w:val="auto"/>
        </w:rPr>
      </w:pPr>
    </w:p>
    <w:p>
      <w:pPr>
        <w:ind w:right="280" w:firstLine="1755"/>
        <w:spacing w:after="0" w:line="267" w:lineRule="auto"/>
        <w:rPr>
          <w:sz w:val="20"/>
          <w:szCs w:val="20"/>
          <w:color w:val="auto"/>
        </w:rPr>
      </w:pP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w:t>
      </w: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In recognition of the Grantee’s commitment to</w:t>
      </w:r>
      <w:r>
        <w:rPr>
          <w:rFonts w:ascii="Arial" w:cs="Arial" w:eastAsia="Arial" w:hAnsi="Arial"/>
          <w:sz w:val="21"/>
          <w:szCs w:val="21"/>
          <w:color w:val="auto"/>
        </w:rPr>
        <w:t xml:space="preserve"> </w:t>
      </w:r>
      <w:r>
        <w:rPr>
          <w:rFonts w:ascii="Arial" w:cs="Arial" w:eastAsia="Arial" w:hAnsi="Arial"/>
          <w:sz w:val="19"/>
          <w:szCs w:val="19"/>
          <w:color w:val="auto"/>
        </w:rPr>
        <w:t>the continued growth and financial success of the Company, the Company hereby grants to the Grantee, on the terms and conditions hereinafter set forth, a performance-based Restricted Stock Unit Award consisting of [_____] units (“</w:t>
      </w:r>
      <w:r>
        <w:rPr>
          <w:rFonts w:ascii="Arial" w:cs="Arial" w:eastAsia="Arial" w:hAnsi="Arial"/>
          <w:sz w:val="19"/>
          <w:szCs w:val="19"/>
          <w:b w:val="1"/>
          <w:bCs w:val="1"/>
          <w:color w:val="auto"/>
        </w:rPr>
        <w:t>PRSUs</w:t>
      </w:r>
      <w:r>
        <w:rPr>
          <w:rFonts w:ascii="Arial" w:cs="Arial" w:eastAsia="Arial" w:hAnsi="Arial"/>
          <w:sz w:val="19"/>
          <w:szCs w:val="19"/>
          <w:color w:val="auto"/>
        </w:rPr>
        <w:t>”), which shall consist of</w:t>
      </w:r>
    </w:p>
    <w:p>
      <w:pPr>
        <w:spacing w:after="0" w:line="1"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five substantially equal tranches, Tranche A PRSUs consisting of [___] PRSUs, Tranche B PRSUs consisting of [___] PRSUs, Tranche C PRSUs consisting of [___] PRSUs, Tranche D PRSUs consisting of [___] PRSUs and Tranche E PRSUs consisting of [___] PRSUs. Each PRSU represents the right to receive one Share, subject to the terms set forth in this Agreement and the Plan.</w:t>
      </w:r>
    </w:p>
    <w:p>
      <w:pPr>
        <w:spacing w:after="0" w:line="176" w:lineRule="exact"/>
        <w:rPr>
          <w:sz w:val="20"/>
          <w:szCs w:val="20"/>
          <w:color w:val="auto"/>
        </w:rPr>
      </w:pPr>
    </w:p>
    <w:p>
      <w:pPr>
        <w:ind w:left="1760"/>
        <w:spacing w:after="0"/>
        <w:tabs>
          <w:tab w:leader="none" w:pos="456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Vesting Requirements; Eligible Units</w:t>
      </w:r>
      <w:r>
        <w:rPr>
          <w:rFonts w:ascii="Arial" w:cs="Arial" w:eastAsia="Arial" w:hAnsi="Arial"/>
          <w:sz w:val="19"/>
          <w:szCs w:val="19"/>
          <w:color w:val="auto"/>
        </w:rPr>
        <w:t>.</w:t>
      </w:r>
    </w:p>
    <w:p>
      <w:pPr>
        <w:spacing w:after="0" w:line="235" w:lineRule="exact"/>
        <w:rPr>
          <w:sz w:val="20"/>
          <w:szCs w:val="20"/>
          <w:color w:val="auto"/>
        </w:rPr>
      </w:pPr>
    </w:p>
    <w:p>
      <w:pPr>
        <w:ind w:right="260" w:firstLine="877"/>
        <w:spacing w:after="0" w:line="256" w:lineRule="auto"/>
        <w:rPr>
          <w:sz w:val="20"/>
          <w:szCs w:val="20"/>
          <w:color w:val="auto"/>
        </w:rPr>
      </w:pPr>
      <w:r>
        <w:rPr>
          <w:rFonts w:ascii="Arial" w:cs="Arial" w:eastAsia="Arial" w:hAnsi="Arial"/>
          <w:sz w:val="21"/>
          <w:szCs w:val="21"/>
          <w:b w:val="1"/>
          <w:bCs w:val="1"/>
          <w:color w:val="auto"/>
        </w:rPr>
        <w:t>Share Price Hurdle Conditions</w:t>
      </w:r>
      <w:r>
        <w:rPr>
          <w:rFonts w:ascii="Arial" w:cs="Arial" w:eastAsia="Arial" w:hAnsi="Arial"/>
          <w:sz w:val="21"/>
          <w:szCs w:val="21"/>
          <w:color w:val="auto"/>
        </w:rPr>
        <w:t>: Except as otherwise provided herein, the PRSUs granted under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become eligible to vest upon the achievement of the following Share price hurdles (once the applicable price threshold is achieved, the “</w:t>
      </w:r>
      <w:r>
        <w:rPr>
          <w:rFonts w:ascii="Arial" w:cs="Arial" w:eastAsia="Arial" w:hAnsi="Arial"/>
          <w:sz w:val="21"/>
          <w:szCs w:val="21"/>
          <w:b w:val="1"/>
          <w:bCs w:val="1"/>
          <w:color w:val="auto"/>
        </w:rPr>
        <w:t>Eligible Units</w:t>
      </w:r>
      <w:r>
        <w:rPr>
          <w:rFonts w:ascii="Arial" w:cs="Arial" w:eastAsia="Arial" w:hAnsi="Arial"/>
          <w:sz w:val="21"/>
          <w:szCs w:val="21"/>
          <w:color w:val="auto"/>
        </w:rPr>
        <w:t>”):</w:t>
      </w:r>
    </w:p>
    <w:p>
      <w:pPr>
        <w:spacing w:after="0" w:line="206" w:lineRule="exact"/>
        <w:rPr>
          <w:sz w:val="20"/>
          <w:szCs w:val="20"/>
          <w:color w:val="auto"/>
        </w:rPr>
      </w:pPr>
    </w:p>
    <w:p>
      <w:pPr>
        <w:ind w:right="20" w:firstLine="877"/>
        <w:spacing w:after="0" w:line="264" w:lineRule="auto"/>
        <w:rPr>
          <w:sz w:val="20"/>
          <w:szCs w:val="20"/>
          <w:color w:val="auto"/>
        </w:rPr>
      </w:pPr>
      <w:r>
        <w:rPr>
          <w:rFonts w:ascii="Arial" w:cs="Arial" w:eastAsia="Arial" w:hAnsi="Arial"/>
          <w:sz w:val="21"/>
          <w:szCs w:val="21"/>
          <w:color w:val="auto"/>
        </w:rPr>
        <w:t>Tranche A if the closing price of a Share on the NYSE is maintained at $[__] and above for 60 consecutive trading days during the Performance Period;</w:t>
      </w:r>
    </w:p>
    <w:p>
      <w:pPr>
        <w:spacing w:after="0" w:line="198" w:lineRule="exact"/>
        <w:rPr>
          <w:sz w:val="20"/>
          <w:szCs w:val="20"/>
          <w:color w:val="auto"/>
        </w:rPr>
      </w:pPr>
    </w:p>
    <w:p>
      <w:pPr>
        <w:ind w:right="20" w:firstLine="877"/>
        <w:spacing w:after="0" w:line="264" w:lineRule="auto"/>
        <w:rPr>
          <w:sz w:val="20"/>
          <w:szCs w:val="20"/>
          <w:color w:val="auto"/>
        </w:rPr>
      </w:pPr>
      <w:r>
        <w:rPr>
          <w:rFonts w:ascii="Arial" w:cs="Arial" w:eastAsia="Arial" w:hAnsi="Arial"/>
          <w:sz w:val="21"/>
          <w:szCs w:val="21"/>
          <w:color w:val="auto"/>
        </w:rPr>
        <w:t>Tranche B if the closing price of a Share on the NYSE is maintained at $[__] and above for 60 consecutive trading days during the Performance Period;</w:t>
      </w:r>
    </w:p>
    <w:p>
      <w:pPr>
        <w:spacing w:after="0" w:line="198" w:lineRule="exact"/>
        <w:rPr>
          <w:sz w:val="20"/>
          <w:szCs w:val="20"/>
          <w:color w:val="auto"/>
        </w:rPr>
      </w:pPr>
    </w:p>
    <w:p>
      <w:pPr>
        <w:ind w:right="20" w:firstLine="877"/>
        <w:spacing w:after="0" w:line="264" w:lineRule="auto"/>
        <w:rPr>
          <w:sz w:val="20"/>
          <w:szCs w:val="20"/>
          <w:color w:val="auto"/>
        </w:rPr>
      </w:pPr>
      <w:r>
        <w:rPr>
          <w:rFonts w:ascii="Arial" w:cs="Arial" w:eastAsia="Arial" w:hAnsi="Arial"/>
          <w:sz w:val="21"/>
          <w:szCs w:val="21"/>
          <w:color w:val="auto"/>
        </w:rPr>
        <w:t>Tranche C if the closing price of a Share on the NYSE is maintained at $[__] and above for 60 consecutive trading days during the Performance Period;</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Tranche D if the closing price of a Share on the NYSE is maintained at $[__] and above for</w:t>
      </w:r>
    </w:p>
    <w:p>
      <w:pPr>
        <w:spacing w:after="0" w:line="224" w:lineRule="exact"/>
        <w:rPr>
          <w:sz w:val="20"/>
          <w:szCs w:val="20"/>
          <w:color w:val="auto"/>
        </w:rPr>
      </w:pPr>
    </w:p>
    <w:p>
      <w:pPr>
        <w:spacing w:after="0"/>
        <w:rPr>
          <w:sz w:val="20"/>
          <w:szCs w:val="20"/>
          <w:color w:val="auto"/>
        </w:rPr>
      </w:pPr>
      <w:r>
        <w:rPr>
          <w:rFonts w:ascii="Arial" w:cs="Arial" w:eastAsia="Arial" w:hAnsi="Arial"/>
          <w:sz w:val="9"/>
          <w:szCs w:val="9"/>
          <w:color w:val="FFFFFF"/>
        </w:rPr>
        <w:t>DEPTS.00106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sz w:val="20"/>
          <w:szCs w:val="20"/>
          <w:color w:val="auto"/>
        </w:rPr>
      </w:pPr>
      <w:r>
        <w:rPr>
          <w:rFonts w:ascii="Arial" w:cs="Arial" w:eastAsia="Arial" w:hAnsi="Arial"/>
          <w:sz w:val="21"/>
          <w:szCs w:val="21"/>
          <w:color w:val="auto"/>
        </w:rPr>
        <w:t>60 consecutive trading days during the Performance Period; and</w:t>
      </w:r>
    </w:p>
    <w:p>
      <w:pPr>
        <w:spacing w:after="0" w:line="245" w:lineRule="exact"/>
        <w:rPr>
          <w:sz w:val="20"/>
          <w:szCs w:val="20"/>
          <w:color w:val="auto"/>
        </w:rPr>
      </w:pPr>
    </w:p>
    <w:p>
      <w:pPr>
        <w:ind w:firstLine="877"/>
        <w:spacing w:after="0" w:line="264" w:lineRule="auto"/>
        <w:rPr>
          <w:sz w:val="20"/>
          <w:szCs w:val="20"/>
          <w:color w:val="auto"/>
        </w:rPr>
      </w:pPr>
      <w:r>
        <w:rPr>
          <w:rFonts w:ascii="Arial" w:cs="Arial" w:eastAsia="Arial" w:hAnsi="Arial"/>
          <w:sz w:val="21"/>
          <w:szCs w:val="21"/>
          <w:color w:val="auto"/>
        </w:rPr>
        <w:t>Tranche E if the closing price of a Share on the NYSE is maintained at $[__] and above for 60 consecutive trading days during the Performance Period.</w:t>
      </w:r>
    </w:p>
    <w:p>
      <w:pPr>
        <w:spacing w:after="0" w:line="192" w:lineRule="exact"/>
        <w:rPr>
          <w:sz w:val="20"/>
          <w:szCs w:val="20"/>
          <w:color w:val="auto"/>
        </w:rPr>
      </w:pPr>
    </w:p>
    <w:p>
      <w:pPr>
        <w:ind w:right="74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Period</w:t>
      </w:r>
      <w:r>
        <w:rPr>
          <w:rFonts w:ascii="Arial" w:cs="Arial" w:eastAsia="Arial" w:hAnsi="Arial"/>
          <w:sz w:val="21"/>
          <w:szCs w:val="21"/>
          <w:color w:val="auto"/>
        </w:rPr>
        <w:t>” means the period beginning on and including the Grant Date and ending on and including the third (3</w:t>
      </w:r>
      <w:r>
        <w:rPr>
          <w:rFonts w:ascii="Arial" w:cs="Arial" w:eastAsia="Arial" w:hAnsi="Arial"/>
          <w:sz w:val="17"/>
          <w:szCs w:val="17"/>
          <w:color w:val="auto"/>
        </w:rPr>
        <w:t>rd</w:t>
      </w:r>
      <w:r>
        <w:rPr>
          <w:rFonts w:ascii="Arial" w:cs="Arial" w:eastAsia="Arial" w:hAnsi="Arial"/>
          <w:sz w:val="21"/>
          <w:szCs w:val="21"/>
          <w:color w:val="auto"/>
        </w:rPr>
        <w:t>) anniversary of the Grant Date.</w:t>
      </w:r>
    </w:p>
    <w:p>
      <w:pPr>
        <w:spacing w:after="0" w:line="192" w:lineRule="exact"/>
        <w:rPr>
          <w:sz w:val="20"/>
          <w:szCs w:val="20"/>
          <w:color w:val="auto"/>
        </w:rPr>
      </w:pPr>
    </w:p>
    <w:p>
      <w:pPr>
        <w:ind w:right="440" w:firstLine="877"/>
        <w:spacing w:after="0" w:line="249" w:lineRule="auto"/>
        <w:rPr>
          <w:sz w:val="20"/>
          <w:szCs w:val="20"/>
          <w:color w:val="auto"/>
        </w:rPr>
      </w:pPr>
      <w:r>
        <w:rPr>
          <w:rFonts w:ascii="Arial" w:cs="Arial" w:eastAsia="Arial" w:hAnsi="Arial"/>
          <w:sz w:val="21"/>
          <w:szCs w:val="21"/>
          <w:color w:val="auto"/>
        </w:rPr>
        <w:t>Except as set forth in Section 3 below, any Eligible Units that are earned pursuant to this Section 2 will only be settled in accordance with Section 5 if the Grantee remains continuously employed by the Company or an Affiliate through the last day of the Performance Period (the “</w:t>
      </w:r>
      <w:r>
        <w:rPr>
          <w:rFonts w:ascii="Arial" w:cs="Arial" w:eastAsia="Arial" w:hAnsi="Arial"/>
          <w:sz w:val="21"/>
          <w:szCs w:val="21"/>
          <w:b w:val="1"/>
          <w:bCs w:val="1"/>
          <w:color w:val="auto"/>
        </w:rPr>
        <w:t>Time-Based Requirement</w:t>
      </w:r>
      <w:r>
        <w:rPr>
          <w:rFonts w:ascii="Arial" w:cs="Arial" w:eastAsia="Arial" w:hAnsi="Arial"/>
          <w:sz w:val="21"/>
          <w:szCs w:val="21"/>
          <w:color w:val="auto"/>
        </w:rPr>
        <w:t>”). Any PRSUs that do not constitute Eligible Units as of the last day of the Performance Period will be automatically forfeited without consideration.</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22"/>
                <w:szCs w:val="22"/>
                <w:color w:val="auto"/>
              </w:rPr>
              <w:t>Section 3.</w:t>
            </w:r>
          </w:p>
        </w:tc>
        <w:tc>
          <w:tcPr>
            <w:tcW w:w="1240" w:type="dxa"/>
            <w:vAlign w:val="bottom"/>
          </w:tcPr>
          <w:p>
            <w:pPr>
              <w:spacing w:after="0"/>
              <w:rPr>
                <w:sz w:val="21"/>
                <w:szCs w:val="21"/>
                <w:color w:val="auto"/>
              </w:rPr>
            </w:pPr>
          </w:p>
        </w:tc>
        <w:tc>
          <w:tcPr>
            <w:tcW w:w="6360" w:type="dxa"/>
            <w:vAlign w:val="bottom"/>
            <w:gridSpan w:val="2"/>
          </w:tcPr>
          <w:p>
            <w:pPr>
              <w:spacing w:after="0"/>
              <w:rPr>
                <w:sz w:val="20"/>
                <w:szCs w:val="20"/>
                <w:color w:val="auto"/>
              </w:rPr>
            </w:pPr>
            <w:r>
              <w:rPr>
                <w:rFonts w:ascii="Arial" w:cs="Arial" w:eastAsia="Arial" w:hAnsi="Arial"/>
                <w:sz w:val="21"/>
                <w:szCs w:val="21"/>
                <w:color w:val="auto"/>
              </w:rPr>
              <w:t>Termination of Service.</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22"/>
                <w:szCs w:val="22"/>
                <w:color w:val="auto"/>
              </w:rPr>
              <w:t>(a)</w:t>
            </w: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21"/>
                <w:szCs w:val="21"/>
                <w:color w:val="auto"/>
                <w:w w:val="93"/>
              </w:rPr>
              <w:t>Generally.</w:t>
            </w:r>
          </w:p>
        </w:tc>
        <w:tc>
          <w:tcPr>
            <w:tcW w:w="7600" w:type="dxa"/>
            <w:vAlign w:val="bottom"/>
            <w:gridSpan w:val="3"/>
          </w:tcPr>
          <w:p>
            <w:pPr>
              <w:ind w:left="60"/>
              <w:spacing w:after="0"/>
              <w:rPr>
                <w:sz w:val="20"/>
                <w:szCs w:val="20"/>
                <w:color w:val="auto"/>
              </w:rPr>
            </w:pPr>
            <w:r>
              <w:rPr>
                <w:rFonts w:ascii="Arial" w:cs="Arial" w:eastAsia="Arial" w:hAnsi="Arial"/>
                <w:sz w:val="21"/>
                <w:szCs w:val="21"/>
                <w:color w:val="auto"/>
                <w:w w:val="88"/>
              </w:rPr>
              <w:t>Except as otherwise provided herein, upon the occurrence of a termination of the Grantee’s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p>
      <w:pPr>
        <w:ind w:right="120"/>
        <w:spacing w:after="0" w:line="264" w:lineRule="auto"/>
        <w:rPr>
          <w:sz w:val="20"/>
          <w:szCs w:val="20"/>
          <w:color w:val="auto"/>
        </w:rPr>
      </w:pPr>
      <w:r>
        <w:rPr>
          <w:rFonts w:ascii="Arial" w:cs="Arial" w:eastAsia="Arial" w:hAnsi="Arial"/>
          <w:sz w:val="21"/>
          <w:szCs w:val="21"/>
          <w:color w:val="auto"/>
        </w:rPr>
        <w:t>employment with the Company for any reason, all unvested PRSUs (including any Eligible Units) will be forfeited and the Grantee will not be entitled to any compensation or other amount with respect to such forfeited PRSUs.</w:t>
      </w:r>
    </w:p>
    <w:p>
      <w:pPr>
        <w:spacing w:after="0" w:line="190" w:lineRule="exact"/>
        <w:rPr>
          <w:sz w:val="20"/>
          <w:szCs w:val="20"/>
          <w:color w:val="auto"/>
        </w:rPr>
      </w:pPr>
    </w:p>
    <w:p>
      <w:pPr>
        <w:ind w:firstLine="877"/>
        <w:spacing w:after="0" w:line="272" w:lineRule="auto"/>
        <w:rPr>
          <w:sz w:val="20"/>
          <w:szCs w:val="20"/>
          <w:color w:val="auto"/>
        </w:rPr>
      </w:pPr>
      <w:r>
        <w:rPr>
          <w:rFonts w:ascii="Arial" w:cs="Arial" w:eastAsia="Arial" w:hAnsi="Arial"/>
          <w:sz w:val="21"/>
          <w:szCs w:val="21"/>
          <w:color w:val="auto"/>
        </w:rPr>
        <w:t xml:space="preserve">(b) </w:t>
      </w:r>
      <w:r>
        <w:rPr>
          <w:rFonts w:ascii="Arial" w:cs="Arial" w:eastAsia="Arial" w:hAnsi="Arial"/>
          <w:sz w:val="19"/>
          <w:szCs w:val="19"/>
          <w:u w:val="single" w:color="auto"/>
          <w:color w:val="auto"/>
        </w:rPr>
        <w:t>Qualifying Terminations</w:t>
      </w:r>
      <w:r>
        <w:rPr>
          <w:rFonts w:ascii="Arial" w:cs="Arial" w:eastAsia="Arial" w:hAnsi="Arial"/>
          <w:sz w:val="19"/>
          <w:szCs w:val="19"/>
          <w:color w:val="auto"/>
        </w:rPr>
        <w:t>. Upon the occurrence of a termination of the Grantee’s employment with the</w:t>
      </w:r>
      <w:r>
        <w:rPr>
          <w:rFonts w:ascii="Arial" w:cs="Arial" w:eastAsia="Arial" w:hAnsi="Arial"/>
          <w:sz w:val="21"/>
          <w:szCs w:val="21"/>
          <w:color w:val="auto"/>
        </w:rPr>
        <w:t xml:space="preserve"> </w:t>
      </w:r>
      <w:r>
        <w:rPr>
          <w:rFonts w:ascii="Arial" w:cs="Arial" w:eastAsia="Arial" w:hAnsi="Arial"/>
          <w:sz w:val="19"/>
          <w:szCs w:val="19"/>
          <w:color w:val="auto"/>
        </w:rPr>
        <w:t>Company as a result of (i) the Grantee’s death or Disability, (ii) the Grantee’s formal retirement from employment with the Company under acceptable circumstances as determined by the Committee in its sole discretion (which determination may be conditioned upon, among other things, the Grantee entering into a non-competition agreement with the Company), or (iii) the Company’s termination of the Grantee’s employment without Cause, the Time-Based Requirement shall be deemed to be waived, and any PRSUs that constitute Eligible Units as of the Grantee’s termination date will be settled in accordance with Section 5 below, and any PRSUs that do not constitute Eligible Units as of the Grantee’s termination date shall be automatically forfeited for no consideration.</w:t>
      </w:r>
    </w:p>
    <w:p>
      <w:pPr>
        <w:spacing w:after="0" w:line="185" w:lineRule="exact"/>
        <w:rPr>
          <w:sz w:val="20"/>
          <w:szCs w:val="20"/>
          <w:color w:val="auto"/>
        </w:rPr>
      </w:pPr>
    </w:p>
    <w:p>
      <w:pPr>
        <w:ind w:firstLine="1755"/>
        <w:spacing w:after="0" w:line="272" w:lineRule="auto"/>
        <w:rPr>
          <w:sz w:val="20"/>
          <w:szCs w:val="20"/>
          <w:color w:val="auto"/>
        </w:rPr>
      </w:pP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w:t>
      </w:r>
      <w:r>
        <w:rPr>
          <w:rFonts w:ascii="Arial" w:cs="Arial" w:eastAsia="Arial" w:hAnsi="Arial"/>
          <w:sz w:val="19"/>
          <w:szCs w:val="19"/>
          <w:u w:val="single" w:color="auto"/>
          <w:color w:val="auto"/>
        </w:rPr>
        <w:t>Change of Control</w:t>
      </w:r>
      <w:r>
        <w:rPr>
          <w:rFonts w:ascii="Arial" w:cs="Arial" w:eastAsia="Arial" w:hAnsi="Arial"/>
          <w:sz w:val="19"/>
          <w:szCs w:val="19"/>
          <w:color w:val="auto"/>
        </w:rPr>
        <w:t>. Upon the consummation of a Change of Control, the Grantee</w:t>
      </w:r>
      <w:r>
        <w:rPr>
          <w:rFonts w:ascii="Arial" w:cs="Arial" w:eastAsia="Arial" w:hAnsi="Arial"/>
          <w:sz w:val="21"/>
          <w:szCs w:val="21"/>
          <w:color w:val="auto"/>
        </w:rPr>
        <w:t xml:space="preserve"> </w:t>
      </w:r>
      <w:r>
        <w:rPr>
          <w:rFonts w:ascii="Arial" w:cs="Arial" w:eastAsia="Arial" w:hAnsi="Arial"/>
          <w:sz w:val="19"/>
          <w:szCs w:val="19"/>
          <w:color w:val="auto"/>
        </w:rPr>
        <w:t>shall immediately become vested in any PRSUs that were Eligible Units as of immediately prior to such Change of Control (i.e., the Time-Based Requirement shall be deemed to be waived with respect to such Eligible Units), and the Grantee shall also vest in all or a portion of any then-unearned PRSUs based on the value of the per Share consideration received by the Company’s shareholders in relation to the applicable Share price hurdles set forth in Section 2 above (with any PRSUs that vest as a result of the foregoing being deemed to be Eligible Units for purposes of this Agreement). Any PRSUs that do not vest as a result of the immediately foregoing sentence shall be automatically forfeited immediately following the Change of Control for no consideration.</w:t>
      </w:r>
    </w:p>
    <w:p>
      <w:pPr>
        <w:spacing w:after="0" w:line="185" w:lineRule="exact"/>
        <w:rPr>
          <w:sz w:val="20"/>
          <w:szCs w:val="20"/>
          <w:color w:val="auto"/>
        </w:rPr>
      </w:pPr>
    </w:p>
    <w:p>
      <w:pPr>
        <w:ind w:right="60" w:firstLine="1755"/>
        <w:spacing w:after="0" w:line="235" w:lineRule="auto"/>
        <w:rPr>
          <w:sz w:val="20"/>
          <w:szCs w:val="20"/>
          <w:color w:val="auto"/>
        </w:rPr>
      </w:pPr>
      <w:r>
        <w:rPr>
          <w:rFonts w:ascii="Arial" w:cs="Arial" w:eastAsia="Arial" w:hAnsi="Arial"/>
          <w:sz w:val="22"/>
          <w:szCs w:val="22"/>
          <w:u w:val="single" w:color="auto"/>
          <w:color w:val="auto"/>
        </w:rPr>
        <w:t>Section 5. Settlement</w:t>
      </w:r>
      <w:r>
        <w:rPr>
          <w:rFonts w:ascii="Arial" w:cs="Arial" w:eastAsia="Arial" w:hAnsi="Arial"/>
          <w:sz w:val="22"/>
          <w:szCs w:val="22"/>
          <w:color w:val="auto"/>
        </w:rPr>
        <w:t xml:space="preserve">. On or immediately following (but in no event later than 10 days following) the earlier of (1) the last day of the Performance Period, or (2) a Change of Control (provided that such Change of Control also constitutes a “change in control event”, as defined in </w:t>
      </w:r>
      <w:r>
        <w:rPr>
          <w:rFonts w:ascii="Arial" w:cs="Arial" w:eastAsia="Arial" w:hAnsi="Arial"/>
          <w:sz w:val="20"/>
          <w:szCs w:val="20"/>
          <w:color w:val="auto"/>
        </w:rPr>
        <w:t>Treasury Regulation §1.409A-3(i)(5)</w:t>
      </w:r>
      <w:r>
        <w:rPr>
          <w:rFonts w:ascii="Arial" w:cs="Arial" w:eastAsia="Arial" w:hAnsi="Arial"/>
          <w:sz w:val="22"/>
          <w:szCs w:val="22"/>
          <w:color w:val="auto"/>
        </w:rPr>
        <w:t>), any Eligible Units will be paid by delivering to the Grantee a number of Shares equal to the number of Eligible Units (or the per share consideration received by the shareholders of the Company if such settlement occurs in connection with or following a Change of Control); provided, however, that, if the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48" w:name="page49"/>
    <w:bookmarkEnd w:id="48"/>
    <w:p>
      <w:pPr>
        <w:spacing w:after="0" w:line="237" w:lineRule="auto"/>
        <w:rPr>
          <w:sz w:val="20"/>
          <w:szCs w:val="20"/>
          <w:color w:val="auto"/>
        </w:rPr>
      </w:pPr>
      <w:r>
        <w:rPr>
          <w:rFonts w:ascii="Arial" w:cs="Arial" w:eastAsia="Arial" w:hAnsi="Arial"/>
          <w:sz w:val="22"/>
          <w:szCs w:val="22"/>
          <w:color w:val="auto"/>
        </w:rPr>
        <w:t>date occurs during a trading “blackout” period with respect to the Grantee (a “</w:t>
      </w:r>
      <w:r>
        <w:rPr>
          <w:rFonts w:ascii="Arial" w:cs="Arial" w:eastAsia="Arial" w:hAnsi="Arial"/>
          <w:sz w:val="22"/>
          <w:szCs w:val="22"/>
          <w:b w:val="1"/>
          <w:bCs w:val="1"/>
          <w:color w:val="auto"/>
        </w:rPr>
        <w:t>Blackout Period</w:t>
      </w:r>
      <w:r>
        <w:rPr>
          <w:rFonts w:ascii="Arial" w:cs="Arial" w:eastAsia="Arial" w:hAnsi="Arial"/>
          <w:sz w:val="22"/>
          <w:szCs w:val="22"/>
          <w:color w:val="auto"/>
        </w:rPr>
        <w:t>”), then the Shares otherwise required to be delivered on such settlement date shall instead be delivered on the earlier of (a) the first day following the termination of the applicable Blackout Period, or (b) December 31 of the year in which the settlement date was originally scheduled to occur. Notwithstanding the foregoing, any Eligible Units that become payable upon the Grantee’s death shall instead be paid within 30 days following the date of the Grantee’s death.</w:t>
      </w:r>
    </w:p>
    <w:p>
      <w:pPr>
        <w:spacing w:after="0" w:line="216" w:lineRule="exact"/>
        <w:rPr>
          <w:sz w:val="20"/>
          <w:szCs w:val="20"/>
          <w:color w:val="auto"/>
        </w:rPr>
      </w:pPr>
    </w:p>
    <w:p>
      <w:pPr>
        <w:ind w:right="20" w:firstLine="1755"/>
        <w:spacing w:after="0" w:line="256" w:lineRule="auto"/>
        <w:rPr>
          <w:sz w:val="20"/>
          <w:szCs w:val="20"/>
          <w:color w:val="auto"/>
        </w:rPr>
      </w:pP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w:t>
      </w:r>
      <w:r>
        <w:rPr>
          <w:rFonts w:ascii="Arial" w:cs="Arial" w:eastAsia="Arial" w:hAnsi="Arial"/>
          <w:sz w:val="20"/>
          <w:szCs w:val="20"/>
          <w:u w:val="single" w:color="auto"/>
          <w:color w:val="auto"/>
        </w:rPr>
        <w:t>Restrictions on Transfer</w:t>
      </w:r>
      <w:r>
        <w:rPr>
          <w:rFonts w:ascii="Arial" w:cs="Arial" w:eastAsia="Arial" w:hAnsi="Arial"/>
          <w:sz w:val="20"/>
          <w:szCs w:val="20"/>
          <w:color w:val="auto"/>
        </w:rPr>
        <w:t>. No PRSUs (nor any interest therein) may be sold,</w:t>
      </w:r>
      <w:r>
        <w:rPr>
          <w:rFonts w:ascii="Arial" w:cs="Arial" w:eastAsia="Arial" w:hAnsi="Arial"/>
          <w:sz w:val="22"/>
          <w:szCs w:val="22"/>
          <w:color w:val="auto"/>
        </w:rPr>
        <w:t xml:space="preserve"> </w:t>
      </w:r>
      <w:r>
        <w:rPr>
          <w:rFonts w:ascii="Arial" w:cs="Arial" w:eastAsia="Arial" w:hAnsi="Arial"/>
          <w:sz w:val="20"/>
          <w:szCs w:val="20"/>
          <w:color w:val="auto"/>
        </w:rPr>
        <w:t>assigned, transferred, pledged, hypothecated or otherwise disposed of, shall not be assignable by operation of law and shall not be subject to execution, attachment or similar process, otherwise than by will or by the laws of descent and distribution. Any attempted sale, assignment, transfer, pledge, hypothecation or other disposition of any PRSUs (or any interest therein) contrary to the provisions hereof shall be null and void and without effect. Notwithstanding the foregoing, PRSUs may be transferred by the Grantee solely to the Grantee’s spouse, siblings, parents, children and grandchildren or trusts for the benefit of such persons or partnerships, corporations, limited liability companies or other entities owned solely by such persons, including trusts for such persons. The Grantee may sell, assign and/or transfer any Shares issued in respect of the PRSUs pursuant to this Agreement, in whole or in part, subject to compliance with the Company’s securities trading policies in effect from time to time.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1"/>
                <w:szCs w:val="21"/>
                <w:color w:val="auto"/>
              </w:rPr>
            </w:pPr>
          </w:p>
        </w:tc>
        <w:tc>
          <w:tcPr>
            <w:tcW w:w="2820" w:type="dxa"/>
            <w:vAlign w:val="bottom"/>
            <w:gridSpan w:val="2"/>
          </w:tcPr>
          <w:p>
            <w:pPr>
              <w:spacing w:after="0"/>
              <w:rPr>
                <w:sz w:val="20"/>
                <w:szCs w:val="20"/>
                <w:color w:val="auto"/>
              </w:rPr>
            </w:pPr>
            <w:r>
              <w:rPr>
                <w:rFonts w:ascii="Arial" w:cs="Arial" w:eastAsia="Arial" w:hAnsi="Arial"/>
                <w:sz w:val="22"/>
                <w:szCs w:val="22"/>
                <w:color w:val="auto"/>
              </w:rPr>
              <w:t>Section 7.</w:t>
            </w:r>
          </w:p>
        </w:tc>
        <w:tc>
          <w:tcPr>
            <w:tcW w:w="6520" w:type="dxa"/>
            <w:vAlign w:val="bottom"/>
            <w:gridSpan w:val="2"/>
          </w:tcPr>
          <w:p>
            <w:pPr>
              <w:spacing w:after="0"/>
              <w:rPr>
                <w:sz w:val="20"/>
                <w:szCs w:val="20"/>
                <w:color w:val="auto"/>
              </w:rPr>
            </w:pPr>
            <w:r>
              <w:rPr>
                <w:rFonts w:ascii="Arial" w:cs="Arial" w:eastAsia="Arial" w:hAnsi="Arial"/>
                <w:sz w:val="21"/>
                <w:szCs w:val="21"/>
                <w:color w:val="auto"/>
                <w:w w:val="86"/>
              </w:rPr>
              <w:t>Representations and Warranties of Grantee. The Grantee hereby represents and</w:t>
            </w:r>
          </w:p>
        </w:tc>
      </w:tr>
      <w:tr>
        <w:trPr>
          <w:trHeight w:val="20"/>
        </w:trPr>
        <w:tc>
          <w:tcPr>
            <w:tcW w:w="1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72"/>
        </w:trPr>
        <w:tc>
          <w:tcPr>
            <w:tcW w:w="4580" w:type="dxa"/>
            <w:vAlign w:val="bottom"/>
            <w:gridSpan w:val="3"/>
          </w:tcPr>
          <w:p>
            <w:pPr>
              <w:spacing w:after="0"/>
              <w:rPr>
                <w:sz w:val="20"/>
                <w:szCs w:val="20"/>
                <w:color w:val="auto"/>
              </w:rPr>
            </w:pPr>
            <w:r>
              <w:rPr>
                <w:rFonts w:ascii="Arial" w:cs="Arial" w:eastAsia="Arial" w:hAnsi="Arial"/>
                <w:sz w:val="21"/>
                <w:szCs w:val="21"/>
                <w:color w:val="auto"/>
              </w:rPr>
              <w:t>warrants to the Company as follows:</w:t>
            </w:r>
          </w:p>
        </w:tc>
        <w:tc>
          <w:tcPr>
            <w:tcW w:w="3540" w:type="dxa"/>
            <w:vAlign w:val="bottom"/>
          </w:tcPr>
          <w:p>
            <w:pPr>
              <w:spacing w:after="0"/>
              <w:rPr>
                <w:sz w:val="23"/>
                <w:szCs w:val="23"/>
                <w:color w:val="auto"/>
              </w:rPr>
            </w:pPr>
          </w:p>
        </w:tc>
        <w:tc>
          <w:tcPr>
            <w:tcW w:w="2980" w:type="dxa"/>
            <w:vAlign w:val="bottom"/>
          </w:tcPr>
          <w:p>
            <w:pPr>
              <w:spacing w:after="0"/>
              <w:rPr>
                <w:sz w:val="23"/>
                <w:szCs w:val="23"/>
                <w:color w:val="auto"/>
              </w:rPr>
            </w:pPr>
          </w:p>
        </w:tc>
      </w:tr>
    </w:tbl>
    <w:p>
      <w:pPr>
        <w:spacing w:after="0" w:line="222" w:lineRule="exact"/>
        <w:rPr>
          <w:sz w:val="20"/>
          <w:szCs w:val="20"/>
          <w:color w:val="auto"/>
        </w:rPr>
      </w:pPr>
    </w:p>
    <w:p>
      <w:pPr>
        <w:ind w:right="20" w:firstLine="885"/>
        <w:spacing w:after="0" w:line="264" w:lineRule="auto"/>
        <w:tabs>
          <w:tab w:leader="none" w:pos="1727"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Grantee has the legal right and capacity to enter into this Agreement and fully understands the terms and conditions of this Agreement.</w:t>
      </w:r>
    </w:p>
    <w:p>
      <w:pPr>
        <w:spacing w:after="0" w:line="198" w:lineRule="exact"/>
        <w:rPr>
          <w:rFonts w:ascii="Arial" w:cs="Arial" w:eastAsia="Arial" w:hAnsi="Arial"/>
          <w:sz w:val="21"/>
          <w:szCs w:val="21"/>
          <w:color w:val="auto"/>
        </w:rPr>
      </w:pPr>
    </w:p>
    <w:p>
      <w:pPr>
        <w:jc w:val="both"/>
        <w:ind w:firstLine="885"/>
        <w:spacing w:after="0" w:line="253" w:lineRule="auto"/>
        <w:tabs>
          <w:tab w:leader="none" w:pos="1715"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Grantee is acquiring the PRSUs (and any Shares issued thereunder) for investment purposes only and not with a view to, or in connection with, the public distribution thereof in violation of the Securities Act of 1933, as amended (the “</w:t>
      </w:r>
      <w:r>
        <w:rPr>
          <w:rFonts w:ascii="Arial" w:cs="Arial" w:eastAsia="Arial" w:hAnsi="Arial"/>
          <w:sz w:val="21"/>
          <w:szCs w:val="21"/>
          <w:b w:val="1"/>
          <w:bCs w:val="1"/>
          <w:color w:val="auto"/>
        </w:rPr>
        <w:t>Securities</w:t>
      </w:r>
      <w:r>
        <w:rPr>
          <w:rFonts w:ascii="Arial" w:cs="Arial" w:eastAsia="Arial" w:hAnsi="Arial"/>
          <w:sz w:val="21"/>
          <w:szCs w:val="21"/>
          <w:color w:val="auto"/>
        </w:rPr>
        <w:t xml:space="preserve"> </w:t>
      </w:r>
      <w:r>
        <w:rPr>
          <w:rFonts w:ascii="Arial" w:cs="Arial" w:eastAsia="Arial" w:hAnsi="Arial"/>
          <w:sz w:val="21"/>
          <w:szCs w:val="21"/>
          <w:b w:val="1"/>
          <w:bCs w:val="1"/>
          <w:color w:val="auto"/>
        </w:rPr>
        <w:t>Act</w:t>
      </w:r>
      <w:r>
        <w:rPr>
          <w:rFonts w:ascii="Arial" w:cs="Arial" w:eastAsia="Arial" w:hAnsi="Arial"/>
          <w:sz w:val="21"/>
          <w:szCs w:val="21"/>
          <w:color w:val="auto"/>
        </w:rPr>
        <w:t>”).</w:t>
      </w:r>
    </w:p>
    <w:p>
      <w:pPr>
        <w:spacing w:after="0" w:line="208" w:lineRule="exact"/>
        <w:rPr>
          <w:rFonts w:ascii="Arial" w:cs="Arial" w:eastAsia="Arial" w:hAnsi="Arial"/>
          <w:sz w:val="21"/>
          <w:szCs w:val="21"/>
          <w:color w:val="auto"/>
        </w:rPr>
      </w:pPr>
    </w:p>
    <w:p>
      <w:pPr>
        <w:jc w:val="both"/>
        <w:ind w:firstLine="885"/>
        <w:spacing w:after="0" w:line="249" w:lineRule="auto"/>
        <w:tabs>
          <w:tab w:leader="none" w:pos="1715" w:val="left"/>
        </w:tabs>
        <w:numPr>
          <w:ilvl w:val="0"/>
          <w:numId w:val="36"/>
        </w:numPr>
        <w:rPr>
          <w:rFonts w:ascii="Arial" w:cs="Arial" w:eastAsia="Arial" w:hAnsi="Arial"/>
          <w:sz w:val="21"/>
          <w:szCs w:val="21"/>
          <w:color w:val="auto"/>
        </w:rPr>
      </w:pPr>
      <w:r>
        <w:rPr>
          <w:rFonts w:ascii="Arial" w:cs="Arial" w:eastAsia="Arial" w:hAnsi="Arial"/>
          <w:sz w:val="21"/>
          <w:szCs w:val="21"/>
          <w:color w:val="auto"/>
        </w:rPr>
        <w:t>If any PRSUs or the Shares thereunder shall be registered under the Securities Act, no public offering (otherwise than on a national securities exchange, as defined in the Securities Exchange Act of 1934, as amended) of any Shares acquired hereunder shall be made by the Grantee (or any other person) under such circumstances that he or she (or such person) may be deemed an underwriter, as defined in the Securities Act.</w:t>
      </w:r>
    </w:p>
    <w:p>
      <w:pPr>
        <w:spacing w:after="0" w:line="213" w:lineRule="exact"/>
        <w:rPr>
          <w:rFonts w:ascii="Arial" w:cs="Arial" w:eastAsia="Arial" w:hAnsi="Arial"/>
          <w:sz w:val="21"/>
          <w:szCs w:val="21"/>
          <w:color w:val="auto"/>
        </w:rPr>
      </w:pPr>
    </w:p>
    <w:p>
      <w:pPr>
        <w:jc w:val="both"/>
        <w:ind w:firstLine="885"/>
        <w:spacing w:after="0" w:line="290" w:lineRule="auto"/>
        <w:tabs>
          <w:tab w:leader="none" w:pos="172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Grantee understands and agrees that none of the PRSUs or the Shares thereunder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and then only in accordance with any applicable insider trading policy of the Company (as may be in effect from time to time, the “</w:t>
      </w:r>
      <w:r>
        <w:rPr>
          <w:rFonts w:ascii="Arial" w:cs="Arial" w:eastAsia="Arial" w:hAnsi="Arial"/>
          <w:sz w:val="18"/>
          <w:szCs w:val="18"/>
          <w:b w:val="1"/>
          <w:bCs w:val="1"/>
          <w:color w:val="auto"/>
        </w:rPr>
        <w:t>Insider Trading Policy</w:t>
      </w:r>
      <w:r>
        <w:rPr>
          <w:rFonts w:ascii="Arial" w:cs="Arial" w:eastAsia="Arial" w:hAnsi="Arial"/>
          <w:sz w:val="18"/>
          <w:szCs w:val="18"/>
          <w:color w:val="auto"/>
        </w:rPr>
        <w:t>”). The Grantee further understands that the Company has no obligation to cause or to refrain from causing the resale of any Shares issued in respect of the PRSUs or shares of its capital stock to be registered under the Securities Act or to comply with any exemption under the Securities Act which would permit any Shares issued in respect of the PRSUs to be sold or otherwise transferred by the Grantee. The Grantee further understands that, without approval in writing pursuant to the Insider Trading Policy, no trade may be executed in any interest or position relating to the future price of Company securities,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9" w:name="page50"/>
    <w:bookmarkEnd w:id="49"/>
    <w:p>
      <w:pPr>
        <w:spacing w:after="0" w:line="264" w:lineRule="auto"/>
        <w:rPr>
          <w:sz w:val="20"/>
          <w:szCs w:val="20"/>
          <w:color w:val="auto"/>
        </w:rPr>
      </w:pPr>
      <w:r>
        <w:rPr>
          <w:rFonts w:ascii="Arial" w:cs="Arial" w:eastAsia="Arial" w:hAnsi="Arial"/>
          <w:sz w:val="21"/>
          <w:szCs w:val="21"/>
          <w:color w:val="auto"/>
        </w:rPr>
        <w:t>a put option, call option, or short sale (which prohibition includes, among other things, establishing any “collar” or other mechanism for the purpose of establishing a price).</w:t>
      </w:r>
    </w:p>
    <w:p>
      <w:pPr>
        <w:spacing w:after="0" w:line="198" w:lineRule="exact"/>
        <w:rPr>
          <w:sz w:val="20"/>
          <w:szCs w:val="20"/>
          <w:color w:val="auto"/>
        </w:rPr>
      </w:pPr>
    </w:p>
    <w:p>
      <w:pPr>
        <w:jc w:val="both"/>
        <w:ind w:firstLine="885"/>
        <w:spacing w:after="0" w:line="249" w:lineRule="auto"/>
        <w:tabs>
          <w:tab w:leader="none" w:pos="1704" w:val="left"/>
        </w:tabs>
        <w:numPr>
          <w:ilvl w:val="0"/>
          <w:numId w:val="37"/>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205" w:lineRule="exact"/>
        <w:rPr>
          <w:sz w:val="20"/>
          <w:szCs w:val="20"/>
          <w:color w:val="auto"/>
        </w:rPr>
      </w:pPr>
    </w:p>
    <w:p>
      <w:pPr>
        <w:ind w:right="160" w:firstLine="1755"/>
        <w:spacing w:after="0" w:line="256" w:lineRule="auto"/>
        <w:rPr>
          <w:sz w:val="20"/>
          <w:szCs w:val="20"/>
          <w:color w:val="auto"/>
        </w:rPr>
      </w:pP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0"/>
          <w:szCs w:val="20"/>
          <w:u w:val="single" w:color="auto"/>
          <w:color w:val="auto"/>
        </w:rPr>
        <w:t>Notices</w:t>
      </w:r>
      <w:r>
        <w:rPr>
          <w:rFonts w:ascii="Arial" w:cs="Arial" w:eastAsia="Arial" w:hAnsi="Arial"/>
          <w:sz w:val="20"/>
          <w:szCs w:val="20"/>
          <w:color w:val="auto"/>
        </w:rPr>
        <w:t>. Any notice required or permitted hereunder shall be deemed given, if to</w:t>
      </w:r>
      <w:r>
        <w:rPr>
          <w:rFonts w:ascii="Arial" w:cs="Arial" w:eastAsia="Arial" w:hAnsi="Arial"/>
          <w:sz w:val="22"/>
          <w:szCs w:val="22"/>
          <w:color w:val="auto"/>
        </w:rPr>
        <w:t xml:space="preserve"> </w:t>
      </w:r>
      <w:r>
        <w:rPr>
          <w:rFonts w:ascii="Arial" w:cs="Arial" w:eastAsia="Arial" w:hAnsi="Arial"/>
          <w:sz w:val="20"/>
          <w:szCs w:val="20"/>
          <w:color w:val="auto"/>
        </w:rPr>
        <w:t>the Grantee, when delivered (a) by a nationally recognized overnight delivery service (receipt requested), (b) by e-mail or other electronic means, or (c) by certified or registered mail, return receipt requested, postage prepaid, at such address as the Company shall maintain for the Grantee in its personnel records or such other address as he or she may designate in writing to the Company. Grantee will promptly notify the Company in writing upon any change in Grantee’s mailing address or e-mail address. Any notice required or permitted hereunder shall be deemed given, if to the Company, when delivered by certified or registered mail, return receipt requested, postage prepaid, to the Company, at 12121 Wickchester Lane, Suite 500, Houston, TX 77079, Attention: General Counsel or such other address as the Company may designate in writing to the Grantee.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22"/>
                <w:szCs w:val="22"/>
                <w:color w:val="auto"/>
              </w:rPr>
              <w:t>Section 9.</w:t>
            </w:r>
          </w:p>
        </w:tc>
        <w:tc>
          <w:tcPr>
            <w:tcW w:w="6740" w:type="dxa"/>
            <w:vAlign w:val="bottom"/>
            <w:gridSpan w:val="5"/>
          </w:tcPr>
          <w:p>
            <w:pPr>
              <w:spacing w:after="0"/>
              <w:rPr>
                <w:sz w:val="20"/>
                <w:szCs w:val="20"/>
                <w:color w:val="auto"/>
              </w:rPr>
            </w:pPr>
            <w:r>
              <w:rPr>
                <w:rFonts w:ascii="Arial" w:cs="Arial" w:eastAsia="Arial" w:hAnsi="Arial"/>
                <w:sz w:val="21"/>
                <w:szCs w:val="21"/>
                <w:color w:val="auto"/>
                <w:w w:val="96"/>
              </w:rPr>
              <w:t>Adjustments. The PRSUs granted under this Agreement shall be subject to</w:t>
            </w:r>
          </w:p>
        </w:tc>
      </w:tr>
      <w:tr>
        <w:trPr>
          <w:trHeight w:val="20"/>
        </w:trPr>
        <w:tc>
          <w:tcPr>
            <w:tcW w:w="1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72"/>
        </w:trPr>
        <w:tc>
          <w:tcPr>
            <w:tcW w:w="4580" w:type="dxa"/>
            <w:vAlign w:val="bottom"/>
            <w:gridSpan w:val="4"/>
          </w:tcPr>
          <w:p>
            <w:pPr>
              <w:spacing w:after="0"/>
              <w:rPr>
                <w:sz w:val="20"/>
                <w:szCs w:val="20"/>
                <w:color w:val="auto"/>
              </w:rPr>
            </w:pPr>
            <w:r>
              <w:rPr>
                <w:rFonts w:ascii="Arial" w:cs="Arial" w:eastAsia="Arial" w:hAnsi="Arial"/>
                <w:sz w:val="21"/>
                <w:szCs w:val="21"/>
                <w:color w:val="auto"/>
                <w:w w:val="96"/>
              </w:rPr>
              <w:t>adjustment as provided in Section 4(b) of the Plan.</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438"/>
        </w:trPr>
        <w:tc>
          <w:tcPr>
            <w:tcW w:w="17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22"/>
                <w:szCs w:val="22"/>
                <w:color w:val="auto"/>
                <w:w w:val="83"/>
              </w:rPr>
              <w:t>Section 10.</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40" w:type="dxa"/>
            <w:vAlign w:val="bottom"/>
            <w:gridSpan w:val="4"/>
          </w:tcPr>
          <w:p>
            <w:pPr>
              <w:spacing w:after="0"/>
              <w:rPr>
                <w:sz w:val="20"/>
                <w:szCs w:val="20"/>
                <w:color w:val="auto"/>
              </w:rPr>
            </w:pPr>
            <w:r>
              <w:rPr>
                <w:rFonts w:ascii="Arial" w:cs="Arial" w:eastAsia="Arial" w:hAnsi="Arial"/>
                <w:sz w:val="21"/>
                <w:szCs w:val="21"/>
                <w:color w:val="auto"/>
                <w:w w:val="95"/>
              </w:rPr>
              <w:t>Tenure. The Grantee’s right to continue to serve the Company or any of its</w:t>
            </w:r>
          </w:p>
        </w:tc>
      </w:tr>
      <w:tr>
        <w:trPr>
          <w:trHeight w:val="20"/>
        </w:trPr>
        <w:tc>
          <w:tcPr>
            <w:tcW w:w="17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960" w:type="dxa"/>
            <w:vAlign w:val="bottom"/>
            <w:tcBorders>
              <w:lef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72"/>
        </w:trPr>
        <w:tc>
          <w:tcPr>
            <w:tcW w:w="11320" w:type="dxa"/>
            <w:vAlign w:val="bottom"/>
            <w:gridSpan w:val="9"/>
          </w:tcPr>
          <w:p>
            <w:pPr>
              <w:spacing w:after="0"/>
              <w:rPr>
                <w:sz w:val="20"/>
                <w:szCs w:val="20"/>
                <w:color w:val="auto"/>
              </w:rPr>
            </w:pPr>
            <w:r>
              <w:rPr>
                <w:rFonts w:ascii="Arial" w:cs="Arial" w:eastAsia="Arial" w:hAnsi="Arial"/>
                <w:sz w:val="21"/>
                <w:szCs w:val="21"/>
                <w:color w:val="auto"/>
              </w:rPr>
              <w:t>Affiliates as an officer, employee, or otherwise, shall not be enlarged or otherwise affected by the award hereunder.</w:t>
            </w:r>
          </w:p>
        </w:tc>
      </w:tr>
      <w:tr>
        <w:trPr>
          <w:trHeight w:val="438"/>
        </w:trPr>
        <w:tc>
          <w:tcPr>
            <w:tcW w:w="176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Arial" w:cs="Arial" w:eastAsia="Arial" w:hAnsi="Arial"/>
                <w:sz w:val="22"/>
                <w:szCs w:val="22"/>
                <w:color w:val="auto"/>
              </w:rPr>
              <w:t>Section 11.</w:t>
            </w:r>
          </w:p>
        </w:tc>
        <w:tc>
          <w:tcPr>
            <w:tcW w:w="100" w:type="dxa"/>
            <w:vAlign w:val="bottom"/>
          </w:tcPr>
          <w:p>
            <w:pPr>
              <w:spacing w:after="0"/>
              <w:rPr>
                <w:sz w:val="24"/>
                <w:szCs w:val="24"/>
                <w:color w:val="auto"/>
              </w:rPr>
            </w:pPr>
          </w:p>
        </w:tc>
        <w:tc>
          <w:tcPr>
            <w:tcW w:w="6640" w:type="dxa"/>
            <w:vAlign w:val="bottom"/>
            <w:gridSpan w:val="4"/>
          </w:tcPr>
          <w:p>
            <w:pPr>
              <w:spacing w:after="0"/>
              <w:rPr>
                <w:sz w:val="20"/>
                <w:szCs w:val="20"/>
                <w:color w:val="auto"/>
              </w:rPr>
            </w:pPr>
            <w:r>
              <w:rPr>
                <w:rFonts w:ascii="Arial" w:cs="Arial" w:eastAsia="Arial" w:hAnsi="Arial"/>
                <w:sz w:val="21"/>
                <w:szCs w:val="21"/>
                <w:color w:val="auto"/>
                <w:w w:val="90"/>
              </w:rPr>
              <w:t>Limitation of Rights as a Shareholder. The Grantee will not have any privileges</w:t>
            </w:r>
          </w:p>
        </w:tc>
      </w:tr>
      <w:tr>
        <w:trPr>
          <w:trHeight w:val="20"/>
        </w:trPr>
        <w:tc>
          <w:tcPr>
            <w:tcW w:w="1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bl>
    <w:p>
      <w:pPr>
        <w:spacing w:after="0" w:line="14"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color w:val="auto"/>
        </w:rPr>
        <w:t>of a stockholder of the Company with respect to the PRSUs, including, without limitation, any right to vote any Shares underlying such PRSUs; except, that, if determined by the Committee in its sole discretion, the Grantee may have the right to receive dividend equivalents in respect of the Shares underlying the PRSUs (to the extend dividends are paid). The amount of any dividend equivalent(s) otherwise payable on the PRSUs shall be held in escrow from and after the dividend payment date until there is a settlement and delivery of Shares to the Grantee in accordance with Section 5 hereof, at which time such dividend equivalents (if any) will be paid.</w:t>
      </w:r>
    </w:p>
    <w:p>
      <w:pPr>
        <w:spacing w:after="0" w:line="165" w:lineRule="exact"/>
        <w:rPr>
          <w:sz w:val="20"/>
          <w:szCs w:val="20"/>
          <w:color w:val="auto"/>
        </w:rPr>
      </w:pPr>
    </w:p>
    <w:p>
      <w:pPr>
        <w:jc w:val="both"/>
        <w:ind w:firstLine="1755"/>
        <w:spacing w:after="0" w:line="262" w:lineRule="auto"/>
        <w:rPr>
          <w:sz w:val="20"/>
          <w:szCs w:val="20"/>
          <w:color w:val="auto"/>
        </w:rPr>
      </w:pP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w:t>
      </w:r>
      <w:r>
        <w:rPr>
          <w:rFonts w:ascii="Arial" w:cs="Arial" w:eastAsia="Arial" w:hAnsi="Arial"/>
          <w:sz w:val="20"/>
          <w:szCs w:val="20"/>
          <w:u w:val="single" w:color="auto"/>
          <w:color w:val="auto"/>
        </w:rPr>
        <w:t>Clawback</w:t>
      </w:r>
      <w:r>
        <w:rPr>
          <w:rFonts w:ascii="Arial" w:cs="Arial" w:eastAsia="Arial" w:hAnsi="Arial"/>
          <w:sz w:val="20"/>
          <w:szCs w:val="20"/>
          <w:color w:val="auto"/>
        </w:rPr>
        <w:t>. The PRSUs and any Shares issued in respect thereof will be subject to</w:t>
      </w:r>
      <w:r>
        <w:rPr>
          <w:rFonts w:ascii="Arial" w:cs="Arial" w:eastAsia="Arial" w:hAnsi="Arial"/>
          <w:sz w:val="22"/>
          <w:szCs w:val="22"/>
          <w:color w:val="auto"/>
        </w:rPr>
        <w:t xml:space="preserve"> </w:t>
      </w:r>
      <w:r>
        <w:rPr>
          <w:rFonts w:ascii="Arial" w:cs="Arial" w:eastAsia="Arial" w:hAnsi="Arial"/>
          <w:sz w:val="20"/>
          <w:szCs w:val="20"/>
          <w:color w:val="auto"/>
        </w:rPr>
        <w:t>such clawback provisions as may be required to be made pursuant to any applicable law, government regulation or stock exchange listing requirement, or other applicable Company policy.</w:t>
      </w:r>
    </w:p>
    <w:p>
      <w:pPr>
        <w:spacing w:after="0" w:line="194" w:lineRule="exact"/>
        <w:rPr>
          <w:sz w:val="20"/>
          <w:szCs w:val="20"/>
          <w:color w:val="auto"/>
        </w:rPr>
      </w:pPr>
    </w:p>
    <w:p>
      <w:pPr>
        <w:ind w:right="60" w:firstLine="1755"/>
        <w:spacing w:after="0" w:line="258" w:lineRule="auto"/>
        <w:rPr>
          <w:sz w:val="20"/>
          <w:szCs w:val="20"/>
          <w:color w:val="auto"/>
        </w:rPr>
      </w:pP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w:t>
      </w:r>
      <w:r>
        <w:rPr>
          <w:rFonts w:ascii="Arial" w:cs="Arial" w:eastAsia="Arial" w:hAnsi="Arial"/>
          <w:sz w:val="20"/>
          <w:szCs w:val="20"/>
          <w:u w:val="single" w:color="auto"/>
          <w:color w:val="auto"/>
        </w:rPr>
        <w:t>Governing Law; Entire Agreement</w:t>
      </w:r>
      <w:r>
        <w:rPr>
          <w:rFonts w:ascii="Arial" w:cs="Arial" w:eastAsia="Arial" w:hAnsi="Arial"/>
          <w:sz w:val="20"/>
          <w:szCs w:val="20"/>
          <w:color w:val="auto"/>
        </w:rPr>
        <w:t>. This Agreement shall be governed by, and</w:t>
      </w:r>
      <w:r>
        <w:rPr>
          <w:rFonts w:ascii="Arial" w:cs="Arial" w:eastAsia="Arial" w:hAnsi="Arial"/>
          <w:sz w:val="22"/>
          <w:szCs w:val="22"/>
          <w:color w:val="auto"/>
        </w:rPr>
        <w:t xml:space="preserve"> </w:t>
      </w:r>
      <w:r>
        <w:rPr>
          <w:rFonts w:ascii="Arial" w:cs="Arial" w:eastAsia="Arial" w:hAnsi="Arial"/>
          <w:sz w:val="20"/>
          <w:szCs w:val="20"/>
          <w:color w:val="auto"/>
        </w:rPr>
        <w:t>construed and enforced in accordance with, the laws of the State of Delaware, without giving effect to principles and provisions thereof relating to conflict or choice of laws. This Agreement contains the entire understanding of the parties hereto with respect to the PRSUs and any Shares issued in respect thereof and supersedes all prior agreements, discussions and understandings with respect to such subject matter.</w:t>
      </w:r>
    </w:p>
    <w:p>
      <w:pPr>
        <w:spacing w:after="0" w:line="198" w:lineRule="exact"/>
        <w:rPr>
          <w:sz w:val="20"/>
          <w:szCs w:val="20"/>
          <w:color w:val="auto"/>
        </w:rPr>
      </w:pPr>
    </w:p>
    <w:p>
      <w:pPr>
        <w:ind w:left="1760"/>
        <w:spacing w:after="0"/>
        <w:tabs>
          <w:tab w:leader="none" w:pos="4660" w:val="left"/>
        </w:tabs>
        <w:rPr>
          <w:sz w:val="20"/>
          <w:szCs w:val="20"/>
          <w:color w:val="auto"/>
        </w:rPr>
      </w:pPr>
      <w:r>
        <w:rPr>
          <w:rFonts w:ascii="Arial" w:cs="Arial" w:eastAsia="Arial" w:hAnsi="Arial"/>
          <w:sz w:val="22"/>
          <w:szCs w:val="22"/>
          <w:u w:val="single" w:color="auto"/>
          <w:color w:val="auto"/>
        </w:rPr>
        <w:t>Section 14.</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0" w:name="page51"/>
    <w:bookmarkEnd w:id="50"/>
    <w:p>
      <w:pPr>
        <w:spacing w:after="0"/>
        <w:rPr>
          <w:sz w:val="20"/>
          <w:szCs w:val="20"/>
          <w:color w:val="auto"/>
        </w:rPr>
      </w:pPr>
      <w:r>
        <w:rPr>
          <w:rFonts w:ascii="Arial" w:cs="Arial" w:eastAsia="Arial" w:hAnsi="Arial"/>
          <w:sz w:val="21"/>
          <w:szCs w:val="21"/>
          <w:color w:val="auto"/>
        </w:rPr>
        <w:t>of which shall be deemed to be an original, but all of which together shall constitute but one and the same instrument.</w:t>
      </w:r>
    </w:p>
    <w:p>
      <w:pPr>
        <w:spacing w:after="0" w:line="237" w:lineRule="exact"/>
        <w:rPr>
          <w:sz w:val="20"/>
          <w:szCs w:val="20"/>
          <w:color w:val="auto"/>
        </w:rPr>
      </w:pPr>
    </w:p>
    <w:p>
      <w:pPr>
        <w:ind w:right="240" w:firstLine="1755"/>
        <w:spacing w:after="0" w:line="277" w:lineRule="auto"/>
        <w:rPr>
          <w:sz w:val="20"/>
          <w:szCs w:val="20"/>
          <w:color w:val="auto"/>
        </w:rPr>
      </w:pP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w:t>
      </w:r>
      <w:r>
        <w:rPr>
          <w:rFonts w:ascii="Arial" w:cs="Arial" w:eastAsia="Arial" w:hAnsi="Arial"/>
          <w:sz w:val="19"/>
          <w:szCs w:val="19"/>
          <w:u w:val="single" w:color="auto"/>
          <w:color w:val="auto"/>
        </w:rPr>
        <w:t>Benefit and Binding Effec</w:t>
      </w:r>
      <w:r>
        <w:rPr>
          <w:rFonts w:ascii="Arial" w:cs="Arial" w:eastAsia="Arial" w:hAnsi="Arial"/>
          <w:sz w:val="19"/>
          <w:szCs w:val="19"/>
          <w:color w:val="auto"/>
        </w:rPr>
        <w:t>t. This Agreement shall be binding upon and shall</w:t>
      </w:r>
      <w:r>
        <w:rPr>
          <w:rFonts w:ascii="Arial" w:cs="Arial" w:eastAsia="Arial" w:hAnsi="Arial"/>
          <w:sz w:val="21"/>
          <w:szCs w:val="21"/>
          <w:color w:val="auto"/>
        </w:rPr>
        <w:t xml:space="preserve"> </w:t>
      </w:r>
      <w:r>
        <w:rPr>
          <w:rFonts w:ascii="Arial" w:cs="Arial" w:eastAsia="Arial" w:hAnsi="Arial"/>
          <w:sz w:val="19"/>
          <w:szCs w:val="19"/>
          <w:color w:val="auto"/>
        </w:rPr>
        <w:t>inure to the benefit of the Company, its successors and assigns, and the Grantee, his or her executors, administrators, personal representatives and heirs. In the event that any part of this Agreement shall be held to be invalid or unenforceable, the remaining parts hereof shall nevertheless continue to be valid and enforceable as though the invalid portions were not a part hereof.</w:t>
      </w:r>
    </w:p>
    <w:p>
      <w:pPr>
        <w:spacing w:after="0" w:line="180" w:lineRule="exact"/>
        <w:rPr>
          <w:sz w:val="20"/>
          <w:szCs w:val="20"/>
          <w:color w:val="auto"/>
        </w:rPr>
      </w:pPr>
    </w:p>
    <w:p>
      <w:pPr>
        <w:jc w:val="both"/>
        <w:ind w:right="40" w:firstLine="1755"/>
        <w:spacing w:after="0" w:line="262" w:lineRule="auto"/>
        <w:rPr>
          <w:sz w:val="20"/>
          <w:szCs w:val="20"/>
          <w:color w:val="auto"/>
        </w:rPr>
      </w:pP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w:t>
      </w: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the Plan or</w:t>
      </w:r>
      <w:r>
        <w:rPr>
          <w:rFonts w:ascii="Arial" w:cs="Arial" w:eastAsia="Arial" w:hAnsi="Arial"/>
          <w:sz w:val="22"/>
          <w:szCs w:val="22"/>
          <w:color w:val="auto"/>
        </w:rPr>
        <w:t xml:space="preserve"> </w:t>
      </w:r>
      <w:r>
        <w:rPr>
          <w:rFonts w:ascii="Arial" w:cs="Arial" w:eastAsia="Arial" w:hAnsi="Arial"/>
          <w:sz w:val="20"/>
          <w:szCs w:val="20"/>
          <w:color w:val="auto"/>
        </w:rPr>
        <w:t>this Award Agreement will not affect the validity or enforceability of any other provision of the Plan or this Award Agreement, and each provision of the Plan and this Award Agreement will be severable and enforceable to the extent permitted by law.</w:t>
      </w:r>
    </w:p>
    <w:p>
      <w:pPr>
        <w:spacing w:after="0" w:line="194" w:lineRule="exact"/>
        <w:rPr>
          <w:sz w:val="20"/>
          <w:szCs w:val="20"/>
          <w:color w:val="auto"/>
        </w:rPr>
      </w:pPr>
    </w:p>
    <w:p>
      <w:pPr>
        <w:ind w:right="20" w:firstLine="1755"/>
        <w:spacing w:after="0" w:line="274" w:lineRule="auto"/>
        <w:rPr>
          <w:sz w:val="20"/>
          <w:szCs w:val="20"/>
          <w:color w:val="auto"/>
        </w:rPr>
      </w:pP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w:t>
      </w: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Section 409A or an</w:t>
      </w:r>
      <w:r>
        <w:rPr>
          <w:rFonts w:ascii="Arial" w:cs="Arial" w:eastAsia="Arial" w:hAnsi="Arial"/>
          <w:sz w:val="21"/>
          <w:szCs w:val="21"/>
          <w:color w:val="auto"/>
        </w:rPr>
        <w:t xml:space="preserve"> </w:t>
      </w:r>
      <w:r>
        <w:rPr>
          <w:rFonts w:ascii="Arial" w:cs="Arial" w:eastAsia="Arial" w:hAnsi="Arial"/>
          <w:sz w:val="19"/>
          <w:szCs w:val="19"/>
          <w:color w:val="auto"/>
        </w:rPr>
        <w:t>exemption thereunder and will be construed and administered in accordance with Section 409A. The PRSUs granted hereunder will be subject to Section 17 of the Plan.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Grantee on account of non-compliance with Section 409A.</w:t>
      </w:r>
    </w:p>
    <w:p>
      <w:pPr>
        <w:spacing w:after="0" w:line="185" w:lineRule="exact"/>
        <w:rPr>
          <w:sz w:val="20"/>
          <w:szCs w:val="20"/>
          <w:color w:val="auto"/>
        </w:rPr>
      </w:pPr>
    </w:p>
    <w:p>
      <w:pPr>
        <w:ind w:firstLine="1755"/>
        <w:spacing w:after="0" w:line="265" w:lineRule="auto"/>
        <w:rPr>
          <w:sz w:val="20"/>
          <w:szCs w:val="20"/>
          <w:color w:val="auto"/>
        </w:rPr>
      </w:pP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w:t>
      </w:r>
      <w:r>
        <w:rPr>
          <w:rFonts w:ascii="Arial" w:cs="Arial" w:eastAsia="Arial" w:hAnsi="Arial"/>
          <w:sz w:val="19"/>
          <w:szCs w:val="19"/>
          <w:u w:val="single" w:color="auto"/>
          <w:color w:val="auto"/>
        </w:rPr>
        <w:t>Taxes; Withholding</w:t>
      </w:r>
      <w:r>
        <w:rPr>
          <w:rFonts w:ascii="Arial" w:cs="Arial" w:eastAsia="Arial" w:hAnsi="Arial"/>
          <w:sz w:val="19"/>
          <w:szCs w:val="19"/>
          <w:color w:val="auto"/>
        </w:rPr>
        <w:t>. The Grantee acknowledges and agrees that if required by</w:t>
      </w:r>
      <w:r>
        <w:rPr>
          <w:rFonts w:ascii="Arial" w:cs="Arial" w:eastAsia="Arial" w:hAnsi="Arial"/>
          <w:sz w:val="21"/>
          <w:szCs w:val="21"/>
          <w:color w:val="auto"/>
        </w:rPr>
        <w:t xml:space="preserve"> </w:t>
      </w:r>
      <w:r>
        <w:rPr>
          <w:rFonts w:ascii="Arial" w:cs="Arial" w:eastAsia="Arial" w:hAnsi="Arial"/>
          <w:sz w:val="19"/>
          <w:szCs w:val="19"/>
          <w:color w:val="auto"/>
        </w:rPr>
        <w:t xml:space="preserve">law, the Company may withhold or cause to be withheld federal, state and/or local income or any other applicable taxes in connection with the vesting or settlement of the PRSUs in accordance with the provisions of the Plan. Notwithstanding the generality of the foregoing, </w:t>
      </w:r>
      <w:r>
        <w:rPr>
          <w:rFonts w:ascii="Arial" w:cs="Arial" w:eastAsia="Arial" w:hAnsi="Arial"/>
          <w:sz w:val="20"/>
          <w:szCs w:val="20"/>
          <w:color w:val="auto"/>
        </w:rPr>
        <w:t>all payments or distributions in respect of the PRSUs or with respect thereto shall be net of any amounts required to be</w:t>
      </w:r>
      <w:r>
        <w:rPr>
          <w:rFonts w:ascii="Arial" w:cs="Arial" w:eastAsia="Arial" w:hAnsi="Arial"/>
          <w:sz w:val="19"/>
          <w:szCs w:val="19"/>
          <w:color w:val="auto"/>
        </w:rPr>
        <w:t xml:space="preserve"> </w:t>
      </w:r>
      <w:r>
        <w:rPr>
          <w:rFonts w:ascii="Arial" w:cs="Arial" w:eastAsia="Arial" w:hAnsi="Arial"/>
          <w:sz w:val="20"/>
          <w:szCs w:val="20"/>
          <w:color w:val="auto"/>
        </w:rPr>
        <w:t xml:space="preserve">withheld pursuant to applicable federal, national, state and local tax withholding requirements. The Company shall </w:t>
      </w:r>
      <w:r>
        <w:rPr>
          <w:rFonts w:ascii="Arial" w:cs="Arial" w:eastAsia="Arial" w:hAnsi="Arial"/>
          <w:sz w:val="19"/>
          <w:szCs w:val="19"/>
          <w:color w:val="auto"/>
        </w:rPr>
        <w:t>have the right to</w:t>
      </w:r>
      <w:r>
        <w:rPr>
          <w:rFonts w:ascii="Arial" w:cs="Arial" w:eastAsia="Arial" w:hAnsi="Arial"/>
          <w:sz w:val="20"/>
          <w:szCs w:val="20"/>
          <w:color w:val="auto"/>
        </w:rPr>
        <w:t xml:space="preserve"> </w:t>
      </w:r>
      <w:r>
        <w:rPr>
          <w:rFonts w:ascii="Arial" w:cs="Arial" w:eastAsia="Arial" w:hAnsi="Arial"/>
          <w:sz w:val="19"/>
          <w:szCs w:val="19"/>
          <w:color w:val="auto"/>
        </w:rPr>
        <w:t>withhold the amount of such taxes from any other sums due or to become due from the Company to the Grantee as the Company shall determine. The Company may, in its discretion and subject to such rules as it may adopt (including any as may be required to satisfy applicable tax), permit the Grantee to pay all or a portion of the federal, national, state and local withholding taxes arising in connection with the vesting or settlement of the PRSUs and any payments or distributions with respect thereto by electing to have the Company withhold Shares having a Fair Market Value equal to the amount to be withheld.</w:t>
      </w:r>
    </w:p>
    <w:p>
      <w:pPr>
        <w:spacing w:after="0" w:line="198" w:lineRule="exact"/>
        <w:rPr>
          <w:sz w:val="20"/>
          <w:szCs w:val="20"/>
          <w:color w:val="auto"/>
        </w:rPr>
      </w:pPr>
    </w:p>
    <w:p>
      <w:pPr>
        <w:jc w:val="both"/>
        <w:ind w:right="140" w:firstLine="1755"/>
        <w:spacing w:after="0" w:line="274" w:lineRule="auto"/>
        <w:rPr>
          <w:sz w:val="20"/>
          <w:szCs w:val="20"/>
          <w:color w:val="auto"/>
        </w:rPr>
      </w:pPr>
      <w:r>
        <w:rPr>
          <w:rFonts w:ascii="Arial" w:cs="Arial" w:eastAsia="Arial" w:hAnsi="Arial"/>
          <w:sz w:val="22"/>
          <w:szCs w:val="22"/>
          <w:u w:val="single" w:color="auto"/>
          <w:color w:val="auto"/>
        </w:rPr>
        <w:t>Section 19.</w:t>
      </w:r>
      <w:r>
        <w:rPr>
          <w:rFonts w:ascii="Arial" w:cs="Arial" w:eastAsia="Arial" w:hAnsi="Arial"/>
          <w:sz w:val="22"/>
          <w:szCs w:val="22"/>
          <w:color w:val="auto"/>
        </w:rPr>
        <w:t xml:space="preserve"> </w:t>
      </w: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Subject to the terms of the Plan, this Agreement</w:t>
      </w:r>
      <w:r>
        <w:rPr>
          <w:rFonts w:ascii="Arial" w:cs="Arial" w:eastAsia="Arial" w:hAnsi="Arial"/>
          <w:sz w:val="22"/>
          <w:szCs w:val="22"/>
          <w:color w:val="auto"/>
        </w:rPr>
        <w:t xml:space="preserve"> </w:t>
      </w:r>
      <w:r>
        <w:rPr>
          <w:rFonts w:ascii="Arial" w:cs="Arial" w:eastAsia="Arial" w:hAnsi="Arial"/>
          <w:sz w:val="20"/>
          <w:szCs w:val="20"/>
          <w:color w:val="auto"/>
        </w:rPr>
        <w:t>may not be amended or terminated unless such amendment or termination is in writing and duly executed by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51" w:name="page52"/>
    <w:bookmarkEnd w:id="51"/>
    <w:p>
      <w:pPr>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Company has executed this Agreement on the date and year first written above.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SEACOR MARINE HOLDINGS INC.</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[Name]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[Title]</w:t>
      </w:r>
    </w:p>
    <w:p>
      <w:pPr>
        <w:spacing w:after="0" w:line="227"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The undersigned hereby accepts, and agrees to, all terms and provisions of the foregoing Performance Restricted Stock Unit Grant Agreement.</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________________________________________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Dated: ________________________________________</w:t>
      </w:r>
    </w:p>
    <w:p>
      <w:pPr>
        <w:sectPr>
          <w:pgSz w:w="11900" w:h="16838" w:orient="portrait"/>
          <w:cols w:equalWidth="0" w:num="1">
            <w:col w:w="11420"/>
          </w:cols>
          <w:pgMar w:left="240" w:top="336"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225" w:lineRule="exact"/>
        <w:rPr>
          <w:sz w:val="20"/>
          <w:szCs w:val="20"/>
          <w:color w:val="auto"/>
        </w:rPr>
      </w:pPr>
    </w:p>
    <w:p>
      <w:pPr>
        <w:ind w:left="800" w:hanging="792"/>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jc w:val="both"/>
        <w:ind w:left="800" w:right="160" w:hanging="792"/>
        <w:spacing w:after="0" w:line="264"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00" w:right="160" w:hanging="792"/>
        <w:spacing w:after="0" w:line="308" w:lineRule="auto"/>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00" w:right="360" w:hanging="792"/>
        <w:spacing w:after="0" w:line="277"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80" w:right="200" w:hanging="789"/>
        <w:spacing w:after="0" w:line="286" w:lineRule="auto"/>
        <w:tabs>
          <w:tab w:leader="none" w:pos="15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80" w:right="20" w:hanging="789"/>
        <w:spacing w:after="0" w:line="264" w:lineRule="auto"/>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580" w:right="100" w:hanging="789"/>
        <w:spacing w:after="0" w:line="342" w:lineRule="auto"/>
        <w:tabs>
          <w:tab w:leader="none" w:pos="15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80" w:right="20" w:hanging="789"/>
        <w:spacing w:after="0" w:line="264" w:lineRule="auto"/>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00" w:hanging="792"/>
        <w:spacing w:after="0" w:line="308" w:lineRule="auto"/>
        <w:tabs>
          <w:tab w:leader="none" w:pos="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580" w:right="360" w:hanging="789"/>
        <w:spacing w:after="0" w:line="342" w:lineRule="auto"/>
        <w:tabs>
          <w:tab w:leader="none" w:pos="15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80" w:hanging="789"/>
        <w:spacing w:after="0" w:line="277" w:lineRule="auto"/>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120"/>
              <w:spacing w:after="0"/>
              <w:rPr>
                <w:sz w:val="20"/>
                <w:szCs w:val="20"/>
                <w:color w:val="auto"/>
              </w:rPr>
            </w:pPr>
            <w:r>
              <w:rPr>
                <w:rFonts w:ascii="Arial" w:cs="Arial" w:eastAsia="Arial" w:hAnsi="Arial"/>
                <w:sz w:val="18"/>
                <w:szCs w:val="18"/>
                <w:color w:val="auto"/>
              </w:rPr>
              <w:t>May 10, 2019</w:t>
            </w:r>
          </w:p>
        </w:tc>
      </w:tr>
      <w:tr>
        <w:trPr>
          <w:trHeight w:val="432"/>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2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225" w:lineRule="exact"/>
        <w:rPr>
          <w:sz w:val="20"/>
          <w:szCs w:val="20"/>
          <w:color w:val="auto"/>
        </w:rPr>
      </w:pPr>
    </w:p>
    <w:p>
      <w:pPr>
        <w:ind w:left="800" w:hanging="792"/>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jc w:val="both"/>
        <w:ind w:left="800" w:right="160" w:hanging="792"/>
        <w:spacing w:after="0" w:line="264"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00" w:right="160" w:hanging="792"/>
        <w:spacing w:after="0" w:line="308" w:lineRule="auto"/>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00" w:right="360" w:hanging="792"/>
        <w:spacing w:after="0" w:line="277"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80" w:right="200" w:hanging="789"/>
        <w:spacing w:after="0" w:line="286" w:lineRule="auto"/>
        <w:tabs>
          <w:tab w:leader="none" w:pos="15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80" w:right="20" w:hanging="789"/>
        <w:spacing w:after="0" w:line="264" w:lineRule="auto"/>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580" w:right="100" w:hanging="789"/>
        <w:spacing w:after="0" w:line="342" w:lineRule="auto"/>
        <w:tabs>
          <w:tab w:leader="none" w:pos="15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80" w:right="20" w:hanging="789"/>
        <w:spacing w:after="0" w:line="264" w:lineRule="auto"/>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00" w:hanging="792"/>
        <w:spacing w:after="0" w:line="308" w:lineRule="auto"/>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580" w:right="360" w:hanging="789"/>
        <w:spacing w:after="0" w:line="342" w:lineRule="auto"/>
        <w:tabs>
          <w:tab w:leader="none" w:pos="15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80" w:hanging="789"/>
        <w:spacing w:after="0" w:line="277" w:lineRule="auto"/>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180" w:type="dxa"/>
            <w:vAlign w:val="bottom"/>
          </w:tcPr>
          <w:p>
            <w:pPr>
              <w:ind w:left="180"/>
              <w:spacing w:after="0"/>
              <w:rPr>
                <w:sz w:val="20"/>
                <w:szCs w:val="20"/>
                <w:color w:val="auto"/>
              </w:rPr>
            </w:pPr>
            <w:r>
              <w:rPr>
                <w:rFonts w:ascii="Arial" w:cs="Arial" w:eastAsia="Arial" w:hAnsi="Arial"/>
                <w:sz w:val="18"/>
                <w:szCs w:val="18"/>
                <w:color w:val="auto"/>
                <w:w w:val="89"/>
              </w:rPr>
              <w:t>May 10, 2019</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Jesús Llorca</w:t>
      </w:r>
    </w:p>
    <w:p>
      <w:pPr>
        <w:spacing w:after="0" w:line="2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tab/>
        <w:t>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ind w:left="260" w:right="2540"/>
        <w:spacing w:after="0" w:line="255"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BY SECTION 906 OF THE SARBANES-OXLEY ACT OF 2002</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March 31, 2019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36"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180"/>
              <w:spacing w:after="0"/>
              <w:rPr>
                <w:sz w:val="20"/>
                <w:szCs w:val="20"/>
                <w:color w:val="auto"/>
              </w:rPr>
            </w:pPr>
            <w:r>
              <w:rPr>
                <w:rFonts w:ascii="Arial" w:cs="Arial" w:eastAsia="Arial" w:hAnsi="Arial"/>
                <w:sz w:val="18"/>
                <w:szCs w:val="18"/>
                <w:color w:val="auto"/>
              </w:rPr>
              <w:t>May 10, 2019</w:t>
            </w:r>
          </w:p>
        </w:tc>
      </w:tr>
      <w:tr>
        <w:trPr>
          <w:trHeight w:val="432"/>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ind w:left="18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80" w:type="dxa"/>
            <w:vAlign w:val="bottom"/>
          </w:tcPr>
          <w:p>
            <w:pPr>
              <w:spacing w:after="0"/>
              <w:rPr>
                <w:sz w:val="20"/>
                <w:szCs w:val="20"/>
                <w:color w:val="auto"/>
              </w:rPr>
            </w:pPr>
          </w:p>
        </w:tc>
        <w:tc>
          <w:tcPr>
            <w:tcW w:w="5020" w:type="dxa"/>
            <w:vAlign w:val="bottom"/>
          </w:tcPr>
          <w:p>
            <w:pPr>
              <w:ind w:left="180"/>
              <w:spacing w:after="0"/>
              <w:rPr>
                <w:sz w:val="20"/>
                <w:szCs w:val="20"/>
                <w:color w:val="auto"/>
              </w:rPr>
            </w:pPr>
            <w:r>
              <w:rPr>
                <w:rFonts w:ascii="Arial" w:cs="Arial" w:eastAsia="Arial" w:hAnsi="Arial"/>
                <w:sz w:val="18"/>
                <w:szCs w:val="18"/>
                <w:i w:val="1"/>
                <w:iCs w:val="1"/>
                <w:color w:val="auto"/>
              </w:rPr>
              <w:t>(Principal Executive Officer)</w:t>
            </w:r>
          </w:p>
        </w:tc>
      </w:tr>
      <w:tr>
        <w:trPr>
          <w:trHeight w:val="675"/>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180"/>
              <w:spacing w:after="0"/>
              <w:rPr>
                <w:sz w:val="20"/>
                <w:szCs w:val="20"/>
                <w:color w:val="auto"/>
              </w:rPr>
            </w:pPr>
            <w:r>
              <w:rPr>
                <w:rFonts w:ascii="Arial" w:cs="Arial" w:eastAsia="Arial" w:hAnsi="Arial"/>
                <w:sz w:val="18"/>
                <w:szCs w:val="18"/>
                <w:color w:val="auto"/>
              </w:rPr>
              <w:t>May 10, 2019</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Jesús Llorca</w:t>
      </w:r>
    </w:p>
    <w:p>
      <w:pPr>
        <w:spacing w:after="0" w:line="23" w:lineRule="exact"/>
        <w:rPr>
          <w:sz w:val="20"/>
          <w:szCs w:val="20"/>
          <w:color w:val="auto"/>
        </w:rPr>
      </w:pPr>
    </w:p>
    <w:p>
      <w:pPr>
        <w:ind w:left="5720"/>
        <w:spacing w:after="0"/>
        <w:tabs>
          <w:tab w:leader="none" w:pos="6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6"/>
    </w:lvl>
  </w:abstractNum>
  <w:abstractNum w:abstractNumId="8">
    <w:nsid w:val="75A2A8D4"/>
    <w:multiLevelType w:val="hybridMultilevel"/>
    <w:lvl w:ilvl="0">
      <w:lvlJc w:val="left"/>
      <w:lvlText w:val="%1."/>
      <w:numFmt w:val="decimal"/>
      <w:start w:val="7"/>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8"/>
    </w:lvl>
  </w:abstractNum>
  <w:abstractNum w:abstractNumId="13">
    <w:nsid w:val="189A769B"/>
    <w:multiLevelType w:val="hybridMultilevel"/>
    <w:lvl w:ilvl="0">
      <w:lvlJc w:val="left"/>
      <w:lvlText w:val="%1."/>
      <w:numFmt w:val="decimal"/>
      <w:start w:val="9"/>
    </w:lvl>
  </w:abstractNum>
  <w:abstractNum w:abstractNumId="14">
    <w:nsid w:val="54E49EB4"/>
    <w:multiLevelType w:val="hybridMultilevel"/>
    <w:lvl w:ilvl="0">
      <w:lvlJc w:val="left"/>
      <w:lvlText w:val="%1."/>
      <w:numFmt w:val="decimal"/>
      <w:start w:val="10"/>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2"/>
    </w:lvl>
  </w:abstractNum>
  <w:abstractNum w:abstractNumId="17">
    <w:nsid w:val="836C40E"/>
    <w:multiLevelType w:val="hybridMultilevel"/>
    <w:lvl w:ilvl="0">
      <w:lvlJc w:val="left"/>
      <w:lvlText w:val="%1."/>
      <w:numFmt w:val="decimal"/>
      <w:start w:val="13"/>
    </w:lvl>
  </w:abstractNum>
  <w:abstractNum w:abstractNumId="18">
    <w:nsid w:val="2901D82"/>
    <w:multiLevelType w:val="hybridMultilevel"/>
    <w:lvl w:ilvl="0">
      <w:lvlJc w:val="left"/>
      <w:lvlText w:val="%1."/>
      <w:numFmt w:val="decimal"/>
      <w:start w:val="14"/>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lowerRoman"/>
      <w:start w:val="1"/>
    </w:lvl>
  </w:abstractNum>
  <w:abstractNum w:abstractNumId="31">
    <w:nsid w:val="440BADFC"/>
    <w:multiLevelType w:val="hybridMultilevel"/>
    <w:lvl w:ilvl="0">
      <w:lvlJc w:val="left"/>
      <w:lvlText w:val="(%1)"/>
      <w:numFmt w:val="lowerLetter"/>
      <w:start w:val="3"/>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32"/>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upperLetter"/>
      <w:start w:val="1"/>
    </w:lvl>
  </w:abstractNum>
  <w:abstractNum w:abstractNumId="36">
    <w:nsid w:val="5C482A97"/>
    <w:multiLevelType w:val="hybridMultilevel"/>
    <w:lvl w:ilvl="0">
      <w:lvlJc w:val="left"/>
      <w:lvlText w:val="%1."/>
      <w:numFmt w:val="upperLetter"/>
      <w:start w:val="5"/>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2019-12-28T12:13:32Z</dcterms:created>
  <dcterms:modified xsi:type="dcterms:W3CDTF">2019-12-28T12:13:32Z</dcterms:modified>
</cp:coreProperties>
</file>