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108585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(Mark One)</w:t>
      </w:r>
    </w:p>
    <w:p>
      <w:pPr>
        <w:spacing w:after="0" w:line="166"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19"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7" w:lineRule="exact"/>
        <w:rPr>
          <w:sz w:val="24"/>
          <w:szCs w:val="24"/>
          <w:color w:val="auto"/>
        </w:rPr>
      </w:pPr>
    </w:p>
    <w:p>
      <w:pPr>
        <w:jc w:val="center"/>
        <w:ind w:right="-19"/>
        <w:spacing w:after="0"/>
        <w:tabs>
          <w:tab w:leader="none" w:pos="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1-37966</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SEACOR Marine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2"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right"/>
              <w:ind w:right="170"/>
              <w:spacing w:after="0"/>
              <w:rPr>
                <w:sz w:val="20"/>
                <w:szCs w:val="20"/>
                <w:color w:val="auto"/>
              </w:rPr>
            </w:pPr>
            <w:r>
              <w:rPr>
                <w:rFonts w:ascii="Arial" w:cs="Arial" w:eastAsia="Arial" w:hAnsi="Arial"/>
                <w:sz w:val="18"/>
                <w:szCs w:val="18"/>
                <w:b w:val="1"/>
                <w:bCs w:val="1"/>
                <w:color w:val="auto"/>
              </w:rPr>
              <w:t>47-2564547</w:t>
            </w:r>
          </w:p>
        </w:tc>
      </w:tr>
      <w:tr>
        <w:trPr>
          <w:trHeight w:val="216"/>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(State or Other Jurisdiction of</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560" w:type="dxa"/>
            <w:vAlign w:val="bottom"/>
          </w:tcPr>
          <w:p>
            <w:pPr>
              <w:jc w:val="center"/>
              <w:ind w:right="1730"/>
              <w:spacing w:after="0"/>
              <w:rPr>
                <w:sz w:val="20"/>
                <w:szCs w:val="20"/>
                <w:color w:val="auto"/>
              </w:rPr>
            </w:pPr>
            <w:r>
              <w:rPr>
                <w:rFonts w:ascii="Arial" w:cs="Arial" w:eastAsia="Arial" w:hAnsi="Arial"/>
                <w:sz w:val="18"/>
                <w:szCs w:val="18"/>
                <w:b w:val="1"/>
                <w:bCs w:val="1"/>
                <w:color w:val="auto"/>
                <w:w w:val="93"/>
              </w:rPr>
              <w:t>Incorporation or Organization)</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2"/>
              </w:rPr>
              <w:t>Identification No.)</w:t>
            </w:r>
          </w:p>
        </w:tc>
      </w:tr>
      <w:tr>
        <w:trPr>
          <w:trHeight w:val="338"/>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12121 Wickchester Lane, Suite 500, Houston, TX</w:t>
            </w:r>
          </w:p>
        </w:tc>
        <w:tc>
          <w:tcPr>
            <w:tcW w:w="3200" w:type="dxa"/>
            <w:vAlign w:val="bottom"/>
          </w:tcPr>
          <w:p>
            <w:pPr>
              <w:jc w:val="right"/>
              <w:ind w:right="390"/>
              <w:spacing w:after="0"/>
              <w:rPr>
                <w:sz w:val="20"/>
                <w:szCs w:val="20"/>
                <w:color w:val="auto"/>
              </w:rPr>
            </w:pPr>
            <w:r>
              <w:rPr>
                <w:rFonts w:ascii="Arial" w:cs="Arial" w:eastAsia="Arial" w:hAnsi="Arial"/>
                <w:sz w:val="18"/>
                <w:szCs w:val="18"/>
                <w:b w:val="1"/>
                <w:bCs w:val="1"/>
                <w:color w:val="auto"/>
              </w:rPr>
              <w:t>77079</w:t>
            </w:r>
          </w:p>
        </w:tc>
      </w:tr>
      <w:tr>
        <w:trPr>
          <w:trHeight w:val="297"/>
        </w:trPr>
        <w:tc>
          <w:tcPr>
            <w:tcW w:w="5560" w:type="dxa"/>
            <w:vAlign w:val="bottom"/>
          </w:tcPr>
          <w:p>
            <w:pPr>
              <w:jc w:val="center"/>
              <w:ind w:right="171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200" w:type="dxa"/>
            <w:vAlign w:val="bottom"/>
          </w:tcPr>
          <w:p>
            <w:pPr>
              <w:jc w:val="center"/>
              <w:ind w:left="1710"/>
              <w:spacing w:after="0"/>
              <w:rPr>
                <w:sz w:val="20"/>
                <w:szCs w:val="20"/>
                <w:color w:val="auto"/>
              </w:rPr>
            </w:pPr>
            <w:r>
              <w:rPr>
                <w:rFonts w:ascii="Arial" w:cs="Arial" w:eastAsia="Arial" w:hAnsi="Arial"/>
                <w:sz w:val="18"/>
                <w:szCs w:val="18"/>
                <w:b w:val="1"/>
                <w:bCs w:val="1"/>
                <w:color w:val="auto"/>
                <w:w w:val="94"/>
              </w:rPr>
              <w:t>(Zip Code)</w:t>
            </w:r>
          </w:p>
        </w:tc>
      </w:tr>
    </w:tbl>
    <w:p>
      <w:pPr>
        <w:spacing w:after="0" w:line="103"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(346) 980-1700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9" w:lineRule="exact"/>
        <w:rPr>
          <w:sz w:val="24"/>
          <w:szCs w:val="24"/>
          <w:color w:val="auto"/>
        </w:rPr>
      </w:pPr>
    </w:p>
    <w:p>
      <w:pPr>
        <w:ind w:left="7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4520" w:type="dxa"/>
            <w:vAlign w:val="bottom"/>
            <w:tcBorders>
              <w:top w:val="single" w:sz="8" w:color="auto"/>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b w:val="1"/>
                <w:bCs w:val="1"/>
                <w:color w:val="auto"/>
                <w:w w:val="87"/>
              </w:rPr>
              <w:t>Title of each class</w:t>
            </w:r>
          </w:p>
        </w:tc>
        <w:tc>
          <w:tcPr>
            <w:tcW w:w="224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Arial" w:cs="Arial" w:eastAsia="Arial" w:hAnsi="Arial"/>
                <w:sz w:val="18"/>
                <w:szCs w:val="18"/>
                <w:b w:val="1"/>
                <w:bCs w:val="1"/>
                <w:color w:val="auto"/>
                <w:w w:val="89"/>
              </w:rPr>
              <w:t>Trading Symbol(s)</w:t>
            </w:r>
          </w:p>
        </w:tc>
        <w:tc>
          <w:tcPr>
            <w:tcW w:w="4480" w:type="dxa"/>
            <w:vAlign w:val="bottom"/>
            <w:tcBorders>
              <w:top w:val="single" w:sz="8" w:color="auto"/>
              <w:right w:val="single" w:sz="8" w:color="auto"/>
            </w:tcBorders>
            <w:gridSpan w:val="3"/>
          </w:tcPr>
          <w:p>
            <w:pPr>
              <w:jc w:val="center"/>
              <w:ind w:right="20"/>
              <w:spacing w:after="0" w:line="189"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580" w:type="dxa"/>
            <w:vAlign w:val="bottom"/>
            <w:tcBorders>
              <w:left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bottom w:val="single" w:sz="8" w:color="auto"/>
              <w:right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r>
      <w:tr>
        <w:trPr>
          <w:trHeight w:val="210"/>
        </w:trPr>
        <w:tc>
          <w:tcPr>
            <w:tcW w:w="452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400" w:type="dxa"/>
            <w:vAlign w:val="bottom"/>
            <w:tcBorders>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gridSpan w:val="2"/>
          </w:tcPr>
          <w:p>
            <w:pPr>
              <w:jc w:val="center"/>
              <w:ind w:right="420"/>
              <w:spacing w:after="0"/>
              <w:rPr>
                <w:sz w:val="20"/>
                <w:szCs w:val="20"/>
                <w:color w:val="auto"/>
              </w:rPr>
            </w:pPr>
            <w:r>
              <w:rPr>
                <w:rFonts w:ascii="Arial" w:cs="Arial" w:eastAsia="Arial" w:hAnsi="Arial"/>
                <w:sz w:val="18"/>
                <w:szCs w:val="18"/>
                <w:color w:val="auto"/>
              </w:rPr>
              <w:t>SMHI</w:t>
            </w:r>
          </w:p>
        </w:tc>
        <w:tc>
          <w:tcPr>
            <w:tcW w:w="560" w:type="dxa"/>
            <w:vAlign w:val="bottom"/>
            <w:tcBorders>
              <w:bottom w:val="single" w:sz="8" w:color="auto"/>
            </w:tcBorders>
          </w:tcPr>
          <w:p>
            <w:pPr>
              <w:spacing w:after="0"/>
              <w:rPr>
                <w:sz w:val="18"/>
                <w:szCs w:val="18"/>
                <w:color w:val="auto"/>
              </w:rPr>
            </w:pPr>
          </w:p>
        </w:tc>
        <w:tc>
          <w:tcPr>
            <w:tcW w:w="3920" w:type="dxa"/>
            <w:vAlign w:val="bottom"/>
            <w:tcBorders>
              <w:bottom w:val="single" w:sz="8" w:color="auto"/>
              <w:right w:val="single" w:sz="8" w:color="auto"/>
            </w:tcBorders>
            <w:gridSpan w:val="2"/>
          </w:tcPr>
          <w:p>
            <w:pPr>
              <w:jc w:val="center"/>
              <w:ind w:right="580"/>
              <w:spacing w:after="0"/>
              <w:rPr>
                <w:sz w:val="20"/>
                <w:szCs w:val="20"/>
                <w:color w:val="auto"/>
              </w:rPr>
            </w:pPr>
            <w:r>
              <w:rPr>
                <w:rFonts w:ascii="Arial" w:cs="Arial" w:eastAsia="Arial" w:hAnsi="Arial"/>
                <w:sz w:val="18"/>
                <w:szCs w:val="18"/>
                <w:color w:val="auto"/>
                <w:w w:val="91"/>
              </w:rPr>
              <w:t>New York Stock Exchange</w:t>
            </w:r>
          </w:p>
        </w:tc>
      </w:tr>
    </w:tbl>
    <w:p>
      <w:pPr>
        <w:spacing w:after="0" w:line="107" w:lineRule="exact"/>
        <w:rPr>
          <w:sz w:val="24"/>
          <w:szCs w:val="24"/>
          <w:color w:val="auto"/>
        </w:rPr>
      </w:pPr>
    </w:p>
    <w:p>
      <w:pPr>
        <w:jc w:val="both"/>
        <w:ind w:firstLine="749"/>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74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749"/>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742" w:right="339" w:bottom="1440" w:gutter="0" w:footer="0" w:header="0"/>
        </w:sectPr>
      </w:pP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spacing w:after="0"/>
        <w:tabs>
          <w:tab w:leader="none" w:pos="3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Emerging growth</w:t>
      </w:r>
    </w:p>
    <w:p>
      <w:pPr>
        <w:spacing w:after="0" w:line="58"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company</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jc w:val="center"/>
        <w:ind w:right="400"/>
        <w:spacing w:after="0" w:line="161" w:lineRule="exact"/>
        <w:rPr>
          <w:sz w:val="20"/>
          <w:szCs w:val="20"/>
          <w:color w:val="auto"/>
        </w:rPr>
      </w:pPr>
      <w:r>
        <w:rPr>
          <w:rFonts w:ascii="MS PGothic" w:cs="MS PGothic" w:eastAsia="MS PGothic" w:hAnsi="MS PGothic"/>
          <w:sz w:val="16"/>
          <w:szCs w:val="16"/>
          <w:color w:val="auto"/>
        </w:rPr>
        <w:t>☒</w:t>
      </w:r>
    </w:p>
    <w:p>
      <w:pPr>
        <w:spacing w:after="0" w:line="426" w:lineRule="exact"/>
        <w:rPr>
          <w:sz w:val="24"/>
          <w:szCs w:val="24"/>
          <w:color w:val="auto"/>
        </w:rPr>
      </w:pPr>
    </w:p>
    <w:p>
      <w:pPr>
        <w:sectPr>
          <w:pgSz w:w="11900" w:h="16838" w:orient="portrait"/>
          <w:cols w:equalWidth="0" w:num="9">
            <w:col w:w="1620" w:space="80"/>
            <w:col w:w="160" w:space="400"/>
            <w:col w:w="1200" w:space="500"/>
            <w:col w:w="160" w:space="400"/>
            <w:col w:w="1520" w:space="160"/>
            <w:col w:w="160" w:space="420"/>
            <w:col w:w="1260" w:space="420"/>
            <w:col w:w="1820" w:space="400"/>
            <w:col w:w="560"/>
          </w:cols>
          <w:pgMar w:left="320" w:top="742" w:right="339" w:bottom="1440" w:gutter="0" w:footer="0" w:header="0"/>
          <w:type w:val="continuous"/>
        </w:sectPr>
      </w:pPr>
    </w:p>
    <w:p>
      <w:pPr>
        <w:ind w:right="20" w:firstLine="749"/>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760"/>
        <w:spacing w:after="0" w:line="207" w:lineRule="exact"/>
        <w:tabs>
          <w:tab w:leader="none" w:pos="96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50" w:lineRule="exact"/>
        <w:rPr>
          <w:sz w:val="24"/>
          <w:szCs w:val="24"/>
          <w:color w:val="auto"/>
        </w:rPr>
      </w:pPr>
    </w:p>
    <w:p>
      <w:pPr>
        <w:ind w:firstLine="749"/>
        <w:spacing w:after="0" w:line="277" w:lineRule="auto"/>
        <w:rPr>
          <w:sz w:val="20"/>
          <w:szCs w:val="20"/>
          <w:color w:val="auto"/>
        </w:rPr>
      </w:pPr>
      <w:r>
        <w:rPr>
          <w:rFonts w:ascii="Arial" w:cs="Arial" w:eastAsia="Arial" w:hAnsi="Arial"/>
          <w:sz w:val="18"/>
          <w:szCs w:val="18"/>
          <w:color w:val="auto"/>
        </w:rPr>
        <w:t>The total number of shares of common stock, par value $.01 per share (“Common Stock”), outstanding as of April 29, 2022 was 26,648,874. The Registrant has no other class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0" w:type="dxa"/>
            <w:vAlign w:val="bottom"/>
            <w:gridSpan w:val="12"/>
          </w:tcPr>
          <w:p>
            <w:pPr>
              <w:jc w:val="center"/>
              <w:ind w:right="3060"/>
              <w:spacing w:after="0"/>
              <w:rPr>
                <w:sz w:val="20"/>
                <w:szCs w:val="20"/>
                <w:color w:val="auto"/>
              </w:rPr>
            </w:pPr>
            <w:r>
              <w:rPr>
                <w:rFonts w:ascii="Arial" w:cs="Arial" w:eastAsia="Arial" w:hAnsi="Arial"/>
                <w:sz w:val="18"/>
                <w:szCs w:val="18"/>
                <w:b w:val="1"/>
                <w:bCs w:val="1"/>
                <w:color w:val="auto"/>
              </w:rPr>
              <w:t>SEACOR MARINE HOLDINGS INC.</w:t>
            </w:r>
          </w:p>
        </w:tc>
        <w:tc>
          <w:tcPr>
            <w:tcW w:w="580" w:type="dxa"/>
            <w:vAlign w:val="bottom"/>
          </w:tcPr>
          <w:p>
            <w:pPr>
              <w:spacing w:after="0"/>
              <w:rPr>
                <w:sz w:val="20"/>
                <w:szCs w:val="20"/>
                <w:color w:val="auto"/>
              </w:rPr>
            </w:pPr>
          </w:p>
        </w:tc>
      </w:tr>
      <w:tr>
        <w:trPr>
          <w:trHeight w:val="391"/>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340" w:type="dxa"/>
            <w:vAlign w:val="bottom"/>
            <w:gridSpan w:val="10"/>
          </w:tcPr>
          <w:p>
            <w:pPr>
              <w:jc w:val="center"/>
              <w:ind w:right="3740"/>
              <w:spacing w:after="0"/>
              <w:rPr>
                <w:sz w:val="20"/>
                <w:szCs w:val="20"/>
                <w:color w:val="auto"/>
              </w:rPr>
            </w:pPr>
            <w:r>
              <w:rPr>
                <w:rFonts w:ascii="Arial" w:cs="Arial" w:eastAsia="Arial" w:hAnsi="Arial"/>
                <w:sz w:val="18"/>
                <w:szCs w:val="18"/>
                <w:b w:val="1"/>
                <w:bCs w:val="1"/>
                <w:color w:val="auto"/>
                <w:w w:val="89"/>
              </w:rPr>
              <w:t>Table of Contents</w:t>
            </w:r>
          </w:p>
        </w:tc>
        <w:tc>
          <w:tcPr>
            <w:tcW w:w="580" w:type="dxa"/>
            <w:vAlign w:val="bottom"/>
          </w:tcPr>
          <w:p>
            <w:pPr>
              <w:spacing w:after="0"/>
              <w:rPr>
                <w:sz w:val="24"/>
                <w:szCs w:val="24"/>
                <w:color w:val="auto"/>
              </w:rPr>
            </w:pPr>
          </w:p>
        </w:tc>
      </w:tr>
      <w:tr>
        <w:trPr>
          <w:trHeight w:val="392"/>
        </w:trPr>
        <w:tc>
          <w:tcPr>
            <w:tcW w:w="920" w:type="dxa"/>
            <w:vAlign w:val="bottom"/>
          </w:tcPr>
          <w:p>
            <w:pPr>
              <w:spacing w:after="0"/>
              <w:rPr>
                <w:sz w:val="20"/>
                <w:szCs w:val="20"/>
                <w:color w:val="auto"/>
              </w:rPr>
            </w:pPr>
            <w:r>
              <w:rPr>
                <w:rFonts w:ascii="Arial" w:cs="Arial" w:eastAsia="Arial" w:hAnsi="Arial"/>
                <w:sz w:val="18"/>
                <w:szCs w:val="18"/>
                <w:color w:val="auto"/>
              </w:rPr>
              <w:t>Part I.</w:t>
            </w:r>
          </w:p>
        </w:tc>
        <w:tc>
          <w:tcPr>
            <w:tcW w:w="164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Financial Information</w:t>
              </w:r>
            </w:hyperlink>
          </w:p>
        </w:tc>
        <w:tc>
          <w:tcPr>
            <w:tcW w:w="8100" w:type="dxa"/>
            <w:vAlign w:val="bottom"/>
            <w:gridSpan w:val="1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7"/>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34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March 31, 2022 and December 31, 2021</w:t>
              </w:r>
            </w:hyperlink>
          </w:p>
        </w:tc>
        <w:tc>
          <w:tcPr>
            <w:tcW w:w="248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9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Income (Loss) for the Three Months Ended March 31, 2022 and 2021</w:t>
              </w:r>
            </w:hyperlink>
          </w:p>
        </w:tc>
        <w:tc>
          <w:tcPr>
            <w:tcW w:w="860" w:type="dxa"/>
            <w:vAlign w:val="bottom"/>
            <w:gridSpan w:val="3"/>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3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(Loss) for the Three Months Ended March 31, 2022</w:t>
              </w:r>
            </w:hyperlink>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196"/>
        </w:trPr>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760" w:type="dxa"/>
            <w:vAlign w:val="bottom"/>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2021</w:t>
              </w:r>
            </w:hyperlink>
          </w:p>
        </w:tc>
        <w:tc>
          <w:tcPr>
            <w:tcW w:w="5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18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Changes in Equity for the Three Months Ended March 31, 2022 and 2021</w:t>
              </w:r>
            </w:hyperlink>
          </w:p>
        </w:tc>
        <w:tc>
          <w:tcPr>
            <w:tcW w:w="58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7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Three Months Ended March 31, 2022 and 2021</w:t>
              </w:r>
            </w:hyperlink>
          </w:p>
        </w:tc>
        <w:tc>
          <w:tcPr>
            <w:tcW w:w="106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4760" w:type="dxa"/>
            <w:vAlign w:val="bottom"/>
            <w:gridSpan w:val="9"/>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Management’s Discussion and Analysis of Financial Condition and Results of Operations</w:t>
              </w:r>
            </w:hyperlink>
          </w:p>
        </w:tc>
        <w:tc>
          <w:tcPr>
            <w:tcW w:w="230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Quantitative and Qualitative Disclosures About Market Risk</w:t>
              </w:r>
            </w:hyperlink>
          </w:p>
        </w:tc>
        <w:tc>
          <w:tcPr>
            <w:tcW w:w="440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8760" w:type="dxa"/>
            <w:vAlign w:val="bottom"/>
            <w:gridSpan w:val="18"/>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Part II.</w:t>
            </w:r>
          </w:p>
        </w:tc>
        <w:tc>
          <w:tcPr>
            <w:tcW w:w="13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Other Information</w:t>
              </w:r>
            </w:hyperlink>
          </w:p>
        </w:tc>
        <w:tc>
          <w:tcPr>
            <w:tcW w:w="8420" w:type="dxa"/>
            <w:vAlign w:val="bottom"/>
            <w:gridSpan w:val="1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42">
              <w:r>
                <w:rPr>
                  <w:rFonts w:ascii="Arial" w:cs="Arial" w:eastAsia="Arial" w:hAnsi="Arial"/>
                  <w:sz w:val="18"/>
                  <w:szCs w:val="18"/>
                  <w:color w:val="0000EE"/>
                  <w:w w:val="88"/>
                </w:rPr>
                <w:t>Legal Proceedings</w:t>
              </w:r>
            </w:hyperlink>
          </w:p>
        </w:tc>
        <w:tc>
          <w:tcPr>
            <w:tcW w:w="7420" w:type="dxa"/>
            <w:vAlign w:val="bottom"/>
            <w:gridSpan w:val="1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1A.</w:t>
            </w:r>
          </w:p>
        </w:tc>
        <w:tc>
          <w:tcPr>
            <w:tcW w:w="876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442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2.</w:t>
            </w:r>
          </w:p>
        </w:tc>
        <w:tc>
          <w:tcPr>
            <w:tcW w:w="876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7"/>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3.</w:t>
            </w:r>
          </w:p>
        </w:tc>
        <w:tc>
          <w:tcPr>
            <w:tcW w:w="22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Default Upon Senior Securities</w:t>
              </w:r>
            </w:hyperlink>
          </w:p>
        </w:tc>
        <w:tc>
          <w:tcPr>
            <w:tcW w:w="2080" w:type="dxa"/>
            <w:vAlign w:val="bottom"/>
            <w:tcBorders>
              <w:top w:val="single" w:sz="8" w:color="0000EE"/>
            </w:tcBorders>
            <w:gridSpan w:val="3"/>
          </w:tcPr>
          <w:p>
            <w:pPr>
              <w:spacing w:after="0"/>
              <w:rPr>
                <w:sz w:val="24"/>
                <w:szCs w:val="24"/>
                <w:color w:val="auto"/>
              </w:rPr>
            </w:pPr>
          </w:p>
        </w:tc>
        <w:tc>
          <w:tcPr>
            <w:tcW w:w="4420" w:type="dxa"/>
            <w:vAlign w:val="bottom"/>
            <w:gridSpan w:val="8"/>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4.</w:t>
            </w:r>
          </w:p>
        </w:tc>
        <w:tc>
          <w:tcPr>
            <w:tcW w:w="8760" w:type="dxa"/>
            <w:vAlign w:val="bottom"/>
            <w:gridSpan w:val="1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Mine Safety Disclosures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7000" w:type="dxa"/>
            <w:vAlign w:val="bottom"/>
            <w:gridSpan w:val="1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8"/>
        </w:trPr>
        <w:tc>
          <w:tcPr>
            <w:tcW w:w="9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rPr>
              <w:t>Item 6.</w:t>
            </w:r>
          </w:p>
        </w:tc>
        <w:tc>
          <w:tcPr>
            <w:tcW w:w="66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Exhibits</w:t>
              </w:r>
            </w:hyperlink>
          </w:p>
        </w:tc>
        <w:tc>
          <w:tcPr>
            <w:tcW w:w="8100" w:type="dxa"/>
            <w:vAlign w:val="bottom"/>
            <w:gridSpan w:val="1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PART I—FINANCIAL INFORMATION</w:t>
      </w:r>
    </w:p>
    <w:p>
      <w:pPr>
        <w:spacing w:after="0" w:line="14"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22"/>
          <w:szCs w:val="22"/>
          <w:b w:val="1"/>
          <w:bCs w:val="1"/>
          <w:color w:val="auto"/>
        </w:rPr>
        <w:t>FINANCIAL STATEMENTS</w:t>
      </w:r>
    </w:p>
    <w:p>
      <w:pPr>
        <w:spacing w:after="0" w:line="7" w:lineRule="exact"/>
        <w:rPr>
          <w:sz w:val="20"/>
          <w:szCs w:val="20"/>
          <w:color w:val="auto"/>
        </w:rPr>
      </w:pPr>
    </w:p>
    <w:p>
      <w:pPr>
        <w:jc w:val="center"/>
        <w:spacing w:after="0" w:line="243" w:lineRule="auto"/>
        <w:rPr>
          <w:sz w:val="20"/>
          <w:szCs w:val="20"/>
          <w:color w:val="auto"/>
        </w:rPr>
      </w:pPr>
      <w:r>
        <w:rPr>
          <w:rFonts w:ascii="Arial" w:cs="Arial" w:eastAsia="Arial" w:hAnsi="Arial"/>
          <w:sz w:val="22"/>
          <w:szCs w:val="22"/>
          <w:b w:val="1"/>
          <w:bCs w:val="1"/>
          <w:color w:val="auto"/>
        </w:rPr>
        <w:t>SEACOR MARINE HOLDINGS INC. UNAUDITED CONDENSED CONSOLIDATED BALANCE SHEETS (in thousands, except share data)</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auto"/>
              </w:rPr>
              <w:t>March 31, 2022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2"/>
              </w:rPr>
              <w:t>December 31, 2021</w:t>
            </w:r>
          </w:p>
        </w:tc>
      </w:tr>
      <w:tr>
        <w:trPr>
          <w:trHeight w:val="142"/>
        </w:trPr>
        <w:tc>
          <w:tcPr>
            <w:tcW w:w="7820" w:type="dxa"/>
            <w:vAlign w:val="bottom"/>
            <w:tcBorders>
              <w:top w:val="single" w:sz="8" w:color="CFF0FC"/>
            </w:tcBorders>
            <w:shd w:val="clear" w:color="auto" w:fill="CFF0FC"/>
          </w:tcPr>
          <w:p>
            <w:pPr>
              <w:ind w:left="3580"/>
              <w:spacing w:after="0" w:line="142" w:lineRule="exact"/>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r>
      <w:tr>
        <w:trPr>
          <w:trHeight w:val="148"/>
        </w:trPr>
        <w:tc>
          <w:tcPr>
            <w:tcW w:w="7820" w:type="dxa"/>
            <w:vAlign w:val="bottom"/>
          </w:tcPr>
          <w:p>
            <w:pPr>
              <w:spacing w:after="0"/>
              <w:rPr>
                <w:sz w:val="20"/>
                <w:szCs w:val="20"/>
                <w:color w:val="auto"/>
              </w:rPr>
            </w:pPr>
            <w:r>
              <w:rPr>
                <w:rFonts w:ascii="Arial" w:cs="Arial" w:eastAsia="Arial" w:hAnsi="Arial"/>
                <w:sz w:val="13"/>
                <w:szCs w:val="13"/>
                <w:color w:val="auto"/>
              </w:rPr>
              <w:t>Current Assets:</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36,315</w:t>
            </w:r>
          </w:p>
        </w:tc>
        <w:tc>
          <w:tcPr>
            <w:tcW w:w="16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37,619</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Restricted cash</w:t>
            </w:r>
          </w:p>
        </w:tc>
        <w:tc>
          <w:tcPr>
            <w:tcW w:w="1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3,596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3,601</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Receivables:</w:t>
            </w: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500"/>
              <w:spacing w:after="0"/>
              <w:rPr>
                <w:sz w:val="20"/>
                <w:szCs w:val="20"/>
                <w:color w:val="auto"/>
              </w:rPr>
            </w:pPr>
            <w:r>
              <w:rPr>
                <w:rFonts w:ascii="Arial" w:cs="Arial" w:eastAsia="Arial" w:hAnsi="Arial"/>
                <w:sz w:val="13"/>
                <w:szCs w:val="13"/>
                <w:color w:val="auto"/>
              </w:rPr>
              <w:t>Trade, net of allowance for credit loss accounts of $1,142 and $1,312 in 2022 and 2021, respectively</w:t>
            </w:r>
          </w:p>
        </w:tc>
        <w:tc>
          <w:tcPr>
            <w:tcW w:w="1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49,238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55,544</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Other</w:t>
            </w: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8,799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6,118</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ind w:left="260"/>
              <w:spacing w:after="0"/>
              <w:rPr>
                <w:sz w:val="20"/>
                <w:szCs w:val="20"/>
                <w:color w:val="auto"/>
              </w:rPr>
            </w:pPr>
            <w:r>
              <w:rPr>
                <w:rFonts w:ascii="Arial" w:cs="Arial" w:eastAsia="Arial" w:hAnsi="Arial"/>
                <w:sz w:val="13"/>
                <w:szCs w:val="13"/>
                <w:color w:val="auto"/>
              </w:rPr>
              <w:t>Tax receivable</w:t>
            </w:r>
          </w:p>
        </w:tc>
        <w:tc>
          <w:tcPr>
            <w:tcW w:w="1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1,238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1,238</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Inventories</w:t>
            </w: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928</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Prepaid expenses and other</w:t>
            </w: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3,724</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3,730</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shd w:val="clear" w:color="auto" w:fill="CFF0FC"/>
          </w:tcPr>
          <w:p>
            <w:pPr>
              <w:ind w:left="500"/>
              <w:spacing w:after="0" w:line="141" w:lineRule="exact"/>
              <w:rPr>
                <w:sz w:val="20"/>
                <w:szCs w:val="20"/>
                <w:color w:val="auto"/>
              </w:rPr>
            </w:pPr>
            <w:r>
              <w:rPr>
                <w:rFonts w:ascii="Arial" w:cs="Arial" w:eastAsia="Arial" w:hAnsi="Arial"/>
                <w:sz w:val="13"/>
                <w:szCs w:val="13"/>
                <w:color w:val="auto"/>
              </w:rPr>
              <w:t>Total current assets</w:t>
            </w:r>
          </w:p>
        </w:tc>
        <w:tc>
          <w:tcPr>
            <w:tcW w:w="1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104,207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108,778</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Pr>
          <w:p>
            <w:pPr>
              <w:spacing w:after="0" w:line="142" w:lineRule="exact"/>
              <w:rPr>
                <w:sz w:val="20"/>
                <w:szCs w:val="20"/>
                <w:color w:val="auto"/>
              </w:rPr>
            </w:pPr>
            <w:r>
              <w:rPr>
                <w:rFonts w:ascii="Arial" w:cs="Arial" w:eastAsia="Arial" w:hAnsi="Arial"/>
                <w:sz w:val="13"/>
                <w:szCs w:val="13"/>
                <w:color w:val="auto"/>
              </w:rPr>
              <w:t>Property and Equipment:</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Historical cost</w:t>
            </w: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1,006,873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1,025,284</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Accumulated depreciation</w:t>
            </w:r>
          </w:p>
        </w:tc>
        <w:tc>
          <w:tcPr>
            <w:tcW w:w="180" w:type="dxa"/>
            <w:vAlign w:val="bottom"/>
          </w:tcPr>
          <w:p>
            <w:pPr>
              <w:spacing w:after="0"/>
              <w:rPr>
                <w:sz w:val="12"/>
                <w:szCs w:val="12"/>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color w:val="auto"/>
              </w:rPr>
              <w:t>(316,444)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(317,297)</w:t>
            </w:r>
          </w:p>
        </w:tc>
      </w:tr>
      <w:tr>
        <w:trPr>
          <w:trHeight w:val="142"/>
        </w:trPr>
        <w:tc>
          <w:tcPr>
            <w:tcW w:w="78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690,429</w:t>
            </w: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3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707,987</w:t>
            </w:r>
          </w:p>
        </w:tc>
        <w:tc>
          <w:tcPr>
            <w:tcW w:w="120" w:type="dxa"/>
            <w:vAlign w:val="bottom"/>
            <w:tcBorders>
              <w:top w:val="single" w:sz="8" w:color="CFF0FC"/>
            </w:tcBorders>
            <w:shd w:val="clear" w:color="auto" w:fill="CFF0FC"/>
          </w:tcPr>
          <w:p>
            <w:pPr>
              <w:spacing w:after="0"/>
              <w:rPr>
                <w:sz w:val="12"/>
                <w:szCs w:val="12"/>
                <w:color w:val="auto"/>
              </w:rPr>
            </w:pPr>
          </w:p>
        </w:tc>
      </w:tr>
      <w:tr>
        <w:trPr>
          <w:trHeight w:val="149"/>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Construction in progress</w:t>
            </w: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15,550</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15,531</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shd w:val="clear" w:color="auto" w:fill="CFF0FC"/>
          </w:tcPr>
          <w:p>
            <w:pPr>
              <w:ind w:left="260"/>
              <w:spacing w:after="0" w:line="142" w:lineRule="exact"/>
              <w:rPr>
                <w:sz w:val="20"/>
                <w:szCs w:val="20"/>
                <w:color w:val="auto"/>
              </w:rPr>
            </w:pPr>
            <w:r>
              <w:rPr>
                <w:rFonts w:ascii="Arial" w:cs="Arial" w:eastAsia="Arial" w:hAnsi="Arial"/>
                <w:sz w:val="13"/>
                <w:szCs w:val="13"/>
                <w:color w:val="auto"/>
              </w:rPr>
              <w:t>Net property and equipment</w:t>
            </w:r>
          </w:p>
        </w:tc>
        <w:tc>
          <w:tcPr>
            <w:tcW w:w="1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705,979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723,518</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Pr>
          <w:p>
            <w:pPr>
              <w:spacing w:after="0" w:line="142" w:lineRule="exact"/>
              <w:rPr>
                <w:sz w:val="20"/>
                <w:szCs w:val="20"/>
                <w:color w:val="auto"/>
              </w:rPr>
            </w:pPr>
            <w:r>
              <w:rPr>
                <w:rFonts w:ascii="Arial" w:cs="Arial" w:eastAsia="Arial" w:hAnsi="Arial"/>
                <w:sz w:val="13"/>
                <w:szCs w:val="13"/>
                <w:color w:val="auto"/>
              </w:rPr>
              <w:t>Right-of-use asset - operating leases</w:t>
            </w:r>
          </w:p>
        </w:tc>
        <w:tc>
          <w:tcPr>
            <w:tcW w:w="18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6,238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6,608</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spacing w:after="0"/>
              <w:rPr>
                <w:sz w:val="20"/>
                <w:szCs w:val="20"/>
                <w:color w:val="auto"/>
              </w:rPr>
            </w:pPr>
            <w:r>
              <w:rPr>
                <w:rFonts w:ascii="Arial" w:cs="Arial" w:eastAsia="Arial" w:hAnsi="Arial"/>
                <w:sz w:val="13"/>
                <w:szCs w:val="13"/>
                <w:color w:val="auto"/>
              </w:rPr>
              <w:t>Right-of-use asset - finance leases</w:t>
            </w: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7,290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spacing w:after="0"/>
              <w:rPr>
                <w:sz w:val="20"/>
                <w:szCs w:val="20"/>
                <w:color w:val="auto"/>
              </w:rPr>
            </w:pPr>
            <w:r>
              <w:rPr>
                <w:rFonts w:ascii="Arial" w:cs="Arial" w:eastAsia="Arial" w:hAnsi="Arial"/>
                <w:sz w:val="13"/>
                <w:szCs w:val="13"/>
                <w:color w:val="auto"/>
              </w:rPr>
              <w:t>Investments, at equity, and advances to 50% or less owned companies</w:t>
            </w:r>
          </w:p>
        </w:tc>
        <w:tc>
          <w:tcPr>
            <w:tcW w:w="1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76,860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71,727</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spacing w:after="0"/>
              <w:rPr>
                <w:sz w:val="20"/>
                <w:szCs w:val="20"/>
                <w:color w:val="auto"/>
              </w:rPr>
            </w:pPr>
            <w:r>
              <w:rPr>
                <w:rFonts w:ascii="Arial" w:cs="Arial" w:eastAsia="Arial" w:hAnsi="Arial"/>
                <w:sz w:val="13"/>
                <w:szCs w:val="13"/>
                <w:color w:val="auto"/>
              </w:rPr>
              <w:t>Other assets</w:t>
            </w:r>
          </w:p>
        </w:tc>
        <w:tc>
          <w:tcPr>
            <w:tcW w:w="1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2,057</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1,771</w:t>
            </w:r>
          </w:p>
        </w:tc>
        <w:tc>
          <w:tcPr>
            <w:tcW w:w="120" w:type="dxa"/>
            <w:vAlign w:val="bottom"/>
            <w:shd w:val="clear" w:color="auto" w:fill="CFF0FC"/>
          </w:tcPr>
          <w:p>
            <w:pPr>
              <w:spacing w:after="0"/>
              <w:rPr>
                <w:sz w:val="12"/>
                <w:szCs w:val="12"/>
                <w:color w:val="auto"/>
              </w:rPr>
            </w:pPr>
          </w:p>
        </w:tc>
      </w:tr>
      <w:tr>
        <w:trPr>
          <w:trHeight w:val="182"/>
        </w:trPr>
        <w:tc>
          <w:tcPr>
            <w:tcW w:w="782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Total assets</w:t>
            </w: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902,631</w:t>
            </w:r>
          </w:p>
        </w:tc>
        <w:tc>
          <w:tcPr>
            <w:tcW w:w="16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912,502</w:t>
            </w:r>
          </w:p>
        </w:tc>
        <w:tc>
          <w:tcPr>
            <w:tcW w:w="120" w:type="dxa"/>
            <w:vAlign w:val="bottom"/>
            <w:tcBorders>
              <w:bottom w:val="single" w:sz="8" w:color="CFF0FC"/>
            </w:tcBorders>
          </w:tcPr>
          <w:p>
            <w:pPr>
              <w:spacing w:after="0"/>
              <w:rPr>
                <w:sz w:val="15"/>
                <w:szCs w:val="15"/>
                <w:color w:val="auto"/>
              </w:rPr>
            </w:pPr>
          </w:p>
        </w:tc>
      </w:tr>
      <w:tr>
        <w:trPr>
          <w:trHeight w:val="129"/>
        </w:trPr>
        <w:tc>
          <w:tcPr>
            <w:tcW w:w="7820" w:type="dxa"/>
            <w:vAlign w:val="bottom"/>
            <w:shd w:val="clear" w:color="auto" w:fill="CFF0FC"/>
          </w:tcPr>
          <w:p>
            <w:pPr>
              <w:ind w:left="3020"/>
              <w:spacing w:after="0" w:line="129" w:lineRule="exact"/>
              <w:rPr>
                <w:sz w:val="20"/>
                <w:szCs w:val="20"/>
                <w:color w:val="auto"/>
              </w:rPr>
            </w:pPr>
            <w:r>
              <w:rPr>
                <w:rFonts w:ascii="Arial" w:cs="Arial" w:eastAsia="Arial" w:hAnsi="Arial"/>
                <w:sz w:val="13"/>
                <w:szCs w:val="13"/>
                <w:b w:val="1"/>
                <w:bCs w:val="1"/>
                <w:color w:val="auto"/>
              </w:rPr>
              <w:t>LIABILITIES AND EQUITY</w:t>
            </w:r>
          </w:p>
        </w:tc>
        <w:tc>
          <w:tcPr>
            <w:tcW w:w="180" w:type="dxa"/>
            <w:vAlign w:val="bottom"/>
            <w:shd w:val="clear" w:color="auto" w:fill="CFF0FC"/>
          </w:tcPr>
          <w:p>
            <w:pPr>
              <w:spacing w:after="0"/>
              <w:rPr>
                <w:sz w:val="11"/>
                <w:szCs w:val="11"/>
                <w:color w:val="auto"/>
              </w:rPr>
            </w:pPr>
          </w:p>
        </w:tc>
        <w:tc>
          <w:tcPr>
            <w:tcW w:w="13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3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48"/>
        </w:trPr>
        <w:tc>
          <w:tcPr>
            <w:tcW w:w="7820" w:type="dxa"/>
            <w:vAlign w:val="bottom"/>
          </w:tcPr>
          <w:p>
            <w:pPr>
              <w:spacing w:after="0"/>
              <w:rPr>
                <w:sz w:val="20"/>
                <w:szCs w:val="20"/>
                <w:color w:val="auto"/>
              </w:rPr>
            </w:pPr>
            <w:r>
              <w:rPr>
                <w:rFonts w:ascii="Arial" w:cs="Arial" w:eastAsia="Arial" w:hAnsi="Arial"/>
                <w:sz w:val="13"/>
                <w:szCs w:val="13"/>
                <w:color w:val="auto"/>
              </w:rPr>
              <w:t>Current Liabilities:</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Current portion of operating lease liabilities</w:t>
            </w:r>
          </w:p>
        </w:tc>
        <w:tc>
          <w:tcPr>
            <w:tcW w:w="180" w:type="dxa"/>
            <w:vAlign w:val="bottom"/>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2,073</w:t>
            </w:r>
          </w:p>
        </w:tc>
        <w:tc>
          <w:tcPr>
            <w:tcW w:w="16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48"/>
              <w:spacing w:after="0"/>
              <w:rPr>
                <w:sz w:val="20"/>
                <w:szCs w:val="20"/>
                <w:color w:val="auto"/>
              </w:rPr>
            </w:pPr>
            <w:r>
              <w:rPr>
                <w:rFonts w:ascii="Arial" w:cs="Arial" w:eastAsia="Arial" w:hAnsi="Arial"/>
                <w:sz w:val="13"/>
                <w:szCs w:val="13"/>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1,986</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ind w:left="260"/>
              <w:spacing w:after="0"/>
              <w:rPr>
                <w:sz w:val="20"/>
                <w:szCs w:val="20"/>
                <w:color w:val="auto"/>
              </w:rPr>
            </w:pPr>
            <w:r>
              <w:rPr>
                <w:rFonts w:ascii="Arial" w:cs="Arial" w:eastAsia="Arial" w:hAnsi="Arial"/>
                <w:sz w:val="13"/>
                <w:szCs w:val="13"/>
                <w:color w:val="auto"/>
              </w:rPr>
              <w:t>Current portion of financing lease liabilities</w:t>
            </w:r>
          </w:p>
        </w:tc>
        <w:tc>
          <w:tcPr>
            <w:tcW w:w="1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190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33</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Current portion of long-term debt:</w:t>
            </w: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500"/>
              <w:spacing w:after="0"/>
              <w:rPr>
                <w:sz w:val="20"/>
                <w:szCs w:val="20"/>
                <w:color w:val="auto"/>
              </w:rPr>
            </w:pPr>
            <w:r>
              <w:rPr>
                <w:rFonts w:ascii="Arial" w:cs="Arial" w:eastAsia="Arial" w:hAnsi="Arial"/>
                <w:sz w:val="13"/>
                <w:szCs w:val="13"/>
                <w:color w:val="auto"/>
              </w:rPr>
              <w:t>Recourse</w:t>
            </w:r>
          </w:p>
        </w:tc>
        <w:tc>
          <w:tcPr>
            <w:tcW w:w="1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32,708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31,602</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payable and accrued expenses</w:t>
            </w: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32,585</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28,419</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ind w:left="260"/>
              <w:spacing w:after="0"/>
              <w:rPr>
                <w:sz w:val="20"/>
                <w:szCs w:val="20"/>
                <w:color w:val="auto"/>
              </w:rPr>
            </w:pPr>
            <w:r>
              <w:rPr>
                <w:rFonts w:ascii="Arial" w:cs="Arial" w:eastAsia="Arial" w:hAnsi="Arial"/>
                <w:sz w:val="13"/>
                <w:szCs w:val="13"/>
                <w:color w:val="auto"/>
              </w:rPr>
              <w:t>Due to SEACOR Holdings</w:t>
            </w:r>
          </w:p>
        </w:tc>
        <w:tc>
          <w:tcPr>
            <w:tcW w:w="1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wages and benefits</w:t>
            </w: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4,163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3,711</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ind w:left="260"/>
              <w:spacing w:after="0"/>
              <w:rPr>
                <w:sz w:val="20"/>
                <w:szCs w:val="20"/>
                <w:color w:val="auto"/>
              </w:rPr>
            </w:pPr>
            <w:r>
              <w:rPr>
                <w:rFonts w:ascii="Arial" w:cs="Arial" w:eastAsia="Arial" w:hAnsi="Arial"/>
                <w:sz w:val="13"/>
                <w:szCs w:val="13"/>
                <w:color w:val="auto"/>
              </w:rPr>
              <w:t>Accrued interest</w:t>
            </w:r>
          </w:p>
        </w:tc>
        <w:tc>
          <w:tcPr>
            <w:tcW w:w="1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3,819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2,273</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revenue and unearned revenue</w:t>
            </w: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1,606</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Accrued capital, repair, and maintenance expenditures</w:t>
            </w:r>
          </w:p>
        </w:tc>
        <w:tc>
          <w:tcPr>
            <w:tcW w:w="1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4,846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2,438</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insurance deductibles and premiums</w:t>
            </w: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2,812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2,720</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Accrued professional fees</w:t>
            </w:r>
          </w:p>
        </w:tc>
        <w:tc>
          <w:tcPr>
            <w:tcW w:w="1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1,102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1,214</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Derivatives</w:t>
            </w: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1,831</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Other current liabilities</w:t>
            </w: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5,366</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6,558</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shd w:val="clear" w:color="auto" w:fill="CFF0FC"/>
          </w:tcPr>
          <w:p>
            <w:pPr>
              <w:ind w:left="500"/>
              <w:spacing w:after="0" w:line="141" w:lineRule="exact"/>
              <w:rPr>
                <w:sz w:val="20"/>
                <w:szCs w:val="20"/>
                <w:color w:val="auto"/>
              </w:rPr>
            </w:pPr>
            <w:r>
              <w:rPr>
                <w:rFonts w:ascii="Arial" w:cs="Arial" w:eastAsia="Arial" w:hAnsi="Arial"/>
                <w:sz w:val="13"/>
                <w:szCs w:val="13"/>
                <w:color w:val="auto"/>
              </w:rPr>
              <w:t>Total current liabilities</w:t>
            </w:r>
          </w:p>
        </w:tc>
        <w:tc>
          <w:tcPr>
            <w:tcW w:w="1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91,543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84,665</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Pr>
          <w:p>
            <w:pPr>
              <w:spacing w:after="0" w:line="142" w:lineRule="exact"/>
              <w:rPr>
                <w:sz w:val="20"/>
                <w:szCs w:val="20"/>
                <w:color w:val="auto"/>
              </w:rPr>
            </w:pPr>
            <w:r>
              <w:rPr>
                <w:rFonts w:ascii="Arial" w:cs="Arial" w:eastAsia="Arial" w:hAnsi="Arial"/>
                <w:sz w:val="13"/>
                <w:szCs w:val="13"/>
                <w:color w:val="auto"/>
              </w:rPr>
              <w:t>Long-term operating lease liabilities</w:t>
            </w:r>
          </w:p>
        </w:tc>
        <w:tc>
          <w:tcPr>
            <w:tcW w:w="18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4,420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4,885</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spacing w:after="0"/>
              <w:rPr>
                <w:sz w:val="20"/>
                <w:szCs w:val="20"/>
                <w:color w:val="auto"/>
              </w:rPr>
            </w:pPr>
            <w:r>
              <w:rPr>
                <w:rFonts w:ascii="Arial" w:cs="Arial" w:eastAsia="Arial" w:hAnsi="Arial"/>
                <w:sz w:val="13"/>
                <w:szCs w:val="13"/>
                <w:color w:val="auto"/>
              </w:rPr>
              <w:t>Long-term financing lease liabilities</w:t>
            </w: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7,183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w:t>
            </w:r>
          </w:p>
        </w:tc>
        <w:tc>
          <w:tcPr>
            <w:tcW w:w="120" w:type="dxa"/>
            <w:vAlign w:val="bottom"/>
            <w:shd w:val="clear" w:color="auto" w:fill="CFF0FC"/>
          </w:tcPr>
          <w:p>
            <w:pPr>
              <w:spacing w:after="0"/>
              <w:rPr>
                <w:sz w:val="12"/>
                <w:szCs w:val="12"/>
                <w:color w:val="auto"/>
              </w:rPr>
            </w:pPr>
          </w:p>
        </w:tc>
      </w:tr>
      <w:tr>
        <w:trPr>
          <w:trHeight w:val="148"/>
        </w:trPr>
        <w:tc>
          <w:tcPr>
            <w:tcW w:w="7820" w:type="dxa"/>
            <w:vAlign w:val="bottom"/>
          </w:tcPr>
          <w:p>
            <w:pPr>
              <w:spacing w:after="0"/>
              <w:rPr>
                <w:sz w:val="20"/>
                <w:szCs w:val="20"/>
                <w:color w:val="auto"/>
              </w:rPr>
            </w:pPr>
            <w:r>
              <w:rPr>
                <w:rFonts w:ascii="Arial" w:cs="Arial" w:eastAsia="Arial" w:hAnsi="Arial"/>
                <w:sz w:val="13"/>
                <w:szCs w:val="13"/>
                <w:color w:val="auto"/>
              </w:rPr>
              <w:t>Long-term Debt:</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Recourse</w:t>
            </w: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320,796</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327,300</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ind w:left="260"/>
              <w:spacing w:after="0"/>
              <w:rPr>
                <w:sz w:val="20"/>
                <w:szCs w:val="20"/>
                <w:color w:val="auto"/>
              </w:rPr>
            </w:pPr>
            <w:r>
              <w:rPr>
                <w:rFonts w:ascii="Arial" w:cs="Arial" w:eastAsia="Arial" w:hAnsi="Arial"/>
                <w:sz w:val="13"/>
                <w:szCs w:val="13"/>
                <w:color w:val="auto"/>
              </w:rPr>
              <w:t>Non-recourse</w:t>
            </w:r>
          </w:p>
        </w:tc>
        <w:tc>
          <w:tcPr>
            <w:tcW w:w="1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5,468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5,462</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spacing w:after="0"/>
              <w:rPr>
                <w:sz w:val="20"/>
                <w:szCs w:val="20"/>
                <w:color w:val="auto"/>
              </w:rPr>
            </w:pPr>
            <w:r>
              <w:rPr>
                <w:rFonts w:ascii="Arial" w:cs="Arial" w:eastAsia="Arial" w:hAnsi="Arial"/>
                <w:sz w:val="13"/>
                <w:szCs w:val="13"/>
                <w:color w:val="auto"/>
              </w:rPr>
              <w:t>Conversion option liability on convertible senior notes</w:t>
            </w: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r>
      <w:tr>
        <w:trPr>
          <w:trHeight w:val="149"/>
        </w:trPr>
        <w:tc>
          <w:tcPr>
            <w:tcW w:w="7820" w:type="dxa"/>
            <w:vAlign w:val="bottom"/>
          </w:tcPr>
          <w:p>
            <w:pPr>
              <w:spacing w:after="0"/>
              <w:rPr>
                <w:sz w:val="20"/>
                <w:szCs w:val="20"/>
                <w:color w:val="auto"/>
              </w:rPr>
            </w:pPr>
            <w:r>
              <w:rPr>
                <w:rFonts w:ascii="Arial" w:cs="Arial" w:eastAsia="Arial" w:hAnsi="Arial"/>
                <w:sz w:val="13"/>
                <w:szCs w:val="13"/>
                <w:color w:val="auto"/>
              </w:rPr>
              <w:t>Deferred income taxes</w:t>
            </w:r>
          </w:p>
        </w:tc>
        <w:tc>
          <w:tcPr>
            <w:tcW w:w="1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37,153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40,682</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spacing w:after="0"/>
              <w:rPr>
                <w:sz w:val="20"/>
                <w:szCs w:val="20"/>
                <w:color w:val="auto"/>
              </w:rPr>
            </w:pPr>
            <w:r>
              <w:rPr>
                <w:rFonts w:ascii="Arial" w:cs="Arial" w:eastAsia="Arial" w:hAnsi="Arial"/>
                <w:sz w:val="13"/>
                <w:szCs w:val="13"/>
                <w:color w:val="auto"/>
              </w:rPr>
              <w:t>Deferred gains and other liabilities</w:t>
            </w:r>
          </w:p>
        </w:tc>
        <w:tc>
          <w:tcPr>
            <w:tcW w:w="1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2,990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2,891</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Total liabilities</w:t>
            </w: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469,587</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465,961</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shd w:val="clear" w:color="auto" w:fill="CFF0FC"/>
          </w:tcPr>
          <w:p>
            <w:pPr>
              <w:spacing w:after="0" w:line="142" w:lineRule="exact"/>
              <w:rPr>
                <w:sz w:val="20"/>
                <w:szCs w:val="20"/>
                <w:color w:val="auto"/>
              </w:rPr>
            </w:pPr>
            <w:r>
              <w:rPr>
                <w:rFonts w:ascii="Arial" w:cs="Arial" w:eastAsia="Arial" w:hAnsi="Arial"/>
                <w:sz w:val="13"/>
                <w:szCs w:val="13"/>
                <w:color w:val="auto"/>
              </w:rPr>
              <w:t>Equity:</w:t>
            </w: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ind w:left="260"/>
              <w:spacing w:after="0"/>
              <w:rPr>
                <w:sz w:val="20"/>
                <w:szCs w:val="20"/>
                <w:color w:val="auto"/>
              </w:rPr>
            </w:pPr>
            <w:r>
              <w:rPr>
                <w:rFonts w:ascii="Arial" w:cs="Arial" w:eastAsia="Arial" w:hAnsi="Arial"/>
                <w:sz w:val="13"/>
                <w:szCs w:val="13"/>
                <w:color w:val="auto"/>
              </w:rPr>
              <w:t>SEACOR Marine Holdings Inc. stockholders’ equity:</w:t>
            </w: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w w:val="95"/>
              </w:rPr>
              <w:t>Common stock, $.01 par value, 60,000,000 shares authorized; 26,886,011 and 26,120,124 shares issued in 2022 and 2021, respectively</w:t>
            </w:r>
          </w:p>
        </w:tc>
        <w:tc>
          <w:tcPr>
            <w:tcW w:w="18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262</w:t>
            </w:r>
          </w:p>
        </w:tc>
        <w:tc>
          <w:tcPr>
            <w:tcW w:w="120" w:type="dxa"/>
            <w:vAlign w:val="bottom"/>
            <w:shd w:val="clear" w:color="auto" w:fill="CFF0FC"/>
          </w:tcPr>
          <w:p>
            <w:pPr>
              <w:spacing w:after="0"/>
              <w:rPr>
                <w:sz w:val="12"/>
                <w:szCs w:val="12"/>
                <w:color w:val="auto"/>
              </w:rPr>
            </w:pPr>
          </w:p>
        </w:tc>
      </w:tr>
      <w:tr>
        <w:trPr>
          <w:trHeight w:val="149"/>
        </w:trPr>
        <w:tc>
          <w:tcPr>
            <w:tcW w:w="7820" w:type="dxa"/>
            <w:vAlign w:val="bottom"/>
          </w:tcPr>
          <w:p>
            <w:pPr>
              <w:ind w:left="260"/>
              <w:spacing w:after="0"/>
              <w:rPr>
                <w:sz w:val="20"/>
                <w:szCs w:val="20"/>
                <w:color w:val="auto"/>
              </w:rPr>
            </w:pPr>
            <w:r>
              <w:rPr>
                <w:rFonts w:ascii="Arial" w:cs="Arial" w:eastAsia="Arial" w:hAnsi="Arial"/>
                <w:sz w:val="13"/>
                <w:szCs w:val="13"/>
                <w:color w:val="auto"/>
              </w:rPr>
              <w:t>Additional paid-in capital</w:t>
            </w:r>
          </w:p>
        </w:tc>
        <w:tc>
          <w:tcPr>
            <w:tcW w:w="180" w:type="dxa"/>
            <w:vAlign w:val="bottom"/>
          </w:tcPr>
          <w:p>
            <w:pPr>
              <w:spacing w:after="0"/>
              <w:rPr>
                <w:sz w:val="12"/>
                <w:szCs w:val="12"/>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463,138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461,931</w:t>
            </w:r>
          </w:p>
        </w:tc>
        <w:tc>
          <w:tcPr>
            <w:tcW w:w="120" w:type="dxa"/>
            <w:vAlign w:val="bottom"/>
          </w:tcPr>
          <w:p>
            <w:pPr>
              <w:spacing w:after="0"/>
              <w:rPr>
                <w:sz w:val="12"/>
                <w:szCs w:val="12"/>
                <w:color w:val="auto"/>
              </w:rPr>
            </w:pPr>
          </w:p>
        </w:tc>
      </w:tr>
      <w:tr>
        <w:trPr>
          <w:trHeight w:val="148"/>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Accumulated deficit</w:t>
            </w:r>
          </w:p>
        </w:tc>
        <w:tc>
          <w:tcPr>
            <w:tcW w:w="18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(37,744)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(22,907)</w:t>
            </w:r>
          </w:p>
        </w:tc>
      </w:tr>
      <w:tr>
        <w:trPr>
          <w:trHeight w:val="148"/>
        </w:trPr>
        <w:tc>
          <w:tcPr>
            <w:tcW w:w="7820" w:type="dxa"/>
            <w:vAlign w:val="bottom"/>
          </w:tcPr>
          <w:p>
            <w:pPr>
              <w:ind w:left="260"/>
              <w:spacing w:after="0"/>
              <w:rPr>
                <w:sz w:val="20"/>
                <w:szCs w:val="20"/>
                <w:color w:val="auto"/>
              </w:rPr>
            </w:pPr>
            <w:r>
              <w:rPr>
                <w:rFonts w:ascii="Arial" w:cs="Arial" w:eastAsia="Arial" w:hAnsi="Arial"/>
                <w:sz w:val="13"/>
                <w:szCs w:val="13"/>
                <w:color w:val="auto"/>
              </w:rPr>
              <w:t>Shares held in treasury of 242,138 and 127,887, respectively, at cost</w:t>
            </w:r>
          </w:p>
        </w:tc>
        <w:tc>
          <w:tcPr>
            <w:tcW w:w="180" w:type="dxa"/>
            <w:vAlign w:val="bottom"/>
          </w:tcPr>
          <w:p>
            <w:pPr>
              <w:spacing w:after="0"/>
              <w:rPr>
                <w:sz w:val="12"/>
                <w:szCs w:val="12"/>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3"/>
                <w:szCs w:val="13"/>
                <w:color w:val="auto"/>
              </w:rPr>
              <w:t>(1,792)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3"/>
                <w:szCs w:val="13"/>
                <w:color w:val="auto"/>
              </w:rPr>
              <w:t>(1,120)</w:t>
            </w:r>
          </w:p>
        </w:tc>
      </w:tr>
      <w:tr>
        <w:trPr>
          <w:trHeight w:val="149"/>
        </w:trPr>
        <w:tc>
          <w:tcPr>
            <w:tcW w:w="78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Accumulated other comprehensive income, net of tax</w:t>
            </w:r>
          </w:p>
        </w:tc>
        <w:tc>
          <w:tcPr>
            <w:tcW w:w="1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8,853</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8,055</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right"/>
              <w:spacing w:after="0" w:line="142" w:lineRule="exact"/>
              <w:rPr>
                <w:sz w:val="20"/>
                <w:szCs w:val="20"/>
                <w:color w:val="auto"/>
              </w:rPr>
            </w:pPr>
            <w:r>
              <w:rPr>
                <w:rFonts w:ascii="Arial" w:cs="Arial" w:eastAsia="Arial" w:hAnsi="Arial"/>
                <w:sz w:val="13"/>
                <w:szCs w:val="13"/>
                <w:color w:val="auto"/>
              </w:rPr>
              <w:t>432,724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right"/>
              <w:spacing w:after="0" w:line="142" w:lineRule="exact"/>
              <w:rPr>
                <w:sz w:val="20"/>
                <w:szCs w:val="20"/>
                <w:color w:val="auto"/>
              </w:rPr>
            </w:pPr>
            <w:r>
              <w:rPr>
                <w:rFonts w:ascii="Arial" w:cs="Arial" w:eastAsia="Arial" w:hAnsi="Arial"/>
                <w:sz w:val="13"/>
                <w:szCs w:val="13"/>
                <w:color w:val="auto"/>
              </w:rPr>
              <w:t>446,221</w:t>
            </w:r>
          </w:p>
        </w:tc>
        <w:tc>
          <w:tcPr>
            <w:tcW w:w="120" w:type="dxa"/>
            <w:vAlign w:val="bottom"/>
          </w:tcPr>
          <w:p>
            <w:pPr>
              <w:spacing w:after="0"/>
              <w:rPr>
                <w:sz w:val="12"/>
                <w:szCs w:val="12"/>
                <w:color w:val="auto"/>
              </w:rPr>
            </w:pPr>
          </w:p>
        </w:tc>
      </w:tr>
      <w:tr>
        <w:trPr>
          <w:trHeight w:val="149"/>
        </w:trPr>
        <w:tc>
          <w:tcPr>
            <w:tcW w:w="7820" w:type="dxa"/>
            <w:vAlign w:val="bottom"/>
            <w:shd w:val="clear" w:color="auto" w:fill="CFF0FC"/>
          </w:tcPr>
          <w:p>
            <w:pPr>
              <w:spacing w:after="0"/>
              <w:rPr>
                <w:sz w:val="20"/>
                <w:szCs w:val="20"/>
                <w:color w:val="auto"/>
              </w:rPr>
            </w:pPr>
            <w:r>
              <w:rPr>
                <w:rFonts w:ascii="Arial" w:cs="Arial" w:eastAsia="Arial" w:hAnsi="Arial"/>
                <w:sz w:val="13"/>
                <w:szCs w:val="13"/>
                <w:color w:val="auto"/>
              </w:rPr>
              <w:t>Noncontrolling interests in subsidiaries</w:t>
            </w:r>
          </w:p>
        </w:tc>
        <w:tc>
          <w:tcPr>
            <w:tcW w:w="18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320</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320</w:t>
            </w:r>
          </w:p>
        </w:tc>
        <w:tc>
          <w:tcPr>
            <w:tcW w:w="120" w:type="dxa"/>
            <w:vAlign w:val="bottom"/>
            <w:shd w:val="clear" w:color="auto" w:fill="CFF0FC"/>
          </w:tcPr>
          <w:p>
            <w:pPr>
              <w:spacing w:after="0"/>
              <w:rPr>
                <w:sz w:val="12"/>
                <w:szCs w:val="12"/>
                <w:color w:val="auto"/>
              </w:rPr>
            </w:pPr>
          </w:p>
        </w:tc>
      </w:tr>
      <w:tr>
        <w:trPr>
          <w:trHeight w:val="142"/>
        </w:trPr>
        <w:tc>
          <w:tcPr>
            <w:tcW w:w="7820" w:type="dxa"/>
            <w:vAlign w:val="bottom"/>
            <w:tcBorders>
              <w:bottom w:val="single" w:sz="8" w:color="CFF0FC"/>
            </w:tcBorders>
          </w:tcPr>
          <w:p>
            <w:pPr>
              <w:ind w:left="500"/>
              <w:spacing w:after="0" w:line="142" w:lineRule="exact"/>
              <w:rPr>
                <w:sz w:val="20"/>
                <w:szCs w:val="20"/>
                <w:color w:val="auto"/>
              </w:rPr>
            </w:pPr>
            <w:r>
              <w:rPr>
                <w:rFonts w:ascii="Arial" w:cs="Arial" w:eastAsia="Arial" w:hAnsi="Arial"/>
                <w:sz w:val="13"/>
                <w:szCs w:val="13"/>
                <w:color w:val="auto"/>
              </w:rPr>
              <w:t>Total equity</w:t>
            </w:r>
          </w:p>
        </w:tc>
        <w:tc>
          <w:tcPr>
            <w:tcW w:w="18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433,044</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446,541</w:t>
            </w:r>
          </w:p>
        </w:tc>
        <w:tc>
          <w:tcPr>
            <w:tcW w:w="120" w:type="dxa"/>
            <w:vAlign w:val="bottom"/>
            <w:tcBorders>
              <w:bottom w:val="single" w:sz="8" w:color="CFF0FC"/>
            </w:tcBorders>
          </w:tcPr>
          <w:p>
            <w:pPr>
              <w:spacing w:after="0"/>
              <w:rPr>
                <w:sz w:val="12"/>
                <w:szCs w:val="12"/>
                <w:color w:val="auto"/>
              </w:rPr>
            </w:pPr>
          </w:p>
        </w:tc>
      </w:tr>
      <w:tr>
        <w:trPr>
          <w:trHeight w:val="142"/>
        </w:trPr>
        <w:tc>
          <w:tcPr>
            <w:tcW w:w="7820" w:type="dxa"/>
            <w:vAlign w:val="bottom"/>
            <w:tcBorders>
              <w:bottom w:val="single" w:sz="8" w:color="CFF0FC"/>
            </w:tcBorders>
            <w:shd w:val="clear" w:color="auto" w:fill="CFF0FC"/>
          </w:tcPr>
          <w:p>
            <w:pPr>
              <w:ind w:left="500"/>
              <w:spacing w:after="0" w:line="142" w:lineRule="exact"/>
              <w:rPr>
                <w:sz w:val="20"/>
                <w:szCs w:val="20"/>
                <w:color w:val="auto"/>
              </w:rPr>
            </w:pPr>
            <w:r>
              <w:rPr>
                <w:rFonts w:ascii="Arial" w:cs="Arial" w:eastAsia="Arial" w:hAnsi="Arial"/>
                <w:sz w:val="13"/>
                <w:szCs w:val="13"/>
                <w:color w:val="auto"/>
              </w:rPr>
              <w:t>Total liabilities and equity</w:t>
            </w:r>
          </w:p>
        </w:tc>
        <w:tc>
          <w:tcPr>
            <w:tcW w:w="1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902,631</w:t>
            </w: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912,502</w:t>
            </w:r>
          </w:p>
        </w:tc>
        <w:tc>
          <w:tcPr>
            <w:tcW w:w="120" w:type="dxa"/>
            <w:vAlign w:val="bottom"/>
            <w:tcBorders>
              <w:bottom w:val="single" w:sz="8" w:color="CFF0FC"/>
            </w:tcBorders>
            <w:shd w:val="clear" w:color="auto" w:fill="CFF0FC"/>
          </w:tcPr>
          <w:p>
            <w:pPr>
              <w:spacing w:after="0"/>
              <w:rPr>
                <w:sz w:val="12"/>
                <w:szCs w:val="12"/>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INCOME (LOSS)</w:t>
      </w:r>
    </w:p>
    <w:p>
      <w:pPr>
        <w:jc w:val="center"/>
        <w:spacing w:after="0"/>
        <w:rPr>
          <w:sz w:val="20"/>
          <w:szCs w:val="20"/>
          <w:color w:val="auto"/>
        </w:rPr>
      </w:pPr>
      <w:r>
        <w:rPr>
          <w:rFonts w:ascii="Arial" w:cs="Arial" w:eastAsia="Arial" w:hAnsi="Arial"/>
          <w:sz w:val="22"/>
          <w:szCs w:val="22"/>
          <w:b w:val="1"/>
          <w:bCs w:val="1"/>
          <w:color w:val="auto"/>
        </w:rPr>
        <w:t>(in thousands, except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2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37"/>
        </w:trPr>
        <w:tc>
          <w:tcPr>
            <w:tcW w:w="7460" w:type="dxa"/>
            <w:vAlign w:val="bottom"/>
            <w:tcBorders>
              <w:bottom w:val="single" w:sz="8" w:color="CFF0FC"/>
            </w:tcBorders>
          </w:tcPr>
          <w:p>
            <w:pPr>
              <w:spacing w:after="0"/>
              <w:rPr>
                <w:sz w:val="20"/>
                <w:szCs w:val="20"/>
                <w:color w:val="auto"/>
              </w:rPr>
            </w:pPr>
          </w:p>
        </w:tc>
        <w:tc>
          <w:tcPr>
            <w:tcW w:w="400" w:type="dxa"/>
            <w:vAlign w:val="bottom"/>
            <w:tcBorders>
              <w:bottom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bottom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6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45,591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36,512</w:t>
            </w:r>
          </w:p>
        </w:tc>
        <w:tc>
          <w:tcPr>
            <w:tcW w:w="2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460" w:type="dxa"/>
            <w:vAlign w:val="bottom"/>
          </w:tcPr>
          <w:p>
            <w:pPr>
              <w:spacing w:after="0"/>
              <w:rPr>
                <w:sz w:val="20"/>
                <w:szCs w:val="20"/>
                <w:color w:val="auto"/>
              </w:rPr>
            </w:pPr>
            <w:r>
              <w:rPr>
                <w:rFonts w:ascii="Arial" w:cs="Arial" w:eastAsia="Arial" w:hAnsi="Arial"/>
                <w:sz w:val="16"/>
                <w:szCs w:val="16"/>
                <w:color w:val="auto"/>
              </w:rPr>
              <w:t>Costs and Expenses:</w:t>
            </w:r>
          </w:p>
        </w:tc>
        <w:tc>
          <w:tcPr>
            <w:tcW w:w="4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39,496</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26,307</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46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9,924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8,611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 expense</w:t>
            </w: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1,078</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4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14,371</w:t>
            </w:r>
          </w:p>
        </w:tc>
        <w:tc>
          <w:tcPr>
            <w:tcW w:w="2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14,798</w:t>
            </w:r>
          </w:p>
        </w:tc>
        <w:tc>
          <w:tcPr>
            <w:tcW w:w="2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4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64,851</w:t>
            </w:r>
          </w:p>
        </w:tc>
        <w:tc>
          <w:tcPr>
            <w:tcW w:w="28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50,794</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r>
              <w:rPr>
                <w:rFonts w:ascii="Arial" w:cs="Arial" w:eastAsia="Arial" w:hAnsi="Arial"/>
                <w:sz w:val="16"/>
                <w:szCs w:val="16"/>
                <w:color w:val="auto"/>
              </w:rPr>
              <w:t>Gains (Losses) on Asset Dispositions and Impairments, Net</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2,139</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(2,273)</w:t>
            </w:r>
          </w:p>
        </w:tc>
        <w:tc>
          <w:tcPr>
            <w:tcW w:w="0" w:type="dxa"/>
            <w:vAlign w:val="bottom"/>
          </w:tcPr>
          <w:p>
            <w:pPr>
              <w:spacing w:after="0"/>
              <w:rPr>
                <w:sz w:val="1"/>
                <w:szCs w:val="1"/>
                <w:color w:val="auto"/>
              </w:rPr>
            </w:pPr>
          </w:p>
        </w:tc>
      </w:tr>
      <w:tr>
        <w:trPr>
          <w:trHeight w:val="20"/>
        </w:trPr>
        <w:tc>
          <w:tcPr>
            <w:tcW w:w="74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4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460" w:type="dxa"/>
            <w:vAlign w:val="bottom"/>
            <w:vMerge w:val="continue"/>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(17,121)</w:t>
            </w:r>
          </w:p>
        </w:tc>
        <w:tc>
          <w:tcPr>
            <w:tcW w:w="3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(16,555)</w:t>
            </w:r>
          </w:p>
        </w:tc>
        <w:tc>
          <w:tcPr>
            <w:tcW w:w="0" w:type="dxa"/>
            <w:vAlign w:val="bottom"/>
          </w:tcPr>
          <w:p>
            <w:pPr>
              <w:spacing w:after="0"/>
              <w:rPr>
                <w:sz w:val="1"/>
                <w:szCs w:val="1"/>
                <w:color w:val="auto"/>
              </w:rPr>
            </w:pPr>
          </w:p>
        </w:tc>
      </w:tr>
      <w:tr>
        <w:trPr>
          <w:trHeight w:val="204"/>
        </w:trPr>
        <w:tc>
          <w:tcPr>
            <w:tcW w:w="7460" w:type="dxa"/>
            <w:vAlign w:val="bottom"/>
          </w:tcPr>
          <w:p>
            <w:pPr>
              <w:spacing w:after="0"/>
              <w:rPr>
                <w:sz w:val="20"/>
                <w:szCs w:val="20"/>
                <w:color w:val="auto"/>
              </w:rPr>
            </w:pPr>
            <w:r>
              <w:rPr>
                <w:rFonts w:ascii="Arial" w:cs="Arial" w:eastAsia="Arial" w:hAnsi="Arial"/>
                <w:sz w:val="16"/>
                <w:szCs w:val="16"/>
                <w:color w:val="auto"/>
              </w:rPr>
              <w:t>Other Income (Expense):</w:t>
            </w:r>
          </w:p>
        </w:tc>
        <w:tc>
          <w:tcPr>
            <w:tcW w:w="4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income</w:t>
            </w: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986</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46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(6,627)</w:t>
            </w:r>
          </w:p>
        </w:tc>
        <w:tc>
          <w:tcPr>
            <w:tcW w:w="3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(8,018)</w:t>
            </w:r>
          </w:p>
        </w:tc>
        <w:tc>
          <w:tcPr>
            <w:tcW w:w="0" w:type="dxa"/>
            <w:vAlign w:val="bottom"/>
          </w:tcPr>
          <w:p>
            <w:pPr>
              <w:spacing w:after="0"/>
              <w:rPr>
                <w:sz w:val="1"/>
                <w:szCs w:val="1"/>
                <w:color w:val="auto"/>
              </w:rPr>
            </w:pPr>
          </w:p>
        </w:tc>
      </w:tr>
      <w:tr>
        <w:trPr>
          <w:trHeight w:val="246"/>
        </w:trPr>
        <w:tc>
          <w:tcPr>
            <w:tcW w:w="7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Holdings guarantee fees</w:t>
            </w: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0"/>
        </w:trPr>
        <w:tc>
          <w:tcPr>
            <w:tcW w:w="7460" w:type="dxa"/>
            <w:vAlign w:val="bottom"/>
          </w:tcPr>
          <w:p>
            <w:pPr>
              <w:ind w:left="260"/>
              <w:spacing w:after="0"/>
              <w:rPr>
                <w:sz w:val="20"/>
                <w:szCs w:val="20"/>
                <w:color w:val="auto"/>
              </w:rPr>
            </w:pPr>
            <w:r>
              <w:rPr>
                <w:rFonts w:ascii="Arial" w:cs="Arial" w:eastAsia="Arial" w:hAnsi="Arial"/>
                <w:sz w:val="16"/>
                <w:szCs w:val="16"/>
                <w:color w:val="auto"/>
              </w:rPr>
              <w:t>Derivative (losses) gains, net</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(34)</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355</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gains (losses), net</w:t>
            </w: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(5,811)</w:t>
            </w:r>
          </w:p>
        </w:tc>
        <w:tc>
          <w:tcPr>
            <w:tcW w:w="3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(7,150)</w:t>
            </w:r>
          </w:p>
        </w:tc>
        <w:tc>
          <w:tcPr>
            <w:tcW w:w="0" w:type="dxa"/>
            <w:vAlign w:val="bottom"/>
          </w:tcPr>
          <w:p>
            <w:pPr>
              <w:spacing w:after="0"/>
              <w:rPr>
                <w:sz w:val="1"/>
                <w:szCs w:val="1"/>
                <w:color w:val="auto"/>
              </w:rPr>
            </w:pPr>
          </w:p>
        </w:tc>
      </w:tr>
      <w:tr>
        <w:trPr>
          <w:trHeight w:val="203"/>
        </w:trPr>
        <w:tc>
          <w:tcPr>
            <w:tcW w:w="7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w w:val="98"/>
              </w:rPr>
              <w:t>Loss from Continuing Operations Before Income Tax Benefit and Equity in Earnings of 50% or Less Owned</w:t>
            </w:r>
          </w:p>
        </w:tc>
        <w:tc>
          <w:tcPr>
            <w:tcW w:w="4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460" w:type="dxa"/>
            <w:vAlign w:val="bottom"/>
            <w:shd w:val="clear" w:color="auto" w:fill="CFF0FC"/>
          </w:tcPr>
          <w:p>
            <w:pPr>
              <w:spacing w:after="0"/>
              <w:rPr>
                <w:sz w:val="20"/>
                <w:szCs w:val="20"/>
                <w:color w:val="auto"/>
              </w:rPr>
            </w:pPr>
            <w:r>
              <w:rPr>
                <w:rFonts w:ascii="Arial" w:cs="Arial" w:eastAsia="Arial" w:hAnsi="Arial"/>
                <w:sz w:val="16"/>
                <w:szCs w:val="16"/>
                <w:color w:val="auto"/>
              </w:rPr>
              <w:t>Companies</w:t>
            </w:r>
          </w:p>
        </w:tc>
        <w:tc>
          <w:tcPr>
            <w:tcW w:w="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(22,932)</w:t>
            </w:r>
          </w:p>
        </w:tc>
        <w:tc>
          <w:tcPr>
            <w:tcW w:w="32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(23,705)</w:t>
            </w:r>
          </w:p>
        </w:tc>
        <w:tc>
          <w:tcPr>
            <w:tcW w:w="0" w:type="dxa"/>
            <w:vAlign w:val="bottom"/>
          </w:tcPr>
          <w:p>
            <w:pPr>
              <w:spacing w:after="0"/>
              <w:rPr>
                <w:sz w:val="1"/>
                <w:szCs w:val="1"/>
                <w:color w:val="auto"/>
              </w:rPr>
            </w:pPr>
          </w:p>
        </w:tc>
      </w:tr>
      <w:tr>
        <w:trPr>
          <w:trHeight w:val="240"/>
        </w:trPr>
        <w:tc>
          <w:tcPr>
            <w:tcW w:w="7460" w:type="dxa"/>
            <w:vAlign w:val="bottom"/>
          </w:tcPr>
          <w:p>
            <w:pPr>
              <w:spacing w:after="0"/>
              <w:rPr>
                <w:sz w:val="20"/>
                <w:szCs w:val="20"/>
                <w:color w:val="auto"/>
              </w:rPr>
            </w:pPr>
            <w:r>
              <w:rPr>
                <w:rFonts w:ascii="Arial" w:cs="Arial" w:eastAsia="Arial" w:hAnsi="Arial"/>
                <w:sz w:val="16"/>
                <w:szCs w:val="16"/>
                <w:color w:val="auto"/>
              </w:rPr>
              <w:t>Income Tax Benefit</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(2,421)</w:t>
            </w:r>
          </w:p>
        </w:tc>
        <w:tc>
          <w:tcPr>
            <w:tcW w:w="3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(2,688)</w:t>
            </w:r>
          </w:p>
        </w:tc>
        <w:tc>
          <w:tcPr>
            <w:tcW w:w="0" w:type="dxa"/>
            <w:vAlign w:val="bottom"/>
          </w:tcPr>
          <w:p>
            <w:pPr>
              <w:spacing w:after="0"/>
              <w:rPr>
                <w:sz w:val="1"/>
                <w:szCs w:val="1"/>
                <w:color w:val="auto"/>
              </w:rPr>
            </w:pPr>
          </w:p>
        </w:tc>
      </w:tr>
      <w:tr>
        <w:trPr>
          <w:trHeight w:val="20"/>
        </w:trPr>
        <w:tc>
          <w:tcPr>
            <w:tcW w:w="74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Loss from Continuing Operations Before Equity in Earnings of 50% or Less Owned Companies</w:t>
            </w:r>
          </w:p>
        </w:tc>
        <w:tc>
          <w:tcPr>
            <w:tcW w:w="4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7460" w:type="dxa"/>
            <w:vAlign w:val="bottom"/>
            <w:vMerge w:val="continue"/>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(20,511)</w:t>
            </w:r>
          </w:p>
        </w:tc>
        <w:tc>
          <w:tcPr>
            <w:tcW w:w="3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(21,017)</w:t>
            </w:r>
          </w:p>
        </w:tc>
        <w:tc>
          <w:tcPr>
            <w:tcW w:w="0" w:type="dxa"/>
            <w:vAlign w:val="bottom"/>
          </w:tcPr>
          <w:p>
            <w:pPr>
              <w:spacing w:after="0"/>
              <w:rPr>
                <w:sz w:val="1"/>
                <w:szCs w:val="1"/>
                <w:color w:val="auto"/>
              </w:rPr>
            </w:pPr>
          </w:p>
        </w:tc>
      </w:tr>
      <w:tr>
        <w:trPr>
          <w:trHeight w:val="240"/>
        </w:trPr>
        <w:tc>
          <w:tcPr>
            <w:tcW w:w="7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Equity in Earnings Gains of 50% or Less Owned Companies</w:t>
            </w:r>
          </w:p>
        </w:tc>
        <w:tc>
          <w:tcPr>
            <w:tcW w:w="4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5,674</w:t>
            </w:r>
          </w:p>
        </w:tc>
        <w:tc>
          <w:tcPr>
            <w:tcW w:w="2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4,103</w:t>
            </w:r>
          </w:p>
        </w:tc>
        <w:tc>
          <w:tcPr>
            <w:tcW w:w="2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460" w:type="dxa"/>
            <w:vAlign w:val="bottom"/>
            <w:shd w:val="clear" w:color="auto" w:fill="CFF0FC"/>
          </w:tcPr>
          <w:p>
            <w:pPr>
              <w:spacing w:after="0"/>
              <w:rPr>
                <w:sz w:val="20"/>
                <w:szCs w:val="20"/>
                <w:color w:val="auto"/>
              </w:rPr>
            </w:pPr>
            <w:r>
              <w:rPr>
                <w:rFonts w:ascii="Arial" w:cs="Arial" w:eastAsia="Arial" w:hAnsi="Arial"/>
                <w:sz w:val="16"/>
                <w:szCs w:val="16"/>
                <w:color w:val="auto"/>
              </w:rPr>
              <w:t>Loss from Continuing Operations</w:t>
            </w:r>
          </w:p>
        </w:tc>
        <w:tc>
          <w:tcPr>
            <w:tcW w:w="4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(14,837)</w:t>
            </w:r>
          </w:p>
        </w:tc>
        <w:tc>
          <w:tcPr>
            <w:tcW w:w="32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(16,914)</w:t>
            </w:r>
          </w:p>
        </w:tc>
        <w:tc>
          <w:tcPr>
            <w:tcW w:w="0" w:type="dxa"/>
            <w:vAlign w:val="bottom"/>
          </w:tcPr>
          <w:p>
            <w:pPr>
              <w:spacing w:after="0"/>
              <w:rPr>
                <w:sz w:val="1"/>
                <w:szCs w:val="1"/>
                <w:color w:val="auto"/>
              </w:rPr>
            </w:pPr>
          </w:p>
        </w:tc>
      </w:tr>
      <w:tr>
        <w:trPr>
          <w:trHeight w:val="240"/>
        </w:trPr>
        <w:tc>
          <w:tcPr>
            <w:tcW w:w="7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on Discontinued Operations, Net of Tax (see Note 12)</w:t>
            </w:r>
          </w:p>
        </w:tc>
        <w:tc>
          <w:tcPr>
            <w:tcW w:w="4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22,925</w:t>
            </w:r>
          </w:p>
        </w:tc>
        <w:tc>
          <w:tcPr>
            <w:tcW w:w="2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460" w:type="dxa"/>
            <w:vAlign w:val="bottom"/>
            <w:shd w:val="clear" w:color="auto" w:fill="CFF0FC"/>
          </w:tcPr>
          <w:p>
            <w:pPr>
              <w:spacing w:after="0"/>
              <w:rPr>
                <w:sz w:val="20"/>
                <w:szCs w:val="20"/>
                <w:color w:val="auto"/>
              </w:rPr>
            </w:pPr>
            <w:r>
              <w:rPr>
                <w:rFonts w:ascii="Arial" w:cs="Arial" w:eastAsia="Arial" w:hAnsi="Arial"/>
                <w:sz w:val="16"/>
                <w:szCs w:val="16"/>
                <w:color w:val="auto"/>
              </w:rPr>
              <w:t>Net (Loss) Income</w:t>
            </w:r>
          </w:p>
        </w:tc>
        <w:tc>
          <w:tcPr>
            <w:tcW w:w="4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(14,837)</w:t>
            </w: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6,011</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Income Attributable to Noncontrolling Interests in Subsidiaries</w:t>
            </w:r>
          </w:p>
        </w:tc>
        <w:tc>
          <w:tcPr>
            <w:tcW w:w="40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60" w:type="dxa"/>
            <w:vAlign w:val="bottom"/>
            <w:shd w:val="clear" w:color="auto" w:fill="CFF0FC"/>
          </w:tcPr>
          <w:p>
            <w:pPr>
              <w:spacing w:after="0"/>
              <w:rPr>
                <w:sz w:val="20"/>
                <w:szCs w:val="20"/>
                <w:color w:val="auto"/>
              </w:rPr>
            </w:pPr>
            <w:r>
              <w:rPr>
                <w:rFonts w:ascii="Arial" w:cs="Arial" w:eastAsia="Arial" w:hAnsi="Arial"/>
                <w:sz w:val="16"/>
                <w:szCs w:val="16"/>
                <w:color w:val="auto"/>
              </w:rPr>
              <w:t>Net (Loss) Income Attributable to SEACOR Marine Holdings Inc.</w:t>
            </w: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(14,837)</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6,011</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Per Common Share from Continuing Operations:</w:t>
            </w:r>
          </w:p>
        </w:tc>
        <w:tc>
          <w:tcPr>
            <w:tcW w:w="4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460" w:type="dxa"/>
            <w:vAlign w:val="bottom"/>
          </w:tcPr>
          <w:p>
            <w:pPr>
              <w:ind w:left="260"/>
              <w:spacing w:after="0"/>
              <w:rPr>
                <w:sz w:val="20"/>
                <w:szCs w:val="20"/>
                <w:color w:val="auto"/>
              </w:rPr>
            </w:pPr>
            <w:r>
              <w:rPr>
                <w:rFonts w:ascii="Arial" w:cs="Arial" w:eastAsia="Arial" w:hAnsi="Arial"/>
                <w:sz w:val="16"/>
                <w:szCs w:val="16"/>
                <w:color w:val="auto"/>
              </w:rPr>
              <w:t>Basic</w:t>
            </w: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(0.56)</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46"/>
        </w:trPr>
        <w:tc>
          <w:tcPr>
            <w:tcW w:w="7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(0.56)</w:t>
            </w:r>
          </w:p>
        </w:tc>
        <w:tc>
          <w:tcPr>
            <w:tcW w:w="3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(0.67)</w:t>
            </w:r>
          </w:p>
        </w:tc>
        <w:tc>
          <w:tcPr>
            <w:tcW w:w="0" w:type="dxa"/>
            <w:vAlign w:val="bottom"/>
          </w:tcPr>
          <w:p>
            <w:pPr>
              <w:spacing w:after="0"/>
              <w:rPr>
                <w:sz w:val="1"/>
                <w:szCs w:val="1"/>
                <w:color w:val="auto"/>
              </w:rPr>
            </w:pPr>
          </w:p>
        </w:tc>
      </w:tr>
      <w:tr>
        <w:trPr>
          <w:trHeight w:val="210"/>
        </w:trPr>
        <w:tc>
          <w:tcPr>
            <w:tcW w:w="7460" w:type="dxa"/>
            <w:vAlign w:val="bottom"/>
          </w:tcPr>
          <w:p>
            <w:pPr>
              <w:spacing w:after="0"/>
              <w:rPr>
                <w:sz w:val="20"/>
                <w:szCs w:val="20"/>
                <w:color w:val="auto"/>
              </w:rPr>
            </w:pPr>
            <w:r>
              <w:rPr>
                <w:rFonts w:ascii="Arial" w:cs="Arial" w:eastAsia="Arial" w:hAnsi="Arial"/>
                <w:sz w:val="16"/>
                <w:szCs w:val="16"/>
                <w:color w:val="auto"/>
              </w:rPr>
              <w:t>Net Earnings Per Share from Discontinued Operations: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Basic</w:t>
            </w: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0.91</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7460" w:type="dxa"/>
            <w:vAlign w:val="bottom"/>
          </w:tcPr>
          <w:p>
            <w:pPr>
              <w:ind w:left="260"/>
              <w:spacing w:after="0"/>
              <w:rPr>
                <w:sz w:val="20"/>
                <w:szCs w:val="20"/>
                <w:color w:val="auto"/>
              </w:rPr>
            </w:pPr>
            <w:r>
              <w:rPr>
                <w:rFonts w:ascii="Arial" w:cs="Arial" w:eastAsia="Arial" w:hAnsi="Arial"/>
                <w:sz w:val="16"/>
                <w:szCs w:val="16"/>
                <w:color w:val="auto"/>
              </w:rPr>
              <w:t>Diluted</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(Loss) Earnings per Share:</w:t>
            </w:r>
          </w:p>
        </w:tc>
        <w:tc>
          <w:tcPr>
            <w:tcW w:w="4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ind w:left="260"/>
              <w:spacing w:after="0"/>
              <w:rPr>
                <w:sz w:val="20"/>
                <w:szCs w:val="20"/>
                <w:color w:val="auto"/>
              </w:rPr>
            </w:pPr>
            <w:r>
              <w:rPr>
                <w:rFonts w:ascii="Arial" w:cs="Arial" w:eastAsia="Arial" w:hAnsi="Arial"/>
                <w:sz w:val="16"/>
                <w:szCs w:val="16"/>
                <w:color w:val="auto"/>
              </w:rPr>
              <w:t>Basic</w:t>
            </w:r>
          </w:p>
        </w:tc>
        <w:tc>
          <w:tcPr>
            <w:tcW w:w="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460" w:type="dxa"/>
            <w:vAlign w:val="bottom"/>
            <w:vMerge w:val="continue"/>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(0.56)</w:t>
            </w: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0.24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60" w:type="dxa"/>
            <w:vAlign w:val="bottom"/>
            <w:vMerge w:val="continue"/>
            <w:shd w:val="clear" w:color="auto" w:fill="CFF0FC"/>
          </w:tcPr>
          <w:p>
            <w:pPr>
              <w:spacing w:after="0"/>
              <w:rPr>
                <w:sz w:val="20"/>
                <w:szCs w:val="20"/>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(0.56)</w:t>
            </w: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0.24</w:t>
            </w:r>
          </w:p>
        </w:tc>
        <w:tc>
          <w:tcPr>
            <w:tcW w:w="2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Weighted Average Common Stock and Warrants Outstanding:</w:t>
            </w:r>
          </w:p>
        </w:tc>
        <w:tc>
          <w:tcPr>
            <w:tcW w:w="4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4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Basic</w:t>
            </w:r>
          </w:p>
        </w:tc>
        <w:tc>
          <w:tcPr>
            <w:tcW w:w="4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26,379,293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25,304,661</w:t>
            </w:r>
          </w:p>
        </w:tc>
        <w:tc>
          <w:tcPr>
            <w:tcW w:w="2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60" w:type="dxa"/>
            <w:vAlign w:val="bottom"/>
          </w:tcPr>
          <w:p>
            <w:pPr>
              <w:ind w:left="260"/>
              <w:spacing w:after="0"/>
              <w:rPr>
                <w:sz w:val="20"/>
                <w:szCs w:val="20"/>
                <w:color w:val="auto"/>
              </w:rPr>
            </w:pPr>
            <w:r>
              <w:rPr>
                <w:rFonts w:ascii="Arial" w:cs="Arial" w:eastAsia="Arial" w:hAnsi="Arial"/>
                <w:sz w:val="16"/>
                <w:szCs w:val="16"/>
                <w:color w:val="auto"/>
              </w:rPr>
              <w:t>Diluted</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26,379,293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25,304,661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UNAUDITED CONDENSED CONSOLIDATED STATEMENTS OF COMPREHENSIVE INCOME (LOSS)</w:t>
      </w:r>
    </w:p>
    <w:p>
      <w:pPr>
        <w:jc w:val="center"/>
        <w:ind w:right="-39"/>
        <w:spacing w:after="0"/>
        <w:rPr>
          <w:sz w:val="20"/>
          <w:szCs w:val="20"/>
          <w:color w:val="auto"/>
        </w:rPr>
      </w:pPr>
      <w:r>
        <w:rPr>
          <w:rFonts w:ascii="Arial" w:cs="Arial" w:eastAsia="Arial" w:hAnsi="Arial"/>
          <w:sz w:val="22"/>
          <w:szCs w:val="22"/>
          <w:b w:val="1"/>
          <w:bCs w:val="1"/>
          <w:color w:val="auto"/>
        </w:rPr>
        <w:t>(in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9"/>
        </w:trPr>
        <w:tc>
          <w:tcPr>
            <w:tcW w:w="7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ind w:right="304"/>
              <w:spacing w:after="0"/>
              <w:rPr>
                <w:sz w:val="20"/>
                <w:szCs w:val="20"/>
                <w:color w:val="auto"/>
              </w:rPr>
            </w:pPr>
            <w:r>
              <w:rPr>
                <w:rFonts w:ascii="Arial" w:cs="Arial" w:eastAsia="Arial" w:hAnsi="Arial"/>
                <w:sz w:val="16"/>
                <w:szCs w:val="16"/>
                <w:b w:val="1"/>
                <w:bCs w:val="1"/>
                <w:color w:val="auto"/>
              </w:rPr>
              <w:t>March 31,</w:t>
            </w:r>
          </w:p>
        </w:tc>
        <w:tc>
          <w:tcPr>
            <w:tcW w:w="9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210"/>
        </w:trPr>
        <w:tc>
          <w:tcPr>
            <w:tcW w:w="744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w w:val="84"/>
              </w:rPr>
              <w:t>2021</w:t>
            </w:r>
          </w:p>
        </w:tc>
        <w:tc>
          <w:tcPr>
            <w:tcW w:w="280" w:type="dxa"/>
            <w:vAlign w:val="bottom"/>
            <w:tcBorders>
              <w:bottom w:val="single" w:sz="8" w:color="CFF0FC"/>
            </w:tcBorders>
          </w:tcPr>
          <w:p>
            <w:pPr>
              <w:spacing w:after="0"/>
              <w:rPr>
                <w:sz w:val="18"/>
                <w:szCs w:val="18"/>
                <w:color w:val="auto"/>
              </w:rPr>
            </w:pPr>
          </w:p>
        </w:tc>
      </w:tr>
      <w:tr>
        <w:trPr>
          <w:trHeight w:val="212"/>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Net (Loss) Income</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(14,837)</w:t>
            </w: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6,011</w:t>
            </w:r>
          </w:p>
        </w:tc>
        <w:tc>
          <w:tcPr>
            <w:tcW w:w="280" w:type="dxa"/>
            <w:vAlign w:val="bottom"/>
            <w:shd w:val="clear" w:color="auto" w:fill="CFF0FC"/>
          </w:tcPr>
          <w:p>
            <w:pPr>
              <w:spacing w:after="0"/>
              <w:rPr>
                <w:sz w:val="18"/>
                <w:szCs w:val="18"/>
                <w:color w:val="auto"/>
              </w:rPr>
            </w:pPr>
          </w:p>
        </w:tc>
      </w:tr>
      <w:tr>
        <w:trPr>
          <w:trHeight w:val="207"/>
        </w:trPr>
        <w:tc>
          <w:tcPr>
            <w:tcW w:w="744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r>
      <w:tr>
        <w:trPr>
          <w:trHeight w:val="219"/>
        </w:trPr>
        <w:tc>
          <w:tcPr>
            <w:tcW w:w="7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(losses) gains</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(714)</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4,392</w:t>
            </w:r>
          </w:p>
        </w:tc>
        <w:tc>
          <w:tcPr>
            <w:tcW w:w="280" w:type="dxa"/>
            <w:vAlign w:val="bottom"/>
            <w:shd w:val="clear" w:color="auto" w:fill="CFF0FC"/>
          </w:tcPr>
          <w:p>
            <w:pPr>
              <w:spacing w:after="0"/>
              <w:rPr>
                <w:sz w:val="19"/>
                <w:szCs w:val="19"/>
                <w:color w:val="auto"/>
              </w:rPr>
            </w:pPr>
          </w:p>
        </w:tc>
      </w:tr>
      <w:tr>
        <w:trPr>
          <w:trHeight w:val="213"/>
        </w:trPr>
        <w:tc>
          <w:tcPr>
            <w:tcW w:w="7440" w:type="dxa"/>
            <w:vAlign w:val="bottom"/>
          </w:tcPr>
          <w:p>
            <w:pPr>
              <w:ind w:left="260"/>
              <w:spacing w:after="0"/>
              <w:rPr>
                <w:sz w:val="20"/>
                <w:szCs w:val="20"/>
                <w:color w:val="auto"/>
              </w:rPr>
            </w:pPr>
            <w:r>
              <w:rPr>
                <w:rFonts w:ascii="Arial" w:cs="Arial" w:eastAsia="Arial" w:hAnsi="Arial"/>
                <w:sz w:val="16"/>
                <w:szCs w:val="16"/>
                <w:color w:val="auto"/>
              </w:rPr>
              <w:t>Derivative gains on cash flow hedges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805</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w:t>
            </w:r>
          </w:p>
        </w:tc>
        <w:tc>
          <w:tcPr>
            <w:tcW w:w="280" w:type="dxa"/>
            <w:vAlign w:val="bottom"/>
          </w:tcPr>
          <w:p>
            <w:pPr>
              <w:spacing w:after="0"/>
              <w:rPr>
                <w:sz w:val="18"/>
                <w:szCs w:val="18"/>
                <w:color w:val="auto"/>
              </w:rPr>
            </w:pPr>
          </w:p>
        </w:tc>
      </w:tr>
      <w:tr>
        <w:trPr>
          <w:trHeight w:val="219"/>
        </w:trPr>
        <w:tc>
          <w:tcPr>
            <w:tcW w:w="7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Reclassification of derivative losses on cash flow hedges to interest expense</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370</w:t>
            </w:r>
          </w:p>
        </w:tc>
        <w:tc>
          <w:tcPr>
            <w:tcW w:w="3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280" w:type="dxa"/>
            <w:vAlign w:val="bottom"/>
            <w:shd w:val="clear" w:color="auto" w:fill="CFF0FC"/>
          </w:tcPr>
          <w:p>
            <w:pPr>
              <w:spacing w:after="0"/>
              <w:rPr>
                <w:sz w:val="19"/>
                <w:szCs w:val="19"/>
                <w:color w:val="auto"/>
              </w:rPr>
            </w:pPr>
          </w:p>
        </w:tc>
      </w:tr>
      <w:tr>
        <w:trPr>
          <w:trHeight w:val="206"/>
        </w:trPr>
        <w:tc>
          <w:tcPr>
            <w:tcW w:w="7440" w:type="dxa"/>
            <w:vAlign w:val="bottom"/>
          </w:tcPr>
          <w:p>
            <w:pPr>
              <w:ind w:left="260"/>
              <w:spacing w:after="0"/>
              <w:rPr>
                <w:sz w:val="20"/>
                <w:szCs w:val="20"/>
                <w:color w:val="auto"/>
              </w:rPr>
            </w:pPr>
            <w:r>
              <w:rPr>
                <w:rFonts w:ascii="Arial" w:cs="Arial" w:eastAsia="Arial" w:hAnsi="Arial"/>
                <w:sz w:val="16"/>
                <w:szCs w:val="16"/>
                <w:color w:val="auto"/>
                <w:w w:val="93"/>
              </w:rPr>
              <w:t>Reclassification of derivative gains (losses) on cash flows hedges to equity in earnings of 50% or less owned</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9"/>
        </w:trPr>
        <w:tc>
          <w:tcPr>
            <w:tcW w:w="7440" w:type="dxa"/>
            <w:vAlign w:val="bottom"/>
          </w:tcPr>
          <w:p>
            <w:pPr>
              <w:ind w:left="260"/>
              <w:spacing w:after="0"/>
              <w:rPr>
                <w:sz w:val="20"/>
                <w:szCs w:val="20"/>
                <w:color w:val="auto"/>
              </w:rPr>
            </w:pPr>
            <w:r>
              <w:rPr>
                <w:rFonts w:ascii="Arial" w:cs="Arial" w:eastAsia="Arial" w:hAnsi="Arial"/>
                <w:sz w:val="16"/>
                <w:szCs w:val="16"/>
                <w:color w:val="auto"/>
              </w:rPr>
              <w:t>companies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337</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(278)</w:t>
            </w:r>
          </w:p>
        </w:tc>
      </w:tr>
      <w:tr>
        <w:trPr>
          <w:trHeight w:val="213"/>
        </w:trPr>
        <w:tc>
          <w:tcPr>
            <w:tcW w:w="74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798</w:t>
            </w:r>
          </w:p>
        </w:tc>
        <w:tc>
          <w:tcPr>
            <w:tcW w:w="30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4,656</w:t>
            </w:r>
          </w:p>
        </w:tc>
        <w:tc>
          <w:tcPr>
            <w:tcW w:w="280" w:type="dxa"/>
            <w:vAlign w:val="bottom"/>
            <w:tcBorders>
              <w:top w:val="single" w:sz="8" w:color="CFF0FC"/>
            </w:tcBorders>
            <w:shd w:val="clear" w:color="auto" w:fill="CFF0FC"/>
          </w:tcPr>
          <w:p>
            <w:pPr>
              <w:spacing w:after="0"/>
              <w:rPr>
                <w:sz w:val="18"/>
                <w:szCs w:val="18"/>
                <w:color w:val="auto"/>
              </w:rPr>
            </w:pPr>
          </w:p>
        </w:tc>
      </w:tr>
      <w:tr>
        <w:trPr>
          <w:trHeight w:val="207"/>
        </w:trPr>
        <w:tc>
          <w:tcPr>
            <w:tcW w:w="7440" w:type="dxa"/>
            <w:vAlign w:val="bottom"/>
          </w:tcPr>
          <w:p>
            <w:pPr>
              <w:spacing w:after="0"/>
              <w:rPr>
                <w:sz w:val="20"/>
                <w:szCs w:val="20"/>
                <w:color w:val="auto"/>
              </w:rPr>
            </w:pPr>
            <w:r>
              <w:rPr>
                <w:rFonts w:ascii="Arial" w:cs="Arial" w:eastAsia="Arial" w:hAnsi="Arial"/>
                <w:sz w:val="16"/>
                <w:szCs w:val="16"/>
                <w:color w:val="auto"/>
              </w:rPr>
              <w:t>Comprehensive (Loss) Income</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(14,039)</w:t>
            </w:r>
          </w:p>
        </w:tc>
        <w:tc>
          <w:tcPr>
            <w:tcW w:w="5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10,667</w:t>
            </w:r>
          </w:p>
        </w:tc>
        <w:tc>
          <w:tcPr>
            <w:tcW w:w="280" w:type="dxa"/>
            <w:vAlign w:val="bottom"/>
          </w:tcPr>
          <w:p>
            <w:pPr>
              <w:spacing w:after="0"/>
              <w:rPr>
                <w:sz w:val="17"/>
                <w:szCs w:val="17"/>
                <w:color w:val="auto"/>
              </w:rPr>
            </w:pPr>
          </w:p>
        </w:tc>
      </w:tr>
      <w:tr>
        <w:trPr>
          <w:trHeight w:val="213"/>
        </w:trPr>
        <w:tc>
          <w:tcPr>
            <w:tcW w:w="7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Comprehensive Income Attributable to Noncontrolling Interests in Subsidiaries</w:t>
            </w:r>
          </w:p>
        </w:tc>
        <w:tc>
          <w:tcPr>
            <w:tcW w:w="1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CFF0FC"/>
            </w:tcBorders>
            <w:shd w:val="clear" w:color="auto" w:fill="CFF0FC"/>
          </w:tcPr>
          <w:p>
            <w:pPr>
              <w:spacing w:after="0"/>
              <w:rPr>
                <w:sz w:val="18"/>
                <w:szCs w:val="18"/>
                <w:color w:val="auto"/>
              </w:rPr>
            </w:pPr>
          </w:p>
        </w:tc>
      </w:tr>
      <w:tr>
        <w:trPr>
          <w:trHeight w:val="207"/>
        </w:trPr>
        <w:tc>
          <w:tcPr>
            <w:tcW w:w="7440" w:type="dxa"/>
            <w:vAlign w:val="bottom"/>
          </w:tcPr>
          <w:p>
            <w:pPr>
              <w:spacing w:after="0"/>
              <w:rPr>
                <w:sz w:val="20"/>
                <w:szCs w:val="20"/>
                <w:color w:val="auto"/>
              </w:rPr>
            </w:pPr>
            <w:r>
              <w:rPr>
                <w:rFonts w:ascii="Arial" w:cs="Arial" w:eastAsia="Arial" w:hAnsi="Arial"/>
                <w:sz w:val="16"/>
                <w:szCs w:val="16"/>
                <w:color w:val="auto"/>
              </w:rPr>
              <w:t>Comprehensive (Loss) Income attributable to SEACOR Marine Holdings Inc.</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(14,039)</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10,667</w:t>
            </w:r>
          </w:p>
        </w:tc>
        <w:tc>
          <w:tcPr>
            <w:tcW w:w="28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71"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CHANGES IN EQUITY</w:t>
      </w:r>
    </w:p>
    <w:p>
      <w:pPr>
        <w:jc w:val="center"/>
        <w:spacing w:after="0"/>
        <w:rPr>
          <w:sz w:val="20"/>
          <w:szCs w:val="20"/>
          <w:color w:val="auto"/>
        </w:rPr>
      </w:pPr>
      <w:r>
        <w:rPr>
          <w:rFonts w:ascii="Arial" w:cs="Arial" w:eastAsia="Arial" w:hAnsi="Arial"/>
          <w:sz w:val="22"/>
          <w:szCs w:val="22"/>
          <w:b w:val="1"/>
          <w:bCs w:val="1"/>
          <w:color w:val="auto"/>
        </w:rPr>
        <w:t>(in thousands,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Shares of</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6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920" w:type="dxa"/>
            <w:vAlign w:val="bottom"/>
            <w:gridSpan w:val="3"/>
            <w:vMerge w:val="restart"/>
          </w:tcPr>
          <w:p>
            <w:pPr>
              <w:jc w:val="center"/>
              <w:ind w:left="1"/>
              <w:spacing w:after="0"/>
              <w:rPr>
                <w:sz w:val="20"/>
                <w:szCs w:val="20"/>
                <w:color w:val="auto"/>
              </w:rPr>
            </w:pPr>
            <w:r>
              <w:rPr>
                <w:rFonts w:ascii="Arial" w:cs="Arial" w:eastAsia="Arial" w:hAnsi="Arial"/>
                <w:sz w:val="14"/>
                <w:szCs w:val="14"/>
                <w:b w:val="1"/>
                <w:bCs w:val="1"/>
                <w:color w:val="auto"/>
                <w:w w:val="94"/>
              </w:rPr>
              <w:t>Treasury</w:t>
            </w:r>
          </w:p>
        </w:tc>
        <w:tc>
          <w:tcPr>
            <w:tcW w:w="11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Controlling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Paid-In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Held in</w:t>
            </w:r>
          </w:p>
        </w:tc>
        <w:tc>
          <w:tcPr>
            <w:tcW w:w="920" w:type="dxa"/>
            <w:vAlign w:val="bottom"/>
            <w:gridSpan w:val="3"/>
            <w:vMerge w:val="continue"/>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Interests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22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0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Income</w:t>
            </w:r>
          </w:p>
        </w:tc>
        <w:tc>
          <w:tcPr>
            <w:tcW w:w="980" w:type="dxa"/>
            <w:vAlign w:val="bottom"/>
            <w:gridSpan w:val="3"/>
          </w:tcPr>
          <w:p>
            <w:pPr>
              <w:ind w:left="22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4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For the Three Months Ended</w:t>
            </w: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March 31, 2022</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40" w:type="dxa"/>
            <w:vAlign w:val="bottom"/>
          </w:tcPr>
          <w:p>
            <w:pPr>
              <w:spacing w:after="0"/>
              <w:rPr>
                <w:sz w:val="20"/>
                <w:szCs w:val="20"/>
                <w:color w:val="auto"/>
              </w:rPr>
            </w:pPr>
            <w:r>
              <w:rPr>
                <w:rFonts w:ascii="Arial" w:cs="Arial" w:eastAsia="Arial" w:hAnsi="Arial"/>
                <w:sz w:val="16"/>
                <w:szCs w:val="16"/>
                <w:b w:val="1"/>
                <w:bCs w:val="1"/>
                <w:color w:val="auto"/>
              </w:rPr>
              <w:t>December 31, 2021</w:t>
            </w:r>
          </w:p>
        </w:tc>
        <w:tc>
          <w:tcPr>
            <w:tcW w:w="840" w:type="dxa"/>
            <w:vAlign w:val="bottom"/>
          </w:tcPr>
          <w:p>
            <w:pPr>
              <w:jc w:val="right"/>
              <w:spacing w:after="0"/>
              <w:rPr>
                <w:sz w:val="20"/>
                <w:szCs w:val="20"/>
                <w:color w:val="auto"/>
              </w:rPr>
            </w:pPr>
            <w:r>
              <w:rPr>
                <w:rFonts w:ascii="Arial" w:cs="Arial" w:eastAsia="Arial" w:hAnsi="Arial"/>
                <w:sz w:val="16"/>
                <w:szCs w:val="16"/>
                <w:color w:val="auto"/>
              </w:rPr>
              <w:t>25,992,237</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262</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461,931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127,887</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 (1,120)</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(22,907)</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8,055</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320</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446,541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Arial" w:cs="Arial" w:eastAsia="Arial" w:hAnsi="Arial"/>
                <w:sz w:val="16"/>
                <w:szCs w:val="16"/>
                <w:color w:val="auto"/>
              </w:rPr>
              <w:t>Restricted stock grants</w:t>
            </w:r>
          </w:p>
        </w:tc>
        <w:tc>
          <w:tcPr>
            <w:tcW w:w="840" w:type="dxa"/>
            <w:vAlign w:val="bottom"/>
          </w:tcPr>
          <w:p>
            <w:pPr>
              <w:jc w:val="right"/>
              <w:spacing w:after="0"/>
              <w:rPr>
                <w:sz w:val="20"/>
                <w:szCs w:val="20"/>
                <w:color w:val="auto"/>
              </w:rPr>
            </w:pPr>
            <w:r>
              <w:rPr>
                <w:rFonts w:ascii="Arial" w:cs="Arial" w:eastAsia="Arial" w:hAnsi="Arial"/>
                <w:sz w:val="16"/>
                <w:szCs w:val="16"/>
                <w:color w:val="auto"/>
              </w:rPr>
              <w:t>733,895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employee</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share awards</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1,067</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Arial" w:cs="Arial" w:eastAsia="Arial" w:hAnsi="Arial"/>
                <w:sz w:val="16"/>
                <w:szCs w:val="16"/>
                <w:color w:val="auto"/>
              </w:rPr>
              <w:t>Exercise of options</w:t>
            </w:r>
          </w:p>
        </w:tc>
        <w:tc>
          <w:tcPr>
            <w:tcW w:w="840" w:type="dxa"/>
            <w:vAlign w:val="bottom"/>
          </w:tcPr>
          <w:p>
            <w:pPr>
              <w:jc w:val="right"/>
              <w:spacing w:after="0"/>
              <w:rPr>
                <w:sz w:val="20"/>
                <w:szCs w:val="20"/>
                <w:color w:val="auto"/>
              </w:rPr>
            </w:pPr>
            <w:r>
              <w:rPr>
                <w:rFonts w:ascii="Arial" w:cs="Arial" w:eastAsia="Arial" w:hAnsi="Arial"/>
                <w:sz w:val="16"/>
                <w:szCs w:val="16"/>
                <w:color w:val="auto"/>
              </w:rPr>
              <w:t>31,992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140</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vesting</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(114,251)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114,251</w:t>
            </w:r>
          </w:p>
        </w:tc>
        <w:tc>
          <w:tcPr>
            <w:tcW w:w="92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(672)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Arial" w:cs="Arial" w:eastAsia="Arial" w:hAnsi="Arial"/>
                <w:sz w:val="16"/>
                <w:szCs w:val="16"/>
                <w:color w:val="auto"/>
              </w:rPr>
              <w:t>Net Loss</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(14,837)</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(14,837)</w:t>
            </w: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comprehensive income</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798</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440" w:type="dxa"/>
            <w:vAlign w:val="bottom"/>
          </w:tcPr>
          <w:p>
            <w:pPr>
              <w:spacing w:after="0"/>
              <w:rPr>
                <w:sz w:val="20"/>
                <w:szCs w:val="20"/>
                <w:color w:val="auto"/>
              </w:rPr>
            </w:pPr>
            <w:r>
              <w:rPr>
                <w:rFonts w:ascii="Arial" w:cs="Arial" w:eastAsia="Arial" w:hAnsi="Arial"/>
                <w:sz w:val="16"/>
                <w:szCs w:val="16"/>
                <w:b w:val="1"/>
                <w:bCs w:val="1"/>
                <w:color w:val="auto"/>
              </w:rPr>
              <w:t>March 31, 2022</w:t>
            </w:r>
          </w:p>
        </w:tc>
        <w:tc>
          <w:tcPr>
            <w:tcW w:w="840" w:type="dxa"/>
            <w:vAlign w:val="bottom"/>
          </w:tcPr>
          <w:p>
            <w:pPr>
              <w:jc w:val="right"/>
              <w:spacing w:after="0"/>
              <w:rPr>
                <w:sz w:val="20"/>
                <w:szCs w:val="20"/>
                <w:color w:val="auto"/>
              </w:rPr>
            </w:pPr>
            <w:r>
              <w:rPr>
                <w:rFonts w:ascii="Arial" w:cs="Arial" w:eastAsia="Arial" w:hAnsi="Arial"/>
                <w:sz w:val="16"/>
                <w:szCs w:val="16"/>
                <w:color w:val="auto"/>
              </w:rPr>
              <w:t>26,643,873</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269</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463,138</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242,138</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 (1,792)</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(37,744)</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8,853</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320</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433,044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2440" w:type="dxa"/>
            <w:vAlign w:val="bottom"/>
          </w:tcPr>
          <w:p>
            <w:pPr>
              <w:spacing w:after="0"/>
              <w:rPr>
                <w:sz w:val="24"/>
                <w:szCs w:val="2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Shares of</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16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Common</w:t>
            </w:r>
          </w:p>
        </w:tc>
        <w:tc>
          <w:tcPr>
            <w:tcW w:w="2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920" w:type="dxa"/>
            <w:vAlign w:val="bottom"/>
            <w:gridSpan w:val="3"/>
            <w:vMerge w:val="restart"/>
          </w:tcPr>
          <w:p>
            <w:pPr>
              <w:jc w:val="center"/>
              <w:ind w:left="1"/>
              <w:spacing w:after="0"/>
              <w:rPr>
                <w:sz w:val="20"/>
                <w:szCs w:val="20"/>
                <w:color w:val="auto"/>
              </w:rPr>
            </w:pPr>
            <w:r>
              <w:rPr>
                <w:rFonts w:ascii="Arial" w:cs="Arial" w:eastAsia="Arial" w:hAnsi="Arial"/>
                <w:sz w:val="14"/>
                <w:szCs w:val="14"/>
                <w:b w:val="1"/>
                <w:bCs w:val="1"/>
                <w:color w:val="auto"/>
                <w:w w:val="94"/>
              </w:rPr>
              <w:t>Treasury</w:t>
            </w:r>
          </w:p>
        </w:tc>
        <w:tc>
          <w:tcPr>
            <w:tcW w:w="11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80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Controlling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Paid-In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Held in</w:t>
            </w:r>
          </w:p>
        </w:tc>
        <w:tc>
          <w:tcPr>
            <w:tcW w:w="920" w:type="dxa"/>
            <w:vAlign w:val="bottom"/>
            <w:gridSpan w:val="3"/>
            <w:vMerge w:val="continue"/>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Interests In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Outstanding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60"/>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Treasury</w:t>
            </w:r>
          </w:p>
        </w:tc>
        <w:tc>
          <w:tcPr>
            <w:tcW w:w="220" w:type="dxa"/>
            <w:vAlign w:val="bottom"/>
          </w:tcPr>
          <w:p>
            <w:pPr>
              <w:spacing w:after="0"/>
              <w:rPr>
                <w:sz w:val="14"/>
                <w:szCs w:val="14"/>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80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Income</w:t>
            </w:r>
          </w:p>
        </w:tc>
        <w:tc>
          <w:tcPr>
            <w:tcW w:w="980" w:type="dxa"/>
            <w:vAlign w:val="bottom"/>
            <w:gridSpan w:val="3"/>
          </w:tcPr>
          <w:p>
            <w:pPr>
              <w:ind w:left="220"/>
              <w:spacing w:after="0"/>
              <w:rPr>
                <w:sz w:val="20"/>
                <w:szCs w:val="20"/>
                <w:color w:val="auto"/>
              </w:rPr>
            </w:pPr>
            <w:r>
              <w:rPr>
                <w:rFonts w:ascii="Arial" w:cs="Arial" w:eastAsia="Arial" w:hAnsi="Arial"/>
                <w:sz w:val="14"/>
                <w:szCs w:val="14"/>
                <w:b w:val="1"/>
                <w:bCs w:val="1"/>
                <w:color w:val="auto"/>
                <w:w w:val="88"/>
              </w:rPr>
              <w:t>Subsidiaries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44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8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FF0FC"/>
          </w:tcPr>
          <w:p>
            <w:pPr>
              <w:ind w:left="140"/>
              <w:spacing w:after="0"/>
              <w:rPr>
                <w:sz w:val="20"/>
                <w:szCs w:val="20"/>
                <w:color w:val="auto"/>
              </w:rPr>
            </w:pPr>
            <w:r>
              <w:rPr>
                <w:rFonts w:ascii="Arial" w:cs="Arial" w:eastAsia="Arial" w:hAnsi="Arial"/>
                <w:sz w:val="16"/>
                <w:szCs w:val="16"/>
                <w:b w:val="1"/>
                <w:bCs w:val="1"/>
                <w:color w:val="auto"/>
              </w:rPr>
              <w:t>March 31, 2021</w:t>
            </w: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40" w:type="dxa"/>
            <w:vAlign w:val="bottom"/>
          </w:tcPr>
          <w:p>
            <w:pPr>
              <w:spacing w:after="0"/>
              <w:rPr>
                <w:sz w:val="20"/>
                <w:szCs w:val="20"/>
                <w:color w:val="auto"/>
              </w:rPr>
            </w:pPr>
            <w:r>
              <w:rPr>
                <w:rFonts w:ascii="Arial" w:cs="Arial" w:eastAsia="Arial" w:hAnsi="Arial"/>
                <w:sz w:val="16"/>
                <w:szCs w:val="16"/>
                <w:b w:val="1"/>
                <w:bCs w:val="1"/>
                <w:color w:val="auto"/>
              </w:rPr>
              <w:t>December 31, 2020</w:t>
            </w:r>
          </w:p>
        </w:tc>
        <w:tc>
          <w:tcPr>
            <w:tcW w:w="840" w:type="dxa"/>
            <w:vAlign w:val="bottom"/>
          </w:tcPr>
          <w:p>
            <w:pPr>
              <w:jc w:val="right"/>
              <w:spacing w:after="0"/>
              <w:rPr>
                <w:sz w:val="20"/>
                <w:szCs w:val="20"/>
                <w:color w:val="auto"/>
              </w:rPr>
            </w:pPr>
            <w:r>
              <w:rPr>
                <w:rFonts w:ascii="Arial" w:cs="Arial" w:eastAsia="Arial" w:hAnsi="Arial"/>
                <w:sz w:val="16"/>
                <w:szCs w:val="16"/>
                <w:color w:val="auto"/>
              </w:rPr>
              <w:t>23,430,766</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235</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451,179</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73,284</w:t>
            </w:r>
          </w:p>
        </w:tc>
        <w:tc>
          <w:tcPr>
            <w:tcW w:w="920" w:type="dxa"/>
            <w:vAlign w:val="bottom"/>
            <w:gridSpan w:val="3"/>
          </w:tcPr>
          <w:p>
            <w:pPr>
              <w:jc w:val="right"/>
              <w:ind w:right="80"/>
              <w:spacing w:after="0"/>
              <w:rPr>
                <w:sz w:val="20"/>
                <w:szCs w:val="20"/>
                <w:color w:val="auto"/>
              </w:rPr>
            </w:pPr>
            <w:r>
              <w:rPr>
                <w:rFonts w:ascii="Arial" w:cs="Arial" w:eastAsia="Arial" w:hAnsi="Arial"/>
                <w:sz w:val="16"/>
                <w:szCs w:val="16"/>
                <w:color w:val="auto"/>
              </w:rPr>
              <w:t>$  (848)</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(51,839)</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2,790</w:t>
            </w:r>
          </w:p>
        </w:tc>
        <w:tc>
          <w:tcPr>
            <w:tcW w:w="3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319</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401,836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grants</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815,550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440" w:type="dxa"/>
            <w:vAlign w:val="bottom"/>
          </w:tcPr>
          <w:p>
            <w:pPr>
              <w:ind w:left="260"/>
              <w:spacing w:after="0"/>
              <w:rPr>
                <w:sz w:val="20"/>
                <w:szCs w:val="20"/>
                <w:color w:val="auto"/>
              </w:rPr>
            </w:pPr>
            <w:r>
              <w:rPr>
                <w:rFonts w:ascii="Arial" w:cs="Arial" w:eastAsia="Arial" w:hAnsi="Arial"/>
                <w:sz w:val="16"/>
                <w:szCs w:val="16"/>
                <w:color w:val="auto"/>
              </w:rPr>
              <w:t>Amortization of employee</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40" w:type="dxa"/>
            <w:vAlign w:val="bottom"/>
          </w:tcPr>
          <w:p>
            <w:pPr>
              <w:ind w:left="260"/>
              <w:spacing w:after="0"/>
              <w:rPr>
                <w:sz w:val="20"/>
                <w:szCs w:val="20"/>
                <w:color w:val="auto"/>
              </w:rPr>
            </w:pPr>
            <w:r>
              <w:rPr>
                <w:rFonts w:ascii="Arial" w:cs="Arial" w:eastAsia="Arial" w:hAnsi="Arial"/>
                <w:sz w:val="16"/>
                <w:szCs w:val="16"/>
                <w:color w:val="auto"/>
              </w:rPr>
              <w:t>share awards</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1,111</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vesting</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(51,933)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51,933</w:t>
            </w:r>
          </w:p>
        </w:tc>
        <w:tc>
          <w:tcPr>
            <w:tcW w:w="92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(262)</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13"/>
        </w:trPr>
        <w:tc>
          <w:tcPr>
            <w:tcW w:w="2440" w:type="dxa"/>
            <w:vAlign w:val="bottom"/>
          </w:tcPr>
          <w:p>
            <w:pPr>
              <w:ind w:left="260"/>
              <w:spacing w:after="0"/>
              <w:rPr>
                <w:sz w:val="20"/>
                <w:szCs w:val="20"/>
                <w:color w:val="auto"/>
              </w:rPr>
            </w:pPr>
            <w:r>
              <w:rPr>
                <w:rFonts w:ascii="Arial" w:cs="Arial" w:eastAsia="Arial" w:hAnsi="Arial"/>
                <w:sz w:val="16"/>
                <w:szCs w:val="16"/>
                <w:color w:val="auto"/>
              </w:rPr>
              <w:t>Sale of Windcat Workboats</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(4,201)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(4,201)</w:t>
            </w:r>
          </w:p>
        </w:tc>
        <w:tc>
          <w:tcPr>
            <w:tcW w:w="0" w:type="dxa"/>
            <w:vAlign w:val="bottom"/>
          </w:tcPr>
          <w:p>
            <w:pPr>
              <w:spacing w:after="0"/>
              <w:rPr>
                <w:sz w:val="1"/>
                <w:szCs w:val="1"/>
                <w:color w:val="auto"/>
              </w:rPr>
            </w:pPr>
          </w:p>
        </w:tc>
      </w:tr>
      <w:tr>
        <w:trPr>
          <w:trHeight w:val="219"/>
        </w:trPr>
        <w:tc>
          <w:tcPr>
            <w:tcW w:w="24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income</w:t>
            </w:r>
          </w:p>
        </w:tc>
        <w:tc>
          <w:tcPr>
            <w:tcW w:w="9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comprehensive income</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4,656</w:t>
            </w:r>
          </w:p>
        </w:tc>
        <w:tc>
          <w:tcPr>
            <w:tcW w:w="2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March 31, 2021</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24,194,383</w:t>
            </w:r>
          </w:p>
        </w:tc>
        <w:tc>
          <w:tcPr>
            <w:tcW w:w="1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452,290</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125,217</w:t>
            </w:r>
          </w:p>
        </w:tc>
        <w:tc>
          <w:tcPr>
            <w:tcW w:w="92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 (1,110)</w:t>
            </w: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(50,029)</w:t>
            </w:r>
          </w:p>
        </w:tc>
        <w:tc>
          <w:tcPr>
            <w:tcW w:w="16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7,446</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409,159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SEACOR MARINE HOLDINGS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 CONDENSED CONSOLIDATED STATEMENTS OF CASH FLOWS</w:t>
      </w:r>
    </w:p>
    <w:p>
      <w:pPr>
        <w:jc w:val="center"/>
        <w:spacing w:after="0"/>
        <w:rPr>
          <w:sz w:val="20"/>
          <w:szCs w:val="20"/>
          <w:color w:val="auto"/>
        </w:rPr>
      </w:pPr>
      <w:r>
        <w:rPr>
          <w:rFonts w:ascii="Arial" w:cs="Arial" w:eastAsia="Arial" w:hAnsi="Arial"/>
          <w:sz w:val="22"/>
          <w:szCs w:val="22"/>
          <w:b w:val="1"/>
          <w:bCs w:val="1"/>
          <w:color w:val="auto"/>
        </w:rPr>
        <w:t>(in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7640" w:type="dxa"/>
            <w:vAlign w:val="bottom"/>
          </w:tcPr>
          <w:p>
            <w:pPr>
              <w:spacing w:after="0"/>
              <w:rPr>
                <w:sz w:val="13"/>
                <w:szCs w:val="13"/>
                <w:color w:val="auto"/>
              </w:rPr>
            </w:pPr>
          </w:p>
        </w:tc>
        <w:tc>
          <w:tcPr>
            <w:tcW w:w="296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3"/>
                <w:szCs w:val="13"/>
                <w:b w:val="1"/>
                <w:bCs w:val="1"/>
                <w:color w:val="auto"/>
              </w:rPr>
              <w:t>Three Months Ended March 31,</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64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3"/>
                <w:szCs w:val="13"/>
                <w:b w:val="1"/>
                <w:bCs w:val="1"/>
                <w:color w:val="auto"/>
              </w:rPr>
              <w:t>2022</w:t>
            </w:r>
          </w:p>
        </w:tc>
        <w:tc>
          <w:tcPr>
            <w:tcW w:w="540" w:type="dxa"/>
            <w:vAlign w:val="bottom"/>
            <w:tcBorders>
              <w:bottom w:val="single" w:sz="8" w:color="auto"/>
            </w:tcBorders>
          </w:tcPr>
          <w:p>
            <w:pPr>
              <w:spacing w:after="0"/>
              <w:rPr>
                <w:sz w:val="12"/>
                <w:szCs w:val="12"/>
                <w:color w:val="auto"/>
              </w:rPr>
            </w:pPr>
          </w:p>
        </w:tc>
        <w:tc>
          <w:tcPr>
            <w:tcW w:w="42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tcPr>
          <w:p>
            <w:pPr>
              <w:jc w:val="right"/>
              <w:ind w:right="65"/>
              <w:spacing w:after="0" w:line="142" w:lineRule="exact"/>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64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Continuing Operating Activities:</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3"/>
                <w:szCs w:val="13"/>
                <w:color w:val="auto"/>
              </w:rPr>
              <w:t>Net (Loss) Income</w:t>
            </w:r>
          </w:p>
        </w:tc>
        <w:tc>
          <w:tcPr>
            <w:tcW w:w="1000" w:type="dxa"/>
            <w:vAlign w:val="bottom"/>
          </w:tcPr>
          <w:p>
            <w:pPr>
              <w:jc w:val="right"/>
              <w:ind w:right="855"/>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(14,837)</w:t>
            </w:r>
          </w:p>
        </w:tc>
        <w:tc>
          <w:tcPr>
            <w:tcW w:w="1000" w:type="dxa"/>
            <w:vAlign w:val="bottom"/>
          </w:tcPr>
          <w:p>
            <w:pPr>
              <w:jc w:val="right"/>
              <w:ind w:right="885"/>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6,011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to net cash provided by (used in) operating activities: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Depreciation and amortization</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14,371</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14,798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financing costs amortization</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291</w:t>
            </w: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395</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Debt discount amortization</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1,691</w:t>
            </w: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Allowance for credit losses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(170)</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(Gain) Loss from equipment sales, retirements or impairments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(2,139)</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Gain on the Sale of Windcat Workboats</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(22,756)</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Derivative losses (gains)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(355)</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Interest on Finance Lease</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settlement payments on derivative transactions, net</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(373)</w:t>
            </w: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(919)</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Currency (gains) losses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(821)</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income taxes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(3,529)</w:t>
            </w: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(4,056)</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Equity Earnings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(5,674)</w:t>
            </w:r>
          </w:p>
        </w:tc>
        <w:tc>
          <w:tcPr>
            <w:tcW w:w="10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(4,103)</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Dividends received from equity investees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725</w:t>
            </w: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3"/>
                <w:szCs w:val="13"/>
                <w:color w:val="auto"/>
              </w:rPr>
              <w:t>Changes in Operating Assets and Liabilities:</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receivables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3,904</w:t>
            </w: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11,345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Other assets</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(164)</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payable and accrued liabilities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6,707</w:t>
            </w: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(10,296)</w:t>
            </w:r>
          </w:p>
        </w:tc>
        <w:tc>
          <w:tcPr>
            <w:tcW w:w="0" w:type="dxa"/>
            <w:vAlign w:val="bottom"/>
          </w:tcPr>
          <w:p>
            <w:pPr>
              <w:spacing w:after="0"/>
              <w:rPr>
                <w:sz w:val="1"/>
                <w:szCs w:val="1"/>
                <w:color w:val="auto"/>
              </w:rPr>
            </w:pPr>
          </w:p>
        </w:tc>
      </w:tr>
      <w:tr>
        <w:trPr>
          <w:trHeight w:val="20"/>
        </w:trPr>
        <w:tc>
          <w:tcPr>
            <w:tcW w:w="7640" w:type="dxa"/>
            <w:vAlign w:val="bottom"/>
            <w:vMerge w:val="restart"/>
          </w:tcPr>
          <w:p>
            <w:pPr>
              <w:ind w:left="500"/>
              <w:spacing w:after="0"/>
              <w:rPr>
                <w:sz w:val="20"/>
                <w:szCs w:val="20"/>
                <w:color w:val="auto"/>
              </w:rPr>
            </w:pPr>
            <w:r>
              <w:rPr>
                <w:rFonts w:ascii="Arial" w:cs="Arial" w:eastAsia="Arial" w:hAnsi="Arial"/>
                <w:sz w:val="13"/>
                <w:szCs w:val="13"/>
                <w:color w:val="auto"/>
              </w:rPr>
              <w:t>Net cash provided by (used in) operating activities</w:t>
            </w: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436</w:t>
            </w: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(3,373)</w:t>
            </w:r>
          </w:p>
        </w:tc>
        <w:tc>
          <w:tcPr>
            <w:tcW w:w="0" w:type="dxa"/>
            <w:vAlign w:val="bottom"/>
          </w:tcPr>
          <w:p>
            <w:pPr>
              <w:spacing w:after="0"/>
              <w:rPr>
                <w:sz w:val="1"/>
                <w:szCs w:val="1"/>
                <w:color w:val="auto"/>
              </w:rPr>
            </w:pPr>
          </w:p>
        </w:tc>
      </w:tr>
      <w:tr>
        <w:trPr>
          <w:trHeight w:val="156"/>
        </w:trPr>
        <w:tc>
          <w:tcPr>
            <w:tcW w:w="7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Cash Flows from Continuing Investing Activities:</w:t>
            </w:r>
          </w:p>
        </w:tc>
        <w:tc>
          <w:tcPr>
            <w:tcW w:w="10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CFF0FC"/>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Purchases of property and equipment</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(20)</w:t>
            </w:r>
          </w:p>
        </w:tc>
        <w:tc>
          <w:tcPr>
            <w:tcW w:w="100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(2,724)</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disposition of property and equipment</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5,310</w:t>
            </w: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3,266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 xml:space="preserve">Proceeds from sale of Windcat Workboats, net of transaction costs and cash sold </w:t>
            </w:r>
            <w:r>
              <w:rPr>
                <w:rFonts w:ascii="Arial" w:cs="Arial" w:eastAsia="Arial" w:hAnsi="Arial"/>
                <w:sz w:val="11"/>
                <w:szCs w:val="11"/>
                <w:color w:val="auto"/>
              </w:rPr>
              <w:t>(1)</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38,715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Investments in and advances to 50% or less owned companies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(736)</w:t>
            </w:r>
          </w:p>
        </w:tc>
        <w:tc>
          <w:tcPr>
            <w:tcW w:w="0" w:type="dxa"/>
            <w:vAlign w:val="bottom"/>
          </w:tcPr>
          <w:p>
            <w:pPr>
              <w:spacing w:after="0"/>
              <w:rPr>
                <w:sz w:val="1"/>
                <w:szCs w:val="1"/>
                <w:color w:val="auto"/>
              </w:rPr>
            </w:pPr>
          </w:p>
        </w:tc>
      </w:tr>
      <w:tr>
        <w:trPr>
          <w:trHeight w:val="162"/>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Principal payments on notes due from equity investees</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w:t>
            </w:r>
          </w:p>
        </w:tc>
        <w:tc>
          <w:tcPr>
            <w:tcW w:w="4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cash provided by investing activities</w:t>
            </w:r>
          </w:p>
        </w:tc>
        <w:tc>
          <w:tcPr>
            <w:tcW w:w="100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5,466</w:t>
            </w:r>
          </w:p>
        </w:tc>
        <w:tc>
          <w:tcPr>
            <w:tcW w:w="420" w:type="dxa"/>
            <w:vAlign w:val="bottom"/>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spacing w:after="0"/>
              <w:rPr>
                <w:sz w:val="13"/>
                <w:szCs w:val="13"/>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39,440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40" w:type="dxa"/>
            <w:vAlign w:val="bottom"/>
          </w:tcPr>
          <w:p>
            <w:pPr>
              <w:spacing w:after="0"/>
              <w:rPr>
                <w:sz w:val="20"/>
                <w:szCs w:val="20"/>
                <w:color w:val="auto"/>
              </w:rPr>
            </w:pPr>
            <w:r>
              <w:rPr>
                <w:rFonts w:ascii="Arial" w:cs="Arial" w:eastAsia="Arial" w:hAnsi="Arial"/>
                <w:sz w:val="13"/>
                <w:szCs w:val="13"/>
                <w:color w:val="auto"/>
              </w:rPr>
              <w:t>Cash Flows from Continuing Financing Activities:</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Payments on long-term debt</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(7,348)</w:t>
            </w: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(8,302)</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Payments on finance lease</w:t>
            </w:r>
          </w:p>
        </w:tc>
        <w:tc>
          <w:tcPr>
            <w:tcW w:w="1000" w:type="dxa"/>
            <w:vAlign w:val="bottom"/>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(9)</w:t>
            </w:r>
          </w:p>
        </w:tc>
        <w:tc>
          <w:tcPr>
            <w:tcW w:w="10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Proceeds from exercise of stock options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w:t>
            </w: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tcBorders>
              <w:bottom w:val="single" w:sz="8" w:color="CFF0FC"/>
            </w:tcBorders>
          </w:tcPr>
          <w:p>
            <w:pPr>
              <w:ind w:left="260"/>
              <w:spacing w:after="0"/>
              <w:rPr>
                <w:sz w:val="20"/>
                <w:szCs w:val="20"/>
                <w:color w:val="auto"/>
              </w:rPr>
            </w:pPr>
            <w:r>
              <w:rPr>
                <w:rFonts w:ascii="Arial" w:cs="Arial" w:eastAsia="Arial" w:hAnsi="Arial"/>
                <w:sz w:val="13"/>
                <w:szCs w:val="13"/>
                <w:color w:val="auto"/>
              </w:rPr>
              <w:t>Issuance of stock</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4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Net cash used in financing activities</w:t>
            </w:r>
          </w:p>
        </w:tc>
        <w:tc>
          <w:tcPr>
            <w:tcW w:w="10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(7,210)</w:t>
            </w:r>
          </w:p>
        </w:tc>
        <w:tc>
          <w:tcPr>
            <w:tcW w:w="10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(8,294)</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3"/>
                <w:szCs w:val="13"/>
                <w:color w:val="auto"/>
              </w:rPr>
              <w:t>Effects of Exchange Rate Changes on Cash and Cash Equivalents</w:t>
            </w: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4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w:t>
            </w: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4,621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Net (Decrease) Increase in Cash, Restricted Cash and Cash Equivalents</w:t>
            </w: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40" w:type="dxa"/>
            <w:vAlign w:val="bottom"/>
            <w:vMerge w:val="continue"/>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(1,309)</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32,394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Pr>
          <w:p>
            <w:pPr>
              <w:spacing w:after="0"/>
              <w:rPr>
                <w:sz w:val="20"/>
                <w:szCs w:val="20"/>
                <w:color w:val="auto"/>
              </w:rPr>
            </w:pPr>
            <w:r>
              <w:rPr>
                <w:rFonts w:ascii="Arial" w:cs="Arial" w:eastAsia="Arial" w:hAnsi="Arial"/>
                <w:sz w:val="13"/>
                <w:szCs w:val="13"/>
                <w:color w:val="auto"/>
              </w:rPr>
              <w:t>Cash Flows from Discontinued Operations:</w:t>
            </w: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Operating Activities</w:t>
            </w:r>
          </w:p>
        </w:tc>
        <w:tc>
          <w:tcPr>
            <w:tcW w:w="10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Investing Activities</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Financing Activities</w:t>
            </w:r>
          </w:p>
        </w:tc>
        <w:tc>
          <w:tcPr>
            <w:tcW w:w="10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40" w:type="dxa"/>
            <w:vAlign w:val="bottom"/>
          </w:tcPr>
          <w:p>
            <w:pPr>
              <w:ind w:left="500"/>
              <w:spacing w:after="0"/>
              <w:rPr>
                <w:sz w:val="20"/>
                <w:szCs w:val="20"/>
                <w:color w:val="auto"/>
              </w:rPr>
            </w:pPr>
            <w:r>
              <w:rPr>
                <w:rFonts w:ascii="Arial" w:cs="Arial" w:eastAsia="Arial" w:hAnsi="Arial"/>
                <w:sz w:val="13"/>
                <w:szCs w:val="13"/>
                <w:color w:val="auto"/>
              </w:rPr>
              <w:t>Net Decrease in Cash, Restricted Cash and Cash Equivalents on Discontinued Operations</w:t>
            </w:r>
          </w:p>
        </w:tc>
        <w:tc>
          <w:tcPr>
            <w:tcW w:w="10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20"/>
        </w:trPr>
        <w:tc>
          <w:tcPr>
            <w:tcW w:w="764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Net (Decrease) Increase in Cash, Restricted Cash and Cash Equivalents</w:t>
            </w: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640" w:type="dxa"/>
            <w:vAlign w:val="bottom"/>
            <w:vMerge w:val="continue"/>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color w:val="auto"/>
              </w:rPr>
              <w:t>(1,309)</w:t>
            </w:r>
          </w:p>
        </w:tc>
        <w:tc>
          <w:tcPr>
            <w:tcW w:w="10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32,223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Restricted Cash and Cash Equivalents, Beginning of Period</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41,220</w:t>
            </w:r>
          </w:p>
        </w:tc>
        <w:tc>
          <w:tcPr>
            <w:tcW w:w="4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39,538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Cash, Restricted Cash and Cash Equivalents, End of Period</w:t>
            </w:r>
          </w:p>
        </w:tc>
        <w:tc>
          <w:tcPr>
            <w:tcW w:w="1000" w:type="dxa"/>
            <w:vAlign w:val="bottom"/>
            <w:tcBorders>
              <w:bottom w:val="single" w:sz="8" w:color="auto"/>
            </w:tcBorders>
            <w:shd w:val="clear" w:color="auto" w:fill="CFF0FC"/>
          </w:tcPr>
          <w:p>
            <w:pPr>
              <w:jc w:val="right"/>
              <w:ind w:right="855"/>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39,911</w:t>
            </w:r>
          </w:p>
        </w:tc>
        <w:tc>
          <w:tcPr>
            <w:tcW w:w="420" w:type="dxa"/>
            <w:vAlign w:val="bottom"/>
            <w:tcBorders>
              <w:bottom w:val="single" w:sz="8" w:color="CFF0FC"/>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ind w:right="885"/>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71,761</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Arial" w:cs="Arial" w:eastAsia="Arial" w:hAnsi="Arial"/>
                <w:sz w:val="13"/>
                <w:szCs w:val="13"/>
                <w:color w:val="auto"/>
              </w:rPr>
              <w:t>Supplemental disclosures:</w:t>
            </w: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640" w:type="dxa"/>
            <w:vAlign w:val="bottom"/>
            <w:vMerge w:val="continue"/>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Cash paid for interest, excluding capitalized interest</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3,099</w:t>
            </w: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4,398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260"/>
              <w:spacing w:after="0"/>
              <w:rPr>
                <w:sz w:val="20"/>
                <w:szCs w:val="20"/>
                <w:color w:val="auto"/>
              </w:rPr>
            </w:pPr>
            <w:r>
              <w:rPr>
                <w:rFonts w:ascii="Arial" w:cs="Arial" w:eastAsia="Arial" w:hAnsi="Arial"/>
                <w:sz w:val="13"/>
                <w:szCs w:val="13"/>
                <w:color w:val="auto"/>
              </w:rPr>
              <w:t>Income taxes refunded, net</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12,057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Noncash Investing and Financing Activities: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tcPr>
          <w:p>
            <w:pPr>
              <w:ind w:left="500"/>
              <w:spacing w:after="0"/>
              <w:rPr>
                <w:sz w:val="20"/>
                <w:szCs w:val="20"/>
                <w:color w:val="auto"/>
              </w:rPr>
            </w:pPr>
            <w:r>
              <w:rPr>
                <w:rFonts w:ascii="Arial" w:cs="Arial" w:eastAsia="Arial" w:hAnsi="Arial"/>
                <w:sz w:val="13"/>
                <w:szCs w:val="13"/>
                <w:color w:val="auto"/>
              </w:rPr>
              <w:t>Decrease in capital expenditures in accounts payable and accrued liabilities</w:t>
            </w:r>
          </w:p>
        </w:tc>
        <w:tc>
          <w:tcPr>
            <w:tcW w:w="10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4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Recognition of a new right-of-use asset - operating leases</w:t>
            </w:r>
          </w:p>
        </w:tc>
        <w:tc>
          <w:tcPr>
            <w:tcW w:w="10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163</w:t>
            </w:r>
          </w:p>
        </w:tc>
        <w:tc>
          <w:tcPr>
            <w:tcW w:w="4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7640" w:type="dxa"/>
            <w:vAlign w:val="bottom"/>
          </w:tcPr>
          <w:p>
            <w:pPr>
              <w:ind w:left="500"/>
              <w:spacing w:after="0"/>
              <w:rPr>
                <w:sz w:val="20"/>
                <w:szCs w:val="20"/>
                <w:color w:val="auto"/>
              </w:rPr>
            </w:pPr>
            <w:r>
              <w:rPr>
                <w:rFonts w:ascii="Arial" w:cs="Arial" w:eastAsia="Arial" w:hAnsi="Arial"/>
                <w:sz w:val="13"/>
                <w:szCs w:val="13"/>
                <w:color w:val="auto"/>
              </w:rPr>
              <w:t>Recognition of a new right-of-use asset - financing leases</w:t>
            </w: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7,248</w:t>
            </w:r>
          </w:p>
        </w:tc>
        <w:tc>
          <w:tcPr>
            <w:tcW w:w="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2"/>
          <w:szCs w:val="12"/>
          <w:color w:val="auto"/>
        </w:rPr>
      </w:pPr>
      <w:r>
        <w:rPr>
          <w:rFonts w:ascii="Arial" w:cs="Arial" w:eastAsia="Arial" w:hAnsi="Arial"/>
          <w:sz w:val="14"/>
          <w:szCs w:val="14"/>
          <w:color w:val="auto"/>
        </w:rPr>
        <w:t>Refer to Note 2. Equipment Acquisitions and Dispositions for a reconciliation of the cash received from the sale of Windcat Workboats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 and should be read in conjunction herewith.</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7" w:name="page8"/>
    <w:bookmarkEnd w:id="7"/>
    <w:p>
      <w:pPr>
        <w:jc w:val="center"/>
        <w:spacing w:after="0" w:line="244" w:lineRule="auto"/>
        <w:rPr>
          <w:sz w:val="20"/>
          <w:szCs w:val="20"/>
          <w:color w:val="auto"/>
        </w:rPr>
      </w:pPr>
      <w:r>
        <w:rPr>
          <w:rFonts w:ascii="Arial" w:cs="Arial" w:eastAsia="Arial" w:hAnsi="Arial"/>
          <w:sz w:val="22"/>
          <w:szCs w:val="22"/>
          <w:b w:val="1"/>
          <w:bCs w:val="1"/>
          <w:color w:val="auto"/>
        </w:rPr>
        <w:t>SEACOR MARINE HOLDINGS INC. NOTES TO CONDENSED CONSOLIDATED FINANCIAL STATEMENTS (unaudited)</w:t>
      </w:r>
    </w:p>
    <w:p>
      <w:pPr>
        <w:spacing w:after="0" w:line="390" w:lineRule="exact"/>
        <w:rPr>
          <w:sz w:val="20"/>
          <w:szCs w:val="20"/>
          <w:color w:val="auto"/>
        </w:rPr>
      </w:pPr>
    </w:p>
    <w:p>
      <w:pPr>
        <w:ind w:left="760" w:hanging="752"/>
        <w:spacing w:after="0"/>
        <w:tabs>
          <w:tab w:leader="none" w:pos="7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BASIS OF PRESENTATION AND ACCOUNTING POLICIES</w:t>
      </w:r>
    </w:p>
    <w:p>
      <w:pPr>
        <w:spacing w:after="0" w:line="17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condensed consolidated financial statements include the accounts of SEACOR Marine Holdings Inc. and its consolidated subsidiaries (the “Company”). In the opinion of management, all adjustments (consisting of normal recurring adjustments) have been made to fairly present the unaudited condensed consolidated financial statements for the periods indicated. Results of operations for the interim periods presented are not necessarily indicative of operating results for the full year or any future periods.</w:t>
      </w:r>
    </w:p>
    <w:p>
      <w:pPr>
        <w:spacing w:after="0" w:line="160"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Certain information and footnote disclosures normally included in financial statements prepared in accordance with generally accepted accounting principles in the United States (“GAAP”) have been condensed or omitted. These condensed consolidated financial statements should be read in conjunction with the Company’s financial statements and related notes thereto included in the Company’s Annual Report on Form 10-K for the year ended December 31, 2021 (the “2021 Annual Report”).</w:t>
      </w:r>
    </w:p>
    <w:p>
      <w:pPr>
        <w:spacing w:after="0" w:line="10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Unless the context otherwise indicates, any reference in this Quarterly Report on Form 10-Q to the “Company” refers to SEACOR Marine Holdings Inc. and its consolidated subsidiaries, and any reference in this Quarterly Report on Form 10-Q to “SEACOR Marine” refers to SEACOR Marine Holdings Inc. without its consolidated subsidiaries.</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Recently Adopted Accounting Standards.</w:t>
      </w:r>
    </w:p>
    <w:p>
      <w:pPr>
        <w:spacing w:after="0" w:line="179"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On October 29, 2020, the FASB issued ASU 2020-10, Codification Improvements: Amendments that improve the consistency of the Codification by including all disclosure guidance in the appropriate Disclosure section. The guidance was effective for annual periods beginning after December 15, 2020, and interim periods within the annual periods beginning after December 15, 2022. The adoption of the standard did not have a material effect on the disclosures included herein.</w:t>
      </w:r>
    </w:p>
    <w:p>
      <w:pPr>
        <w:spacing w:after="0" w:line="10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On August 5, 2020, the FASB issued ASU 2020-06, Debt – Debt with Conversion and Other Options (Subtopic 470-20) and Derivatives and Hedging – Contracts in Entity’s Own Equity (Subtopic 815-40): Accounting for Convertible Instruments and Contracts in an Entity’s Own Equity, which simplifies the accounting for certain financial instruments with characteristics of liabilities and equity, including convertible instruments and contracts on an entity’s own equity. The guidance is effective for fiscal years, and interim periods within those fiscal years, beginning after December 15, 2021. The Company adopted the new standard on January 1, 2022. The adoption of the standard by the Company did not have a material impact on its consolidated financial position or on its results of operations, cash flows and disclosures.</w:t>
      </w:r>
    </w:p>
    <w:p>
      <w:pPr>
        <w:spacing w:after="0" w:line="144"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On December 18, 2019, the FASB issued ASU 2019-12, Income Taxes (Topic 740): Simplifying the Accounting for Income Taxes. The guidance is effective for fiscal years, and interim periods within those fiscal years, beginning after December 15, 2020. The adoption of the standard by the Company did not have a material impact on its consolidated financial position or on its results of operations and cash flows.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Recently Issued Accounting Standards</w:t>
      </w:r>
    </w:p>
    <w:p>
      <w:pPr>
        <w:spacing w:after="0" w:line="166"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color w:val="auto"/>
        </w:rPr>
        <w:t>On March 12, 2020, the FASB issued ASU 2020-04, Reference Rate Reform (Topic 848): Facilitation of the Effects of Reference Rate Reform on Financial Reporting, which provides temporary optional guidance to ease the potential burden in accounting for reference rate reform. The new guidance provides optional expedients and exceptions for applying generally accepted accounting principles to contract modifications and hedging relationships, subject to meeting certain criteria, that reference LIBOR or another reference rate expected to be discontinued. The ASU is intended to help stakeholders during the global market-wide reference rate transition period. Therefore, it will be in effect for a limited time through December 31, 2022. As of March</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8" w:name="page9"/>
    <w:bookmarkEnd w:id="8"/>
    <w:p>
      <w:pPr>
        <w:jc w:val="both"/>
        <w:spacing w:after="0"/>
        <w:rPr>
          <w:sz w:val="20"/>
          <w:szCs w:val="20"/>
          <w:color w:val="auto"/>
        </w:rPr>
      </w:pPr>
      <w:r>
        <w:rPr>
          <w:rFonts w:ascii="Arial" w:cs="Arial" w:eastAsia="Arial" w:hAnsi="Arial"/>
          <w:sz w:val="22"/>
          <w:szCs w:val="22"/>
          <w:color w:val="auto"/>
        </w:rPr>
        <w:t>31, 2022, the reference rates for the Company’s existing debt and interest rate swaps have not changed as a result of any such amendment. The Company will continue to monitor changes to reference rates in applicable agreements and adopt the standard as needed.</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u w:val="single" w:color="auto"/>
          <w:color w:val="auto"/>
        </w:rPr>
        <w:t>Critical Accounting Policies.</w:t>
      </w:r>
    </w:p>
    <w:p>
      <w:pPr>
        <w:spacing w:after="0" w:line="16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b w:val="1"/>
          <w:bCs w:val="1"/>
          <w:i w:val="1"/>
          <w:iCs w:val="1"/>
          <w:color w:val="auto"/>
        </w:rPr>
        <w:t xml:space="preserve">Basis of Consolidation. </w:t>
      </w:r>
      <w:r>
        <w:rPr>
          <w:rFonts w:ascii="Arial" w:cs="Arial" w:eastAsia="Arial" w:hAnsi="Arial"/>
          <w:sz w:val="21"/>
          <w:szCs w:val="21"/>
          <w:color w:val="auto"/>
        </w:rPr>
        <w:t>The consolidated financial statements include the accounts of SEACOR Marine and its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controlled subsidiaries. Control is generally deemed to exist if the Company has greater than 50% of the voting rights of a subsidiary. All significant intercompany accounts and transactions are eliminated in the combination and consolidation.</w:t>
      </w:r>
    </w:p>
    <w:p>
      <w:pPr>
        <w:spacing w:after="0" w:line="129"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Noncontrolling interests in consolidated subsidiaries are included in the consolidated balance sheets as a separate component of equity. The Company reports consolidated net income (loss) inclusive of both the Company’s and the noncontrolling interests’ share, as well as the amounts of consolidated net income (loss) attributable to each of the Company and the noncontrolling interests. If a subsidiary is deconsolidated upon a change in control, any retained noncontrolling equity investment in the former controlled subsidiary is measured at fair value and a gain or loss is recognized in net income (loss) based on such fair value. If a subsidiary is consolidated upon the business acquisition of controlling interests by the Company, any previous noncontrolled equity investment in the subsidiary is measured at fair value and a gain or loss is recognized in net income (loss) based on such fair value.</w:t>
      </w:r>
    </w:p>
    <w:p>
      <w:pPr>
        <w:spacing w:after="0" w:line="153"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The Company employs the equity method of accounting for investments in 50% or less owned companies that it does not control but has the ability to exercise significant influence over the operating and financial policies of the business venture. Significant influence is generally deemed to exist if the Company has between 20% and 50% of the voting rights of a business venture but may exist when the Company’s ownership percentage is less than 20%. In certain circumstances, the Company may have an economic interest in excess of 50% but may not control and consolidate the business venture. Conversely, the Company may have an economic interest less than 50% but may control and consolidate the business venture. The Company reports its investments in and advances to these business ventures in the accompanying consolidated balance sheets as investments, at equity, and advances to 50% or less owned companies. The Company reports its share of earnings from investments in 50% or less owned companies in the accompanying consolidated statements of income (loss) as equity in earnings of 50% or less owned companies, net of tax.</w:t>
      </w:r>
    </w:p>
    <w:p>
      <w:pPr>
        <w:spacing w:after="0" w:line="361"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Certain reclassifications were made to previously reported amounts in the consolidated financial statements and notes thereto to make them consistent with the current period presentation.</w:t>
      </w:r>
    </w:p>
    <w:p>
      <w:pPr>
        <w:spacing w:after="0" w:line="134"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b w:val="1"/>
          <w:bCs w:val="1"/>
          <w:i w:val="1"/>
          <w:iCs w:val="1"/>
          <w:color w:val="auto"/>
        </w:rPr>
        <w:t xml:space="preserve">Use of Estimates. </w:t>
      </w:r>
      <w:r>
        <w:rPr>
          <w:rFonts w:ascii="Arial" w:cs="Arial" w:eastAsia="Arial" w:hAnsi="Arial"/>
          <w:sz w:val="19"/>
          <w:szCs w:val="19"/>
          <w:color w:val="auto"/>
        </w:rPr>
        <w:t>The preparation of financial statements in conformity with accounting principles generally accepted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include those related to deferred revenues, allowance for credit loss accounts, useful lives of property and equipment, impairments, income tax provisions and certain accrued liabilities. Actual results could differ from estimates and those differences may be material.</w:t>
      </w:r>
    </w:p>
    <w:p>
      <w:pPr>
        <w:spacing w:after="0" w:line="123"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b w:val="1"/>
          <w:bCs w:val="1"/>
          <w:i w:val="1"/>
          <w:iCs w:val="1"/>
          <w:color w:val="auto"/>
        </w:rPr>
        <w:t>Revenue Recognition</w:t>
      </w:r>
      <w:r>
        <w:rPr>
          <w:rFonts w:ascii="Arial" w:cs="Arial" w:eastAsia="Arial" w:hAnsi="Arial"/>
          <w:sz w:val="19"/>
          <w:szCs w:val="19"/>
          <w:color w:val="auto"/>
        </w:rPr>
        <w:t>. Revenue is recognized when (or as) the Company transfers promised goods or services to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customers in amounts that reflect the consideration to which the Company expects to be entitled to in exchange for those goods or services, which occurs when (or as) the Company satisfies its contractual obligations and transfers over control of the promised goods or services to its customers. The Company recognizes revenue net of sales taxes based on its estimates of the consideration the Company expects to receive. Costs to obtain or fulfill a contract are expensed as incurred.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9" w:name="page10"/>
    <w:bookmarkEnd w:id="9"/>
    <w:p>
      <w:pPr>
        <w:jc w:val="both"/>
        <w:ind w:firstLine="749"/>
        <w:spacing w:after="0" w:line="274" w:lineRule="auto"/>
        <w:rPr>
          <w:sz w:val="20"/>
          <w:szCs w:val="20"/>
          <w:color w:val="auto"/>
        </w:rPr>
      </w:pPr>
      <w:r>
        <w:rPr>
          <w:rFonts w:ascii="Arial" w:cs="Arial" w:eastAsia="Arial" w:hAnsi="Arial"/>
          <w:sz w:val="19"/>
          <w:szCs w:val="19"/>
          <w:color w:val="auto"/>
        </w:rPr>
        <w:t>The Company earns revenue primarily from the time charter and bareboat charter of vessels to customers. Since the Company charges customers based upon daily rates of hire, vessel revenues are recognized on a daily basis throughout the contract period. Under a time charter, the Company provides a vessel to a customer and is responsible for all operating expenses, typically excluding fuel. Under a bareboat charter, the Company provides a vessel to a customer and the customer assumes responsibility for all operating expenses and assumes all risks of operation. In the U.S. Gulf of Mexico, time charter durations and rates are typically established in the context of master service agreements that govern the terms and conditions of the charter. From time to time, the Company may also participate in pooling arrangements. In a pooling arrangement, the time charter revenues of certain of the Company’s vessels are shared with the time charter revenues of certain vessels of similar type owned by non-affiliated vessel owners based upon an agreed formula.</w:t>
      </w:r>
    </w:p>
    <w:p>
      <w:pPr>
        <w:spacing w:after="0" w:line="13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Contract or charter durations may range from several days to several years. Charters vary in length from short-term to multi-year periods, many with cancellation clauses and without early termination penalties. As a result of options and frequent renewals, the stated duration of charters may have little correlation with the length of time the vessel is contracted to provide services to a particular customer.</w:t>
      </w:r>
    </w:p>
    <w:p>
      <w:pPr>
        <w:spacing w:after="0" w:line="144"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color w:val="auto"/>
        </w:rPr>
        <w:t>The Company also contracts with various customers to carry out management services for vessels as agents for and on behalf of ship owners. These services include crew management, technical management, commercial management, insurance arrangements, sale and purchase of vessels, provisions and bunkering. As the manager of the vessels, the Company undertakes to use its best efforts to provide the agreed management services as agents for and on behalf of the owners in accordance with sound ship management practice and to protect and promote the interest of the owners in all matters relating to the provision of services thereunder. The Company also contracts with various customers to carry out management services regarding engineering for vessel construction and vessel conversions. The vast majority of the ship management agreements span one to three years and are typically billed on a monthly basis. The Company transfers control of the service to the customer and satisfies its performance obligation over the term of the contract, and therefore recognizes revenue over the term of the contract while related costs are expensed as incurred.</w:t>
      </w:r>
    </w:p>
    <w:p>
      <w:pPr>
        <w:spacing w:after="0" w:line="361"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Revenue that does not meet these criteria is deferred until the criteria is met and is considered a contract liability and is recognized as such. Contract liabilities, which are included in other current liabilities in the accompanying consolidated balance sheets, for the three months ended March 31, 2022 and three months ended March 31, 2021 were as follows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period</w:t>
            </w:r>
          </w:p>
        </w:tc>
        <w:tc>
          <w:tcPr>
            <w:tcW w:w="1120" w:type="dxa"/>
            <w:vAlign w:val="bottom"/>
            <w:shd w:val="clear" w:color="auto" w:fill="CFF0FC"/>
          </w:tcPr>
          <w:p>
            <w:pPr>
              <w:jc w:val="right"/>
              <w:ind w:right="9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3,307</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Revenues deferred during the period</w:t>
            </w:r>
          </w:p>
        </w:tc>
        <w:tc>
          <w:tcPr>
            <w:tcW w:w="112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Revenues recognized and reclassifications during the period</w:t>
            </w:r>
          </w:p>
        </w:tc>
        <w:tc>
          <w:tcPr>
            <w:tcW w:w="1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(730)</w:t>
            </w: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2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2,627</w:t>
            </w:r>
          </w:p>
        </w:tc>
        <w:tc>
          <w:tcPr>
            <w:tcW w:w="12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As of March 31, 2022, the Company had deferred revenues of $0.3 million primarily comprised of prepaid charter modification and reservations.</w:t>
      </w:r>
    </w:p>
    <w:p>
      <w:pPr>
        <w:spacing w:after="0" w:line="148"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b w:val="1"/>
          <w:bCs w:val="1"/>
          <w:i w:val="1"/>
          <w:iCs w:val="1"/>
          <w:color w:val="auto"/>
        </w:rPr>
        <w:t xml:space="preserve">Cash and Cash Equivalents. </w:t>
      </w:r>
      <w:r>
        <w:rPr>
          <w:rFonts w:ascii="Arial" w:cs="Arial" w:eastAsia="Arial" w:hAnsi="Arial"/>
          <w:sz w:val="22"/>
          <w:szCs w:val="22"/>
          <w:color w:val="auto"/>
        </w:rPr>
        <w:t>The Company considers all highly liquid investments, with an original maturity of three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months or less from the date purchased, to be cash equivalents.</w:t>
      </w:r>
    </w:p>
    <w:p>
      <w:pPr>
        <w:spacing w:after="0" w:line="134"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Restricted Cash. </w:t>
      </w:r>
      <w:r>
        <w:rPr>
          <w:rFonts w:ascii="Arial" w:cs="Arial" w:eastAsia="Arial" w:hAnsi="Arial"/>
          <w:sz w:val="22"/>
          <w:szCs w:val="22"/>
          <w:color w:val="auto"/>
        </w:rPr>
        <w:t>Restricted cash primarily relates to banking facility requirements.</w:t>
      </w:r>
    </w:p>
    <w:p>
      <w:pPr>
        <w:spacing w:after="0" w:line="16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b w:val="1"/>
          <w:bCs w:val="1"/>
          <w:i w:val="1"/>
          <w:iCs w:val="1"/>
          <w:color w:val="auto"/>
        </w:rPr>
        <w:t xml:space="preserve">Trade and Other Receivables. </w:t>
      </w:r>
      <w:r>
        <w:rPr>
          <w:rFonts w:ascii="Arial" w:cs="Arial" w:eastAsia="Arial" w:hAnsi="Arial"/>
          <w:sz w:val="19"/>
          <w:szCs w:val="19"/>
          <w:color w:val="auto"/>
        </w:rPr>
        <w:t>Customers are primarily major integrated national and international oil companies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large independent oil and natural gas exploration and production companies. Customers are granted credit on a short-term basis and the related credit risks are minimal. Other receivables consist primarily of operating expenses the Company incurs in relation to vessels it manages for other entities, as well as insurance and income tax receivables. The Company routinely reviews its receivables and makes provisions for the credit losses utilizing the Current Expected Credit Losses model (“CECL”). The CECL model utilizes a lifetime expected credit loss measurement objective for the recognition of credit losses for loans and other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0" w:name="page11"/>
    <w:bookmarkEnd w:id="10"/>
    <w:p>
      <w:pPr>
        <w:jc w:val="both"/>
        <w:spacing w:after="0" w:line="257" w:lineRule="auto"/>
        <w:rPr>
          <w:sz w:val="20"/>
          <w:szCs w:val="20"/>
          <w:color w:val="auto"/>
        </w:rPr>
      </w:pPr>
      <w:r>
        <w:rPr>
          <w:rFonts w:ascii="Arial" w:cs="Arial" w:eastAsia="Arial" w:hAnsi="Arial"/>
          <w:sz w:val="21"/>
          <w:szCs w:val="21"/>
          <w:color w:val="auto"/>
        </w:rPr>
        <w:t>receivables at the time the financial asset is originated or acquired. However, those provisions are estimates and actual results may materially differ from those estimates. Trade receivables are deemed uncollectible and are removed from accounts receivable and the allowance for credit losses when collection efforts have been exhausted.</w:t>
      </w:r>
    </w:p>
    <w:p>
      <w:pPr>
        <w:spacing w:after="0" w:line="142" w:lineRule="exact"/>
        <w:rPr>
          <w:sz w:val="20"/>
          <w:szCs w:val="20"/>
          <w:color w:val="auto"/>
        </w:rPr>
      </w:pPr>
    </w:p>
    <w:p>
      <w:pPr>
        <w:jc w:val="both"/>
        <w:ind w:firstLine="749"/>
        <w:spacing w:after="0" w:line="277" w:lineRule="auto"/>
        <w:rPr>
          <w:sz w:val="20"/>
          <w:szCs w:val="20"/>
          <w:color w:val="auto"/>
        </w:rPr>
      </w:pPr>
      <w:r>
        <w:rPr>
          <w:rFonts w:ascii="Arial" w:cs="Arial" w:eastAsia="Arial" w:hAnsi="Arial"/>
          <w:sz w:val="19"/>
          <w:szCs w:val="19"/>
          <w:b w:val="1"/>
          <w:bCs w:val="1"/>
          <w:i w:val="1"/>
          <w:iCs w:val="1"/>
          <w:color w:val="auto"/>
        </w:rPr>
        <w:t xml:space="preserve">Property and Equipment. </w:t>
      </w:r>
      <w:r>
        <w:rPr>
          <w:rFonts w:ascii="Arial" w:cs="Arial" w:eastAsia="Arial" w:hAnsi="Arial"/>
          <w:sz w:val="19"/>
          <w:szCs w:val="19"/>
          <w:color w:val="auto"/>
        </w:rPr>
        <w:t>Equipment, stated at cost, is depreciated using the straight-line method over the estimated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useful life of the asset to an estimated salvage value. With respect to each class of asset, the estimated useful life is based upon a newly built asset being placed into service and represents the time period beyond which it is typically not justifiable for the Company to continue to operate the asset in the same or similar manner. From time to time, the Company may acquire older vessels that have already exceeded the Company’s useful life policy, in which case the Company depreciates such assets based on its best estimate of remaining useful life, typically the next survey or certification date. As of March 31, 2022, the estimated useful life (in years) of the Company’s new Offshore Support Vessels was 20 years.</w:t>
      </w:r>
    </w:p>
    <w:p>
      <w:pPr>
        <w:spacing w:after="0" w:line="179"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Equipment maintenance and repair costs and the costs of routine overhauls, drydockings and inspections performed on vessels and equipment are charged to operating expense as incurred. Expenditures that extend the useful life or improve the marketing and commercial characteristics of equipment as well as major renewals and improvements to other properties are capitalized.</w:t>
      </w:r>
    </w:p>
    <w:p>
      <w:pPr>
        <w:spacing w:after="0" w:line="185" w:lineRule="exact"/>
        <w:rPr>
          <w:sz w:val="20"/>
          <w:szCs w:val="20"/>
          <w:color w:val="auto"/>
        </w:rPr>
      </w:pPr>
    </w:p>
    <w:p>
      <w:pPr>
        <w:jc w:val="both"/>
        <w:ind w:firstLine="749"/>
        <w:spacing w:after="0" w:line="297" w:lineRule="auto"/>
        <w:rPr>
          <w:sz w:val="20"/>
          <w:szCs w:val="20"/>
          <w:color w:val="auto"/>
        </w:rPr>
      </w:pPr>
      <w:r>
        <w:rPr>
          <w:rFonts w:ascii="Arial" w:cs="Arial" w:eastAsia="Arial" w:hAnsi="Arial"/>
          <w:sz w:val="19"/>
          <w:szCs w:val="19"/>
          <w:color w:val="auto"/>
        </w:rPr>
        <w:t>Certain interest costs incurred during the construction of equipment are capitalized as part of the assets’ carrying values and are amortized over such assets estimated useful lives. There was no capitalized interest recognized during the three months ended March 31, 2022. During the three months ended March 31, 2021 capitalized interest totaled $0.2 million.</w:t>
      </w:r>
    </w:p>
    <w:p>
      <w:pPr>
        <w:spacing w:after="0" w:line="13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b w:val="1"/>
          <w:bCs w:val="1"/>
          <w:i w:val="1"/>
          <w:iCs w:val="1"/>
          <w:color w:val="auto"/>
        </w:rPr>
        <w:t xml:space="preserve">Impairment of Long-Lived Assets. </w:t>
      </w:r>
      <w:r>
        <w:rPr>
          <w:rFonts w:ascii="Arial" w:cs="Arial" w:eastAsia="Arial" w:hAnsi="Arial"/>
          <w:sz w:val="19"/>
          <w:szCs w:val="19"/>
          <w:color w:val="auto"/>
        </w:rPr>
        <w:t>The Company performs an impairment analysis of long-lived assets used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operations, including intangible assets, when indicators of impairment are present. These indicators may include a significant decrease in the market price of a long-lived asset or asset group, a significant adverse change in the extent or manner in which a long-lived asset or asset group is being used or in its physical condition, or a current period operating or cash flow loss combined with a history of operating or cash flow losses or a forecast that demonstrates continuing losses associated with the use of a long-lived asset or asset group. If the carrying values of the assets are not recoverable, as determined by their estimated future undiscounted cash flows, the estimated fair value of the assets or asset groups are compared to their current carrying values and impairment charges are recorded if the carrying value exceeds fair value.</w:t>
      </w:r>
    </w:p>
    <w:p>
      <w:pPr>
        <w:spacing w:after="0" w:line="184"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For the three months ended March 31, 2022, the Company recorded impairment charges of $0.9 million related to one fast support vessel (“FSV”) classified as held for sale as of March 31, 2022, which was included in the Africa and Europe segment with a carrying value of $2.3 million. There were no impairments of other owned or leased-in vessels. For the three months ended March 31, 2021, the Company did not record an impairment on any owned or leased-in vessels. Estimated fair values for the Company owned vessels were established by independent appraisers based on researched market information, replacement cost information and other data.</w:t>
      </w:r>
    </w:p>
    <w:p>
      <w:pPr>
        <w:spacing w:after="0" w:line="14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For vessel classes and individual vessels with indicators of impairment as of March 31, 2022, the Company estimated that their future undiscounted cash flows exceeded their current carrying values. However, the Company’s estimates of future undiscounted cash flows are highly subjective as utilization and rates per day worked are uncertain, especially in light of the continued volatility in commodity prices, as well as the timing and cost of reactivating cold-stacked vessels. If market conditions continue to decline, changes in the Company’s expectations on future cash flows may result in recognizing additional impairment charges related to its long-lived assets in future periods. For any vessel or vessel class that has indicators of impairment and is deemed not recoverable through future operations, the Company determines the fair value of the vessel or vessel class. If the fair value determination is less than the carrying value of the vessel or vessel class, 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1" w:name="page12"/>
    <w:bookmarkEnd w:id="11"/>
    <w:p>
      <w:pPr>
        <w:jc w:val="both"/>
        <w:spacing w:after="0" w:line="250" w:lineRule="auto"/>
        <w:rPr>
          <w:sz w:val="20"/>
          <w:szCs w:val="20"/>
          <w:color w:val="auto"/>
        </w:rPr>
      </w:pPr>
      <w:r>
        <w:rPr>
          <w:rFonts w:ascii="Arial" w:cs="Arial" w:eastAsia="Arial" w:hAnsi="Arial"/>
          <w:sz w:val="22"/>
          <w:szCs w:val="22"/>
          <w:color w:val="auto"/>
        </w:rPr>
        <w:t>impairment is recognized to reduce the carrying value to fair value. Fair value determination is primarily accomplished by obtaining independent valuations of vessel or vessel classes from qualified third-party appraisers.</w:t>
      </w:r>
    </w:p>
    <w:p>
      <w:pPr>
        <w:spacing w:after="0" w:line="14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b w:val="1"/>
          <w:bCs w:val="1"/>
          <w:i w:val="1"/>
          <w:iCs w:val="1"/>
          <w:color w:val="auto"/>
        </w:rPr>
        <w:t xml:space="preserve">Impairment of </w:t>
      </w:r>
      <w:r>
        <w:rPr>
          <w:rFonts w:ascii="Arial" w:cs="Arial" w:eastAsia="Arial" w:hAnsi="Arial"/>
          <w:sz w:val="19"/>
          <w:szCs w:val="19"/>
          <w:b w:val="1"/>
          <w:bCs w:val="1"/>
          <w:color w:val="auto"/>
        </w:rPr>
        <w:t>50%</w:t>
      </w:r>
      <w:r>
        <w:rPr>
          <w:rFonts w:ascii="Arial" w:cs="Arial" w:eastAsia="Arial" w:hAnsi="Arial"/>
          <w:sz w:val="19"/>
          <w:szCs w:val="19"/>
          <w:b w:val="1"/>
          <w:bCs w:val="1"/>
          <w:i w:val="1"/>
          <w:iCs w:val="1"/>
          <w:color w:val="auto"/>
        </w:rPr>
        <w:t xml:space="preserve"> or Less Owned Companies. </w:t>
      </w:r>
      <w:r>
        <w:rPr>
          <w:rFonts w:ascii="Arial" w:cs="Arial" w:eastAsia="Arial" w:hAnsi="Arial"/>
          <w:sz w:val="19"/>
          <w:szCs w:val="19"/>
          <w:color w:val="auto"/>
        </w:rPr>
        <w:t>Investments in 50% or less owned companies are reviewed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periodically to assess whether there is an other-than-temporary decline in the carrying value of the investment. In its evaluation, the Company considers, among other items, recent and expected financial performance and returns, impairments recorded by the investee and the capital structure of the investee. When the Company determines the estimated fair value of an investment is below carrying value and the decline is other-than-temporary, the investment is written down to its estimated fair value. Actual results may vary from the Company’s estimates due to the uncertainty regarding projected financial performance, the severity and expected duration of declines in value and the available liquidity in the capital markets to support the continuing operations of the investee, among other factors. Although the Company believes its assumptions and estimates are reasonable, the investee’s actual performance compared with the estimates could produce different results and lead to additional impairment charges in future periods. During the three months ended March 31, 2022 and 2021, the Company did not recognize any impairment charges related to its 50% or less owned companies.</w:t>
      </w:r>
    </w:p>
    <w:p>
      <w:pPr>
        <w:spacing w:after="0" w:line="360" w:lineRule="exact"/>
        <w:rPr>
          <w:sz w:val="20"/>
          <w:szCs w:val="20"/>
          <w:color w:val="auto"/>
        </w:rPr>
      </w:pPr>
    </w:p>
    <w:p>
      <w:pPr>
        <w:jc w:val="both"/>
        <w:ind w:right="20" w:firstLine="749"/>
        <w:spacing w:after="0" w:line="328" w:lineRule="auto"/>
        <w:rPr>
          <w:sz w:val="20"/>
          <w:szCs w:val="20"/>
          <w:color w:val="auto"/>
        </w:rPr>
      </w:pPr>
      <w:r>
        <w:rPr>
          <w:rFonts w:ascii="Arial" w:cs="Arial" w:eastAsia="Arial" w:hAnsi="Arial"/>
          <w:sz w:val="19"/>
          <w:szCs w:val="19"/>
          <w:b w:val="1"/>
          <w:bCs w:val="1"/>
          <w:i w:val="1"/>
          <w:iCs w:val="1"/>
          <w:color w:val="auto"/>
        </w:rPr>
        <w:t xml:space="preserve">Income Taxes. </w:t>
      </w:r>
      <w:r>
        <w:rPr>
          <w:rFonts w:ascii="Arial" w:cs="Arial" w:eastAsia="Arial" w:hAnsi="Arial"/>
          <w:sz w:val="19"/>
          <w:szCs w:val="19"/>
          <w:color w:val="auto"/>
        </w:rPr>
        <w:t>During the three months ended March 31, 2022, the Company’s effective income tax rate of 10.56% was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primarily due to foreign taxes not creditable against U.S. income taxes and foreign losses for which there is no benefit in the U.S.</w:t>
      </w:r>
    </w:p>
    <w:p>
      <w:pPr>
        <w:spacing w:after="0" w:line="64"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b w:val="1"/>
          <w:bCs w:val="1"/>
          <w:i w:val="1"/>
          <w:iCs w:val="1"/>
          <w:color w:val="auto"/>
        </w:rPr>
        <w:t xml:space="preserve">Accumulated Other Comprehensive Income (Loss). </w:t>
      </w:r>
      <w:r>
        <w:rPr>
          <w:rFonts w:ascii="Arial" w:cs="Arial" w:eastAsia="Arial" w:hAnsi="Arial"/>
          <w:sz w:val="22"/>
          <w:szCs w:val="22"/>
          <w:color w:val="auto"/>
        </w:rPr>
        <w:t>The components of accumulated other comprehensive loss were as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5"/>
              </w:rPr>
              <w:t>SEACOR Marine Holdings Inc.</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1"/>
              </w:rPr>
              <w:t>Stockholders’ Equity</w:t>
            </w: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159"/>
              <w:spacing w:after="0"/>
              <w:rPr>
                <w:sz w:val="20"/>
                <w:szCs w:val="20"/>
                <w:color w:val="auto"/>
              </w:rPr>
            </w:pPr>
            <w:r>
              <w:rPr>
                <w:rFonts w:ascii="Arial" w:cs="Arial" w:eastAsia="Arial" w:hAnsi="Arial"/>
                <w:sz w:val="16"/>
                <w:szCs w:val="16"/>
                <w:b w:val="1"/>
                <w:bCs w:val="1"/>
                <w:color w:val="auto"/>
                <w:w w:val="91"/>
              </w:rPr>
              <w:t>Foreign</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Derivative</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159"/>
              <w:spacing w:after="0"/>
              <w:rPr>
                <w:sz w:val="20"/>
                <w:szCs w:val="20"/>
                <w:color w:val="auto"/>
              </w:rPr>
            </w:pPr>
            <w:r>
              <w:rPr>
                <w:rFonts w:ascii="Arial" w:cs="Arial" w:eastAsia="Arial" w:hAnsi="Arial"/>
                <w:sz w:val="16"/>
                <w:szCs w:val="16"/>
                <w:b w:val="1"/>
                <w:bCs w:val="1"/>
                <w:color w:val="auto"/>
                <w:w w:val="93"/>
              </w:rPr>
              <w:t>Currency</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7"/>
              </w:rPr>
              <w:t>Gains (Losses) on</w:t>
            </w:r>
          </w:p>
        </w:tc>
        <w:tc>
          <w:tcPr>
            <w:tcW w:w="18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Total Other</w:t>
            </w:r>
          </w:p>
        </w:tc>
        <w:tc>
          <w:tcPr>
            <w:tcW w:w="0" w:type="dxa"/>
            <w:vAlign w:val="bottom"/>
          </w:tcPr>
          <w:p>
            <w:pPr>
              <w:spacing w:after="0"/>
              <w:rPr>
                <w:sz w:val="1"/>
                <w:szCs w:val="1"/>
                <w:color w:val="auto"/>
              </w:rPr>
            </w:pPr>
          </w:p>
        </w:tc>
      </w:tr>
      <w:tr>
        <w:trPr>
          <w:trHeight w:val="203"/>
        </w:trPr>
        <w:tc>
          <w:tcPr>
            <w:tcW w:w="40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Translation</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Cash Flow</w:t>
            </w:r>
          </w:p>
        </w:tc>
        <w:tc>
          <w:tcPr>
            <w:tcW w:w="180" w:type="dxa"/>
            <w:vAlign w:val="bottom"/>
          </w:tcPr>
          <w:p>
            <w:pPr>
              <w:spacing w:after="0"/>
              <w:rPr>
                <w:sz w:val="17"/>
                <w:szCs w:val="17"/>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3"/>
        </w:trPr>
        <w:tc>
          <w:tcPr>
            <w:tcW w:w="4060" w:type="dxa"/>
            <w:vAlign w:val="bottom"/>
            <w:tcBorders>
              <w:bottom w:val="single" w:sz="8" w:color="CFF0FC"/>
            </w:tcBorders>
          </w:tcPr>
          <w:p>
            <w:pPr>
              <w:spacing w:after="0"/>
              <w:rPr>
                <w:sz w:val="18"/>
                <w:szCs w:val="18"/>
                <w:color w:val="auto"/>
              </w:rPr>
            </w:pPr>
          </w:p>
        </w:tc>
        <w:tc>
          <w:tcPr>
            <w:tcW w:w="15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0"/>
              </w:rPr>
              <w:t>Adjustments</w:t>
            </w:r>
          </w:p>
        </w:tc>
        <w:tc>
          <w:tcPr>
            <w:tcW w:w="3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8"/>
              </w:rPr>
              <w:t>Hedges, net</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2"/>
              </w:rPr>
              <w:t>Income</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December 31, 2021</w:t>
            </w: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10,783</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(2,728)</w:t>
            </w: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Other comprehensive (loss) income</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159"/>
              <w:spacing w:after="0"/>
              <w:rPr>
                <w:sz w:val="20"/>
                <w:szCs w:val="20"/>
                <w:color w:val="auto"/>
              </w:rPr>
            </w:pPr>
            <w:r>
              <w:rPr>
                <w:rFonts w:ascii="Arial" w:cs="Arial" w:eastAsia="Arial" w:hAnsi="Arial"/>
                <w:sz w:val="16"/>
                <w:szCs w:val="16"/>
                <w:color w:val="auto"/>
              </w:rPr>
              <w:t>(714)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1,512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as of March 31, 2022</w:t>
            </w:r>
          </w:p>
        </w:tc>
        <w:tc>
          <w:tcPr>
            <w:tcW w:w="15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60" w:type="dxa"/>
            <w:vAlign w:val="bottom"/>
            <w:vMerge w:val="continue"/>
            <w:shd w:val="clear" w:color="auto" w:fill="CFF0FC"/>
          </w:tcPr>
          <w:p>
            <w:pPr>
              <w:spacing w:after="0"/>
              <w:rPr>
                <w:sz w:val="18"/>
                <w:szCs w:val="18"/>
                <w:color w:val="auto"/>
              </w:rPr>
            </w:pPr>
          </w:p>
        </w:tc>
        <w:tc>
          <w:tcPr>
            <w:tcW w:w="1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10,069</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(1,216)</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9"/>
          <w:szCs w:val="19"/>
          <w:b w:val="1"/>
          <w:bCs w:val="1"/>
          <w:i w:val="1"/>
          <w:iCs w:val="1"/>
          <w:color w:val="auto"/>
        </w:rPr>
        <w:t xml:space="preserve">Earnings </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Loss) Per Share. </w:t>
      </w:r>
      <w:r>
        <w:rPr>
          <w:rFonts w:ascii="Arial" w:cs="Arial" w:eastAsia="Arial" w:hAnsi="Arial"/>
          <w:sz w:val="19"/>
          <w:szCs w:val="19"/>
          <w:color w:val="auto"/>
        </w:rPr>
        <w:t>Basic earnings/loss per share of Common Stock of the Company is computed based on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weighted average number of shares of Common Stock and warrants to purchase Common Stock at an exercise price of $0.01 per share (“Warrants”) issued and outstanding during the relevant periods. The Warrants are included in the basic earnings/loss per share of Common Stock because the shares issuable upon exercise of the Warrants are issuable for de minimis cash consideration and therefore not anti-dilutive. Diluted earnings/loss per share of Common Stock is computed based on the weighted average number of shares of Common Stock and Warrants issued and outstanding plus the effect of other potentially dilutive securities through the application of the treasury stock method and the if-converted method that assumes all shares of Common Stock have been issued and outstanding during the relevant periods pursuant to the conversion of the Convertible Senior Notes (as defined in “Note 4. Long-Term Debt”) unless anti-dilutive.</w:t>
      </w:r>
    </w:p>
    <w:p>
      <w:pPr>
        <w:spacing w:after="0" w:line="91"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The Company’s Convertible Senior Notes (“Convertible Senior Notes”) are currently convertible into 2,907,500 shares of Common Stock. For the three months ended March 31, 2022 and 2021, diluted loss per share of Common Stock excluded 2,907,500 issuable upon conversion of the Convertible Senior Notes and exercise of the related Warrants as the effect of their inclusion in the computation would be anti-dilutive. The number of shares of Common Stock issuable upon conversion of the Convertible Senior Notes and exercise of the related Warrants excluded from the calculation of diluted earnings/loss per share was incorrectly reported in certain prior periods as 2,183,708. This number of shares was adjusted in the period ended June 30, 2021 following revisions to the calculation.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2" w:name="page13"/>
    <w:bookmarkEnd w:id="12"/>
    <w:p>
      <w:pPr>
        <w:jc w:val="both"/>
        <w:ind w:firstLine="749"/>
        <w:spacing w:after="0" w:line="297" w:lineRule="auto"/>
        <w:rPr>
          <w:sz w:val="20"/>
          <w:szCs w:val="20"/>
          <w:color w:val="auto"/>
        </w:rPr>
      </w:pPr>
      <w:r>
        <w:rPr>
          <w:rFonts w:ascii="Arial" w:cs="Arial" w:eastAsia="Arial" w:hAnsi="Arial"/>
          <w:sz w:val="19"/>
          <w:szCs w:val="19"/>
          <w:color w:val="auto"/>
        </w:rPr>
        <w:t>In addition, for the three months ended March 31, 2022 and 2021 diluted loss per share of Common Stock excluded 1,469,647 and 1,059,077 shares of restricted stock, respectively, and 1,029,365 and 1,120,541 shares of stock, respectively, issuable upon exercise of outstanding stock options as the effect of their inclusion in the computation would be anti-dilutive.</w:t>
      </w:r>
    </w:p>
    <w:p>
      <w:pPr>
        <w:spacing w:after="0" w:line="66" w:lineRule="exact"/>
        <w:rPr>
          <w:sz w:val="20"/>
          <w:szCs w:val="20"/>
          <w:color w:val="auto"/>
        </w:rPr>
      </w:pPr>
    </w:p>
    <w:p>
      <w:pPr>
        <w:ind w:right="460" w:firstLine="749"/>
        <w:spacing w:after="0"/>
        <w:rPr>
          <w:sz w:val="20"/>
          <w:szCs w:val="20"/>
          <w:color w:val="auto"/>
        </w:rPr>
      </w:pPr>
      <w:r>
        <w:rPr>
          <w:rFonts w:ascii="Arial" w:cs="Arial" w:eastAsia="Arial" w:hAnsi="Arial"/>
          <w:sz w:val="22"/>
          <w:szCs w:val="22"/>
          <w:b w:val="1"/>
          <w:bCs w:val="1"/>
          <w:i w:val="1"/>
          <w:iCs w:val="1"/>
          <w:color w:val="auto"/>
        </w:rPr>
        <w:t xml:space="preserve">Subsequent events. </w:t>
      </w:r>
      <w:r>
        <w:rPr>
          <w:rFonts w:ascii="Arial" w:cs="Arial" w:eastAsia="Arial" w:hAnsi="Arial"/>
          <w:sz w:val="22"/>
          <w:szCs w:val="22"/>
          <w:color w:val="auto"/>
        </w:rPr>
        <w:t>The Company has evaluated subsequent events through May 4, 2022</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the date the financial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statements were issued. Any material subsequent events that occurred during this time have been properly recognized and/or disclosed in these financial statements.</w:t>
      </w:r>
    </w:p>
    <w:p>
      <w:pPr>
        <w:spacing w:after="0" w:line="180" w:lineRule="exact"/>
        <w:rPr>
          <w:sz w:val="20"/>
          <w:szCs w:val="20"/>
          <w:color w:val="auto"/>
        </w:rPr>
      </w:pPr>
    </w:p>
    <w:p>
      <w:pPr>
        <w:ind w:left="500" w:hanging="492"/>
        <w:spacing w:after="0"/>
        <w:tabs>
          <w:tab w:leader="none" w:pos="500" w:val="left"/>
        </w:tabs>
        <w:numPr>
          <w:ilvl w:val="0"/>
          <w:numId w:val="5"/>
        </w:numPr>
        <w:rPr>
          <w:rFonts w:ascii="Arial" w:cs="Arial" w:eastAsia="Arial" w:hAnsi="Arial"/>
          <w:sz w:val="22"/>
          <w:szCs w:val="22"/>
          <w:b w:val="1"/>
          <w:bCs w:val="1"/>
          <w:color w:val="222222"/>
        </w:rPr>
      </w:pPr>
      <w:r>
        <w:rPr>
          <w:rFonts w:ascii="Arial" w:cs="Arial" w:eastAsia="Arial" w:hAnsi="Arial"/>
          <w:sz w:val="22"/>
          <w:szCs w:val="22"/>
          <w:b w:val="1"/>
          <w:bCs w:val="1"/>
          <w:color w:val="222222"/>
        </w:rPr>
        <w:t>EQUIPMENT ACQUISITIONS AND DISPOSITIONS</w:t>
      </w:r>
    </w:p>
    <w:p>
      <w:pPr>
        <w:spacing w:after="0" w:line="226" w:lineRule="exact"/>
        <w:rPr>
          <w:sz w:val="20"/>
          <w:szCs w:val="20"/>
          <w:color w:val="auto"/>
        </w:rPr>
      </w:pPr>
    </w:p>
    <w:p>
      <w:pPr>
        <w:jc w:val="both"/>
        <w:ind w:firstLine="510"/>
        <w:spacing w:after="0" w:line="248" w:lineRule="auto"/>
        <w:rPr>
          <w:sz w:val="20"/>
          <w:szCs w:val="20"/>
          <w:color w:val="auto"/>
        </w:rPr>
      </w:pPr>
      <w:r>
        <w:rPr>
          <w:rFonts w:ascii="Arial" w:cs="Arial" w:eastAsia="Arial" w:hAnsi="Arial"/>
          <w:sz w:val="21"/>
          <w:szCs w:val="21"/>
          <w:color w:val="222222"/>
        </w:rPr>
        <w:t xml:space="preserve">During the three months ended </w:t>
      </w:r>
      <w:r>
        <w:rPr>
          <w:rFonts w:ascii="Arial" w:cs="Arial" w:eastAsia="Arial" w:hAnsi="Arial"/>
          <w:sz w:val="21"/>
          <w:szCs w:val="21"/>
          <w:color w:val="000000"/>
        </w:rPr>
        <w:t>March 31</w:t>
      </w:r>
      <w:r>
        <w:rPr>
          <w:rFonts w:ascii="Arial" w:cs="Arial" w:eastAsia="Arial" w:hAnsi="Arial"/>
          <w:sz w:val="21"/>
          <w:szCs w:val="21"/>
          <w:color w:val="222222"/>
        </w:rPr>
        <w:t xml:space="preserve">, 2022, capital expenditures were less than </w:t>
      </w:r>
      <w:r>
        <w:rPr>
          <w:rFonts w:ascii="Arial" w:cs="Arial" w:eastAsia="Arial" w:hAnsi="Arial"/>
          <w:sz w:val="21"/>
          <w:szCs w:val="21"/>
          <w:color w:val="000000"/>
        </w:rPr>
        <w:t>$0.1 million</w:t>
      </w:r>
      <w:r>
        <w:rPr>
          <w:rFonts w:ascii="Arial" w:cs="Arial" w:eastAsia="Arial" w:hAnsi="Arial"/>
          <w:sz w:val="21"/>
          <w:szCs w:val="21"/>
          <w:color w:val="222222"/>
        </w:rPr>
        <w:t>. T</w:t>
      </w:r>
      <w:r>
        <w:rPr>
          <w:rFonts w:ascii="Arial" w:cs="Arial" w:eastAsia="Arial" w:hAnsi="Arial"/>
          <w:sz w:val="21"/>
          <w:szCs w:val="21"/>
          <w:color w:val="000000"/>
        </w:rPr>
        <w:t>here were no e</w:t>
      </w:r>
      <w:r>
        <w:rPr>
          <w:rFonts w:ascii="Arial" w:cs="Arial" w:eastAsia="Arial" w:hAnsi="Arial"/>
          <w:sz w:val="21"/>
          <w:szCs w:val="21"/>
          <w:color w:val="222222"/>
        </w:rPr>
        <w:t xml:space="preserve">quipment deliveries during the three months ended </w:t>
      </w:r>
      <w:r>
        <w:rPr>
          <w:rFonts w:ascii="Arial" w:cs="Arial" w:eastAsia="Arial" w:hAnsi="Arial"/>
          <w:sz w:val="21"/>
          <w:szCs w:val="21"/>
          <w:color w:val="000000"/>
        </w:rPr>
        <w:t>March 31</w:t>
      </w:r>
      <w:r>
        <w:rPr>
          <w:rFonts w:ascii="Arial" w:cs="Arial" w:eastAsia="Arial" w:hAnsi="Arial"/>
          <w:sz w:val="21"/>
          <w:szCs w:val="21"/>
          <w:color w:val="222222"/>
        </w:rPr>
        <w:t xml:space="preserve">, 2022. </w:t>
      </w:r>
      <w:r>
        <w:rPr>
          <w:rFonts w:ascii="Arial" w:cs="Arial" w:eastAsia="Arial" w:hAnsi="Arial"/>
          <w:sz w:val="21"/>
          <w:szCs w:val="21"/>
          <w:color w:val="000000"/>
        </w:rPr>
        <w:t>During the three months ended March 31, 2022, the Company sold one</w:t>
      </w:r>
      <w:r>
        <w:rPr>
          <w:rFonts w:ascii="Arial" w:cs="Arial" w:eastAsia="Arial" w:hAnsi="Arial"/>
          <w:sz w:val="21"/>
          <w:szCs w:val="21"/>
          <w:color w:val="222222"/>
        </w:rPr>
        <w:t xml:space="preserve"> </w:t>
      </w:r>
      <w:r>
        <w:rPr>
          <w:rFonts w:ascii="Arial" w:cs="Arial" w:eastAsia="Arial" w:hAnsi="Arial"/>
          <w:sz w:val="21"/>
          <w:szCs w:val="21"/>
          <w:color w:val="000000"/>
        </w:rPr>
        <w:t>liftboat, which was previously removed from service, and office space for net cash proceeds of $5.3 million, after transaction costs, and a gain of $3.1 million. During the three months ended March 31, 2021, the Company sold one PSV and two FSVs for cash proceeds of $1.6 million and losses of $2.4 million. In addition, during the three months ended March 31, 2021, the Company received $1.7 million in deposits for future vessel sales.</w:t>
      </w:r>
    </w:p>
    <w:p>
      <w:pPr>
        <w:spacing w:after="0" w:line="204" w:lineRule="exact"/>
        <w:rPr>
          <w:sz w:val="20"/>
          <w:szCs w:val="20"/>
          <w:color w:val="auto"/>
        </w:rPr>
      </w:pPr>
    </w:p>
    <w:p>
      <w:pPr>
        <w:ind w:left="520"/>
        <w:spacing w:after="0"/>
        <w:rPr>
          <w:sz w:val="20"/>
          <w:szCs w:val="20"/>
          <w:color w:val="auto"/>
        </w:rPr>
      </w:pPr>
      <w:r>
        <w:rPr>
          <w:rFonts w:ascii="Arial" w:cs="Arial" w:eastAsia="Arial" w:hAnsi="Arial"/>
          <w:sz w:val="21"/>
          <w:szCs w:val="21"/>
          <w:color w:val="222222"/>
        </w:rPr>
        <w:t>As of January 12, 2021, the Company recognized a gain on the sale of Windcat Workboats Holdings Ltd. (“Windcat</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222222"/>
        </w:rPr>
        <w:t>Workboats”) of approximately $22.8 million, calculated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36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January 12, 2021</w:t>
            </w:r>
          </w:p>
        </w:tc>
        <w:tc>
          <w:tcPr>
            <w:tcW w:w="100" w:type="dxa"/>
            <w:vAlign w:val="bottom"/>
          </w:tcPr>
          <w:p>
            <w:pPr>
              <w:spacing w:after="0"/>
              <w:rPr>
                <w:sz w:val="18"/>
                <w:szCs w:val="18"/>
                <w:color w:val="auto"/>
              </w:rPr>
            </w:pPr>
          </w:p>
        </w:tc>
      </w:tr>
      <w:tr>
        <w:trPr>
          <w:trHeight w:val="212"/>
        </w:trPr>
        <w:tc>
          <w:tcPr>
            <w:tcW w:w="9360" w:type="dxa"/>
            <w:vAlign w:val="bottom"/>
          </w:tcPr>
          <w:p>
            <w:pPr>
              <w:ind w:left="260"/>
              <w:spacing w:after="0"/>
              <w:rPr>
                <w:sz w:val="20"/>
                <w:szCs w:val="20"/>
                <w:color w:val="auto"/>
              </w:rPr>
            </w:pPr>
            <w:r>
              <w:rPr>
                <w:rFonts w:ascii="Arial" w:cs="Arial" w:eastAsia="Arial" w:hAnsi="Arial"/>
                <w:sz w:val="16"/>
                <w:szCs w:val="16"/>
                <w:color w:val="auto"/>
              </w:rPr>
              <w:t>Total Proceeds Received</w:t>
            </w: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43,797</w:t>
            </w:r>
          </w:p>
        </w:tc>
        <w:tc>
          <w:tcPr>
            <w:tcW w:w="100" w:type="dxa"/>
            <w:vAlign w:val="bottom"/>
          </w:tcPr>
          <w:p>
            <w:pPr>
              <w:spacing w:after="0"/>
              <w:rPr>
                <w:sz w:val="18"/>
                <w:szCs w:val="18"/>
                <w:color w:val="auto"/>
              </w:rPr>
            </w:pPr>
          </w:p>
        </w:tc>
      </w:tr>
      <w:tr>
        <w:trPr>
          <w:trHeight w:val="219"/>
        </w:trPr>
        <w:tc>
          <w:tcPr>
            <w:tcW w:w="9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Transactions Fees and other Costs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1,562</w:t>
            </w:r>
          </w:p>
        </w:tc>
        <w:tc>
          <w:tcPr>
            <w:tcW w:w="100" w:type="dxa"/>
            <w:vAlign w:val="bottom"/>
            <w:shd w:val="clear" w:color="auto" w:fill="CFF0FC"/>
          </w:tcPr>
          <w:p>
            <w:pPr>
              <w:spacing w:after="0"/>
              <w:rPr>
                <w:sz w:val="19"/>
                <w:szCs w:val="19"/>
                <w:color w:val="auto"/>
              </w:rPr>
            </w:pPr>
          </w:p>
        </w:tc>
      </w:tr>
      <w:tr>
        <w:trPr>
          <w:trHeight w:val="213"/>
        </w:trPr>
        <w:tc>
          <w:tcPr>
            <w:tcW w:w="93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Cash Sold</w:t>
            </w: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w:t>
            </w:r>
          </w:p>
        </w:tc>
        <w:tc>
          <w:tcPr>
            <w:tcW w:w="100" w:type="dxa"/>
            <w:vAlign w:val="bottom"/>
            <w:tcBorders>
              <w:bottom w:val="single" w:sz="8" w:color="CFF0FC"/>
            </w:tcBorders>
          </w:tcPr>
          <w:p>
            <w:pPr>
              <w:spacing w:after="0"/>
              <w:rPr>
                <w:sz w:val="18"/>
                <w:szCs w:val="18"/>
                <w:color w:val="auto"/>
              </w:rPr>
            </w:pPr>
          </w:p>
        </w:tc>
      </w:tr>
      <w:tr>
        <w:trPr>
          <w:trHeight w:val="213"/>
        </w:trPr>
        <w:tc>
          <w:tcPr>
            <w:tcW w:w="9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Net Proceeds</w:t>
            </w: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38,715</w:t>
            </w:r>
          </w:p>
        </w:tc>
        <w:tc>
          <w:tcPr>
            <w:tcW w:w="100" w:type="dxa"/>
            <w:vAlign w:val="bottom"/>
            <w:shd w:val="clear" w:color="auto" w:fill="CFF0FC"/>
          </w:tcPr>
          <w:p>
            <w:pPr>
              <w:spacing w:after="0"/>
              <w:rPr>
                <w:sz w:val="18"/>
                <w:szCs w:val="18"/>
                <w:color w:val="auto"/>
              </w:rPr>
            </w:pPr>
          </w:p>
        </w:tc>
      </w:tr>
      <w:tr>
        <w:trPr>
          <w:trHeight w:val="207"/>
        </w:trPr>
        <w:tc>
          <w:tcPr>
            <w:tcW w:w="9360" w:type="dxa"/>
            <w:vAlign w:val="bottom"/>
          </w:tcPr>
          <w:p>
            <w:pPr>
              <w:ind w:left="260"/>
              <w:spacing w:after="0"/>
              <w:rPr>
                <w:sz w:val="20"/>
                <w:szCs w:val="20"/>
                <w:color w:val="auto"/>
              </w:rPr>
            </w:pPr>
            <w:r>
              <w:rPr>
                <w:rFonts w:ascii="Arial" w:cs="Arial" w:eastAsia="Arial" w:hAnsi="Arial"/>
                <w:sz w:val="16"/>
                <w:szCs w:val="16"/>
                <w:color w:val="auto"/>
              </w:rPr>
              <w:t>Less: Net Equity in Windcat Workboats, net of cash sold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15,790</w:t>
            </w:r>
          </w:p>
        </w:tc>
        <w:tc>
          <w:tcPr>
            <w:tcW w:w="100" w:type="dxa"/>
            <w:vAlign w:val="bottom"/>
          </w:tcPr>
          <w:p>
            <w:pPr>
              <w:spacing w:after="0"/>
              <w:rPr>
                <w:sz w:val="17"/>
                <w:szCs w:val="17"/>
                <w:color w:val="auto"/>
              </w:rPr>
            </w:pPr>
          </w:p>
        </w:tc>
      </w:tr>
      <w:tr>
        <w:trPr>
          <w:trHeight w:val="219"/>
        </w:trPr>
        <w:tc>
          <w:tcPr>
            <w:tcW w:w="9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Less: January Income on Discontinued Operations</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FF0FC"/>
          </w:tcPr>
          <w:p>
            <w:pPr>
              <w:spacing w:after="0"/>
              <w:rPr>
                <w:sz w:val="19"/>
                <w:szCs w:val="19"/>
                <w:color w:val="auto"/>
              </w:rPr>
            </w:pPr>
          </w:p>
        </w:tc>
      </w:tr>
      <w:tr>
        <w:trPr>
          <w:trHeight w:val="207"/>
        </w:trPr>
        <w:tc>
          <w:tcPr>
            <w:tcW w:w="9360" w:type="dxa"/>
            <w:vAlign w:val="bottom"/>
          </w:tcPr>
          <w:p>
            <w:pPr>
              <w:ind w:left="260"/>
              <w:spacing w:after="0"/>
              <w:rPr>
                <w:sz w:val="20"/>
                <w:szCs w:val="20"/>
                <w:color w:val="auto"/>
              </w:rPr>
            </w:pPr>
            <w:r>
              <w:rPr>
                <w:rFonts w:ascii="Arial" w:cs="Arial" w:eastAsia="Arial" w:hAnsi="Arial"/>
                <w:sz w:val="16"/>
                <w:szCs w:val="16"/>
                <w:b w:val="1"/>
                <w:bCs w:val="1"/>
                <w:color w:val="auto"/>
              </w:rPr>
              <w:t>Gain on Sale of Windcat Workboats</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b w:val="1"/>
                <w:bCs w:val="1"/>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22,756</w:t>
            </w:r>
          </w:p>
        </w:tc>
        <w:tc>
          <w:tcPr>
            <w:tcW w:w="100" w:type="dxa"/>
            <w:vAlign w:val="bottom"/>
          </w:tcPr>
          <w:p>
            <w:pPr>
              <w:spacing w:after="0"/>
              <w:rPr>
                <w:sz w:val="17"/>
                <w:szCs w:val="17"/>
                <w:color w:val="auto"/>
              </w:rPr>
            </w:pPr>
          </w:p>
        </w:tc>
      </w:tr>
      <w:tr>
        <w:trPr>
          <w:trHeight w:val="20"/>
        </w:trPr>
        <w:tc>
          <w:tcPr>
            <w:tcW w:w="9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520"/>
        <w:spacing w:after="0"/>
        <w:rPr>
          <w:sz w:val="20"/>
          <w:szCs w:val="20"/>
          <w:color w:val="auto"/>
        </w:rPr>
      </w:pPr>
      <w:r>
        <w:rPr>
          <w:rFonts w:ascii="Arial" w:cs="Arial" w:eastAsia="Arial" w:hAnsi="Arial"/>
          <w:sz w:val="22"/>
          <w:szCs w:val="22"/>
          <w:color w:val="222222"/>
        </w:rPr>
        <w:t>See “Note 12. Discontinued Operations” for additional information on the sale of Windcat Workboats.</w:t>
      </w:r>
    </w:p>
    <w:p>
      <w:pPr>
        <w:spacing w:after="0" w:line="227" w:lineRule="exact"/>
        <w:rPr>
          <w:sz w:val="20"/>
          <w:szCs w:val="20"/>
          <w:color w:val="auto"/>
        </w:rPr>
      </w:pPr>
    </w:p>
    <w:p>
      <w:pPr>
        <w:ind w:left="500" w:hanging="492"/>
        <w:spacing w:after="0"/>
        <w:tabs>
          <w:tab w:leader="none" w:pos="50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INVESTMENTS, AT EQUITY AND ADVANCES TO 50% OR LESS OWNED </w:t>
      </w:r>
      <w:r>
        <w:rPr>
          <w:rFonts w:ascii="Arial" w:cs="Arial" w:eastAsia="Arial" w:hAnsi="Arial"/>
          <w:sz w:val="22"/>
          <w:szCs w:val="22"/>
          <w:b w:val="1"/>
          <w:bCs w:val="1"/>
          <w:color w:val="222222"/>
        </w:rPr>
        <w:t>COMPANIES</w:t>
      </w:r>
    </w:p>
    <w:p>
      <w:pPr>
        <w:spacing w:after="0" w:line="145" w:lineRule="exact"/>
        <w:rPr>
          <w:sz w:val="20"/>
          <w:szCs w:val="20"/>
          <w:color w:val="auto"/>
        </w:rPr>
      </w:pPr>
    </w:p>
    <w:p>
      <w:pPr>
        <w:ind w:firstLine="510"/>
        <w:spacing w:after="0" w:line="250" w:lineRule="auto"/>
        <w:rPr>
          <w:sz w:val="20"/>
          <w:szCs w:val="20"/>
          <w:color w:val="auto"/>
        </w:rPr>
      </w:pPr>
      <w:r>
        <w:rPr>
          <w:rFonts w:ascii="Arial" w:cs="Arial" w:eastAsia="Arial" w:hAnsi="Arial"/>
          <w:sz w:val="22"/>
          <w:szCs w:val="22"/>
          <w:color w:val="auto"/>
        </w:rPr>
        <w:t>Investments, at equity, and advances to 50% or less owned companies as of March 31, 2022 and December 31, 2021 were as follows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00" w:type="dxa"/>
            <w:vAlign w:val="bottom"/>
            <w:tcBorders>
              <w:bottom w:val="single" w:sz="8" w:color="CFF0FC"/>
            </w:tcBorders>
          </w:tcPr>
          <w:p>
            <w:pPr>
              <w:spacing w:after="0"/>
              <w:rPr>
                <w:sz w:val="18"/>
                <w:szCs w:val="18"/>
                <w:color w:val="auto"/>
              </w:rPr>
            </w:pPr>
          </w:p>
        </w:tc>
        <w:tc>
          <w:tcPr>
            <w:tcW w:w="18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Ownership</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FF0FC"/>
            </w:tcBorders>
          </w:tcPr>
          <w:p>
            <w:pPr>
              <w:spacing w:after="0"/>
              <w:rPr>
                <w:sz w:val="18"/>
                <w:szCs w:val="18"/>
                <w:color w:val="auto"/>
              </w:rPr>
            </w:pPr>
          </w:p>
        </w:tc>
      </w:tr>
      <w:tr>
        <w:trPr>
          <w:trHeight w:val="213"/>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MexMar</w:t>
            </w:r>
          </w:p>
        </w:tc>
        <w:tc>
          <w:tcPr>
            <w:tcW w:w="2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49.0%</w:t>
            </w:r>
          </w:p>
        </w:tc>
        <w:tc>
          <w:tcPr>
            <w:tcW w:w="52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64,510</w:t>
            </w:r>
          </w:p>
        </w:tc>
        <w:tc>
          <w:tcPr>
            <w:tcW w:w="24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59,940</w:t>
            </w:r>
          </w:p>
        </w:tc>
        <w:tc>
          <w:tcPr>
            <w:tcW w:w="100" w:type="dxa"/>
            <w:vAlign w:val="bottom"/>
            <w:shd w:val="clear" w:color="auto" w:fill="CFF0FC"/>
          </w:tcPr>
          <w:p>
            <w:pPr>
              <w:spacing w:after="0"/>
              <w:rPr>
                <w:sz w:val="18"/>
                <w:szCs w:val="18"/>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6"/>
                <w:szCs w:val="16"/>
                <w:color w:val="auto"/>
              </w:rPr>
              <w:t>SEACOR Marlin</w:t>
            </w:r>
          </w:p>
        </w:tc>
        <w:tc>
          <w:tcPr>
            <w:tcW w:w="2060" w:type="dxa"/>
            <w:vAlign w:val="bottom"/>
            <w:gridSpan w:val="2"/>
          </w:tcPr>
          <w:p>
            <w:pPr>
              <w:jc w:val="right"/>
              <w:ind w:right="80"/>
              <w:spacing w:after="0"/>
              <w:rPr>
                <w:sz w:val="20"/>
                <w:szCs w:val="20"/>
                <w:color w:val="auto"/>
              </w:rPr>
            </w:pPr>
            <w:r>
              <w:rPr>
                <w:rFonts w:ascii="Arial" w:cs="Arial" w:eastAsia="Arial" w:hAnsi="Arial"/>
                <w:sz w:val="16"/>
                <w:szCs w:val="16"/>
                <w:color w:val="auto"/>
              </w:rPr>
              <w:t>49.0%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6,276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6,958</w:t>
            </w:r>
          </w:p>
        </w:tc>
        <w:tc>
          <w:tcPr>
            <w:tcW w:w="100" w:type="dxa"/>
            <w:vAlign w:val="bottom"/>
          </w:tcPr>
          <w:p>
            <w:pPr>
              <w:spacing w:after="0"/>
              <w:rPr>
                <w:sz w:val="18"/>
                <w:szCs w:val="18"/>
                <w:color w:val="auto"/>
              </w:rPr>
            </w:pPr>
          </w:p>
        </w:tc>
      </w:tr>
      <w:tr>
        <w:trPr>
          <w:trHeight w:val="219"/>
        </w:trPr>
        <w:tc>
          <w:tcPr>
            <w:tcW w:w="5000" w:type="dxa"/>
            <w:vAlign w:val="bottom"/>
            <w:shd w:val="clear" w:color="auto" w:fill="CFF0FC"/>
          </w:tcPr>
          <w:p>
            <w:pPr>
              <w:spacing w:after="0"/>
              <w:rPr>
                <w:sz w:val="20"/>
                <w:szCs w:val="20"/>
                <w:color w:val="auto"/>
              </w:rPr>
            </w:pPr>
            <w:r>
              <w:rPr>
                <w:rFonts w:ascii="Arial" w:cs="Arial" w:eastAsia="Arial" w:hAnsi="Arial"/>
                <w:sz w:val="16"/>
                <w:szCs w:val="16"/>
                <w:color w:val="auto"/>
              </w:rPr>
              <w:t>Offshore Vessel Holdings</w:t>
            </w:r>
          </w:p>
        </w:tc>
        <w:tc>
          <w:tcPr>
            <w:tcW w:w="20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49.0%</w:t>
            </w:r>
          </w:p>
        </w:tc>
        <w:tc>
          <w:tcPr>
            <w:tcW w:w="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2,309</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1,847</w:t>
            </w:r>
          </w:p>
        </w:tc>
        <w:tc>
          <w:tcPr>
            <w:tcW w:w="100" w:type="dxa"/>
            <w:vAlign w:val="bottom"/>
            <w:shd w:val="clear" w:color="auto" w:fill="CFF0FC"/>
          </w:tcPr>
          <w:p>
            <w:pPr>
              <w:spacing w:after="0"/>
              <w:rPr>
                <w:sz w:val="19"/>
                <w:szCs w:val="19"/>
                <w:color w:val="auto"/>
              </w:rPr>
            </w:pPr>
          </w:p>
        </w:tc>
      </w:tr>
      <w:tr>
        <w:trPr>
          <w:trHeight w:val="213"/>
        </w:trPr>
        <w:tc>
          <w:tcPr>
            <w:tcW w:w="5000" w:type="dxa"/>
            <w:vAlign w:val="bottom"/>
          </w:tcPr>
          <w:p>
            <w:pPr>
              <w:spacing w:after="0"/>
              <w:rPr>
                <w:sz w:val="20"/>
                <w:szCs w:val="20"/>
                <w:color w:val="auto"/>
              </w:rPr>
            </w:pPr>
            <w:r>
              <w:rPr>
                <w:rFonts w:ascii="Arial" w:cs="Arial" w:eastAsia="Arial" w:hAnsi="Arial"/>
                <w:sz w:val="16"/>
                <w:szCs w:val="16"/>
                <w:color w:val="auto"/>
              </w:rPr>
              <w:t>Other</w:t>
            </w:r>
          </w:p>
        </w:tc>
        <w:tc>
          <w:tcPr>
            <w:tcW w:w="1860" w:type="dxa"/>
            <w:vAlign w:val="bottom"/>
          </w:tcPr>
          <w:p>
            <w:pPr>
              <w:jc w:val="right"/>
              <w:spacing w:after="0"/>
              <w:rPr>
                <w:sz w:val="20"/>
                <w:szCs w:val="20"/>
                <w:color w:val="auto"/>
              </w:rPr>
            </w:pPr>
            <w:r>
              <w:rPr>
                <w:rFonts w:ascii="Arial" w:cs="Arial" w:eastAsia="Arial" w:hAnsi="Arial"/>
                <w:sz w:val="16"/>
                <w:szCs w:val="16"/>
                <w:color w:val="auto"/>
              </w:rPr>
              <w:t>20.0% - 50.0%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3,765</w:t>
            </w:r>
          </w:p>
        </w:tc>
        <w:tc>
          <w:tcPr>
            <w:tcW w:w="2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2,982</w:t>
            </w:r>
          </w:p>
        </w:tc>
        <w:tc>
          <w:tcPr>
            <w:tcW w:w="100" w:type="dxa"/>
            <w:vAlign w:val="bottom"/>
          </w:tcPr>
          <w:p>
            <w:pPr>
              <w:spacing w:after="0"/>
              <w:rPr>
                <w:sz w:val="18"/>
                <w:szCs w:val="18"/>
                <w:color w:val="auto"/>
              </w:rPr>
            </w:pPr>
          </w:p>
        </w:tc>
      </w:tr>
      <w:tr>
        <w:trPr>
          <w:trHeight w:val="209"/>
        </w:trPr>
        <w:tc>
          <w:tcPr>
            <w:tcW w:w="5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76,860</w:t>
            </w:r>
          </w:p>
        </w:tc>
        <w:tc>
          <w:tcPr>
            <w:tcW w:w="24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71,727</w:t>
            </w:r>
          </w:p>
        </w:tc>
        <w:tc>
          <w:tcPr>
            <w:tcW w:w="10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8" w:right="339" w:bottom="1440" w:gutter="0" w:footer="0" w:header="0"/>
        </w:sectPr>
      </w:pPr>
    </w:p>
    <w:bookmarkStart w:id="13" w:name="page14"/>
    <w:bookmarkEnd w:id="13"/>
    <w:p>
      <w:pPr>
        <w:ind w:left="760" w:hanging="752"/>
        <w:spacing w:after="0"/>
        <w:tabs>
          <w:tab w:leader="none" w:pos="7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LONG-TERM DEBT</w:t>
      </w:r>
    </w:p>
    <w:p>
      <w:pPr>
        <w:spacing w:after="0" w:line="17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The Company’s long-term debt obligations as of March 31, 2022 and December 31, 2021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March 31, 2022</w:t>
            </w:r>
          </w:p>
        </w:tc>
        <w:tc>
          <w:tcPr>
            <w:tcW w:w="10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90"/>
              </w:rPr>
              <w:t>December 31, 2021</w:t>
            </w:r>
          </w:p>
        </w:tc>
      </w:tr>
      <w:tr>
        <w:trPr>
          <w:trHeight w:val="215"/>
        </w:trPr>
        <w:tc>
          <w:tcPr>
            <w:tcW w:w="7720" w:type="dxa"/>
            <w:vAlign w:val="bottom"/>
          </w:tcPr>
          <w:p>
            <w:pPr>
              <w:spacing w:after="0" w:line="216" w:lineRule="exact"/>
              <w:rPr>
                <w:sz w:val="20"/>
                <w:szCs w:val="20"/>
                <w:color w:val="auto"/>
              </w:rPr>
            </w:pPr>
            <w:r>
              <w:rPr>
                <w:rFonts w:ascii="Arial" w:cs="Arial" w:eastAsia="Arial" w:hAnsi="Arial"/>
                <w:sz w:val="15"/>
                <w:szCs w:val="15"/>
                <w:i w:val="1"/>
                <w:iCs w:val="1"/>
                <w:color w:val="auto"/>
              </w:rPr>
              <w:t>Recourse long-term debt</w:t>
            </w:r>
            <w:r>
              <w:rPr>
                <w:rFonts w:ascii="Arial" w:cs="Arial" w:eastAsia="Arial" w:hAnsi="Arial"/>
                <w:sz w:val="24"/>
                <w:szCs w:val="24"/>
                <w:i w:val="1"/>
                <w:iCs w:val="1"/>
                <w:color w:val="auto"/>
                <w:vertAlign w:val="superscript"/>
              </w:rPr>
              <w:t>(1)</w:t>
            </w:r>
            <w:r>
              <w:rPr>
                <w:rFonts w:ascii="Arial" w:cs="Arial" w:eastAsia="Arial" w:hAnsi="Arial"/>
                <w:sz w:val="15"/>
                <w:szCs w:val="15"/>
                <w:i w:val="1"/>
                <w:iCs w:val="1"/>
                <w:color w:val="auto"/>
              </w:rPr>
              <w:t>:</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Convertible Senior Notes</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125,000</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125,000</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SEACOR Marine Foreign Holdings Credit Facility</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83,220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86,470</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Sea-Cat Crewzer III Term Loan Facility</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17,940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19,178</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SEACOR Offshore Delta (f/k/a SEACOSCO) Acquisition Debt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18,705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18,705</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Delta (f/k/a SEACOSCO) Shipyard Financing</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84,204</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86,316</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SEACOR Alpine Shipyard Financing</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29,486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29,734</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88/888 Term Loan</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120" w:type="dxa"/>
            <w:vAlign w:val="bottom"/>
            <w:shd w:val="clear" w:color="auto" w:fill="CFF0FC"/>
          </w:tcPr>
          <w:p>
            <w:pPr>
              <w:spacing w:after="0"/>
              <w:rPr>
                <w:sz w:val="19"/>
                <w:szCs w:val="19"/>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6"/>
                <w:szCs w:val="16"/>
                <w:color w:val="auto"/>
              </w:rPr>
              <w:t>Tarahumara Shipyard Financing</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6,500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6,500</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SEACOR Offshore OSV</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17,552</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18,052</w:t>
            </w:r>
          </w:p>
        </w:tc>
        <w:tc>
          <w:tcPr>
            <w:tcW w:w="120" w:type="dxa"/>
            <w:vAlign w:val="bottom"/>
            <w:shd w:val="clear" w:color="auto" w:fill="CFF0FC"/>
          </w:tcPr>
          <w:p>
            <w:pPr>
              <w:spacing w:after="0"/>
              <w:rPr>
                <w:sz w:val="18"/>
                <w:szCs w:val="18"/>
                <w:color w:val="auto"/>
              </w:rPr>
            </w:pPr>
          </w:p>
        </w:tc>
      </w:tr>
      <w:tr>
        <w:trPr>
          <w:trHeight w:val="206"/>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recourse long-term debt</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388,107</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395,455</w:t>
            </w:r>
          </w:p>
        </w:tc>
        <w:tc>
          <w:tcPr>
            <w:tcW w:w="120" w:type="dxa"/>
            <w:vAlign w:val="bottom"/>
            <w:tcBorders>
              <w:bottom w:val="single" w:sz="8" w:color="CFF0FC"/>
            </w:tcBorders>
          </w:tcPr>
          <w:p>
            <w:pPr>
              <w:spacing w:after="0"/>
              <w:rPr>
                <w:sz w:val="17"/>
                <w:szCs w:val="17"/>
                <w:color w:val="auto"/>
              </w:rPr>
            </w:pPr>
          </w:p>
        </w:tc>
      </w:tr>
      <w:tr>
        <w:trPr>
          <w:trHeight w:val="213"/>
        </w:trPr>
        <w:tc>
          <w:tcPr>
            <w:tcW w:w="7720" w:type="dxa"/>
            <w:vAlign w:val="bottom"/>
            <w:shd w:val="clear" w:color="auto" w:fill="CFF0FC"/>
          </w:tcPr>
          <w:p>
            <w:pPr>
              <w:spacing w:after="0" w:line="212" w:lineRule="exact"/>
              <w:rPr>
                <w:sz w:val="20"/>
                <w:szCs w:val="20"/>
                <w:color w:val="auto"/>
              </w:rPr>
            </w:pPr>
            <w:r>
              <w:rPr>
                <w:rFonts w:ascii="Arial" w:cs="Arial" w:eastAsia="Arial" w:hAnsi="Arial"/>
                <w:sz w:val="15"/>
                <w:szCs w:val="15"/>
                <w:i w:val="1"/>
                <w:iCs w:val="1"/>
                <w:color w:val="auto"/>
              </w:rPr>
              <w:t>Non-recourse long-term debt</w:t>
            </w:r>
            <w:r>
              <w:rPr>
                <w:rFonts w:ascii="Arial" w:cs="Arial" w:eastAsia="Arial" w:hAnsi="Arial"/>
                <w:sz w:val="24"/>
                <w:szCs w:val="24"/>
                <w:i w:val="1"/>
                <w:iCs w:val="1"/>
                <w:color w:val="auto"/>
                <w:vertAlign w:val="superscript"/>
              </w:rPr>
              <w:t>(2)</w:t>
            </w:r>
            <w:r>
              <w:rPr>
                <w:rFonts w:ascii="Arial" w:cs="Arial" w:eastAsia="Arial" w:hAnsi="Arial"/>
                <w:sz w:val="15"/>
                <w:szCs w:val="15"/>
                <w:i w:val="1"/>
                <w:iCs w:val="1"/>
                <w:color w:val="auto"/>
              </w:rPr>
              <w: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SEACOR 88/888 Term Loan</w:t>
            </w: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w:t>
            </w:r>
          </w:p>
        </w:tc>
        <w:tc>
          <w:tcPr>
            <w:tcW w:w="120" w:type="dxa"/>
            <w:vAlign w:val="bottom"/>
            <w:tcBorders>
              <w:bottom w:val="single" w:sz="8" w:color="CFF0FC"/>
            </w:tcBorders>
          </w:tcPr>
          <w:p>
            <w:pPr>
              <w:spacing w:after="0"/>
              <w:rPr>
                <w:sz w:val="18"/>
                <w:szCs w:val="18"/>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Total non-recourse long-term debt</w:t>
            </w: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2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5,500</w:t>
            </w:r>
          </w:p>
        </w:tc>
        <w:tc>
          <w:tcPr>
            <w:tcW w:w="120" w:type="dxa"/>
            <w:vAlign w:val="bottom"/>
            <w:shd w:val="clear" w:color="auto" w:fill="CFF0FC"/>
          </w:tcPr>
          <w:p>
            <w:pPr>
              <w:spacing w:after="0"/>
              <w:rPr>
                <w:sz w:val="18"/>
                <w:szCs w:val="18"/>
                <w:color w:val="auto"/>
              </w:rPr>
            </w:pPr>
          </w:p>
        </w:tc>
      </w:tr>
      <w:tr>
        <w:trPr>
          <w:trHeight w:val="207"/>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principal due for long-term debt</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393,607</w:t>
            </w:r>
          </w:p>
        </w:tc>
        <w:tc>
          <w:tcPr>
            <w:tcW w:w="2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400,955</w:t>
            </w:r>
          </w:p>
        </w:tc>
        <w:tc>
          <w:tcPr>
            <w:tcW w:w="120" w:type="dxa"/>
            <w:vAlign w:val="bottom"/>
            <w:tcBorders>
              <w:bottom w:val="single" w:sz="8" w:color="CFF0FC"/>
            </w:tcBorders>
          </w:tcPr>
          <w:p>
            <w:pPr>
              <w:spacing w:after="0"/>
              <w:rPr>
                <w:sz w:val="17"/>
                <w:szCs w:val="17"/>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Current portion due within one year</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(32,708)</w:t>
            </w:r>
          </w:p>
        </w:tc>
        <w:tc>
          <w:tcPr>
            <w:tcW w:w="1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(31,602)</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Unamortized debt discount</w:t>
            </w:r>
          </w:p>
        </w:tc>
        <w:tc>
          <w:tcPr>
            <w:tcW w:w="16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(31,706)</w:t>
            </w:r>
          </w:p>
        </w:tc>
        <w:tc>
          <w:tcPr>
            <w:tcW w:w="10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6"/>
                <w:szCs w:val="16"/>
                <w:color w:val="auto"/>
              </w:rPr>
              <w:t>(33,398)</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Deferred financing costs</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(2,929)</w:t>
            </w:r>
          </w:p>
        </w:tc>
        <w:tc>
          <w:tcPr>
            <w:tcW w:w="10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(3,193)</w:t>
            </w: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Long-term debt, less current portion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326,264</w:t>
            </w:r>
          </w:p>
        </w:tc>
        <w:tc>
          <w:tcPr>
            <w:tcW w:w="2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332,762</w:t>
            </w:r>
          </w:p>
        </w:tc>
        <w:tc>
          <w:tcPr>
            <w:tcW w:w="12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hanging="372"/>
        <w:spacing w:after="0" w:line="266"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Recourse debt represents debt issued by SEACOR Marine and/or its subsidiaries and guaranteed by SEACOR Marine or one of its operating subsidiaries as provided in the relevant debt agreements.</w:t>
      </w:r>
    </w:p>
    <w:p>
      <w:pPr>
        <w:spacing w:after="0" w:line="1" w:lineRule="exact"/>
        <w:rPr>
          <w:rFonts w:ascii="Arial" w:cs="Arial" w:eastAsia="Arial" w:hAnsi="Arial"/>
          <w:sz w:val="16"/>
          <w:szCs w:val="16"/>
          <w:color w:val="auto"/>
        </w:rPr>
      </w:pPr>
    </w:p>
    <w:p>
      <w:pPr>
        <w:jc w:val="both"/>
        <w:ind w:left="380" w:hanging="372"/>
        <w:spacing w:after="0" w:line="276" w:lineRule="auto"/>
        <w:tabs>
          <w:tab w:leader="none" w:pos="38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Non-recourse debt represents debt issued by one of the Company’s consolidated subsidiaries with no recourse to SEACOR Marine or its other non-debtor operating subsidiaries with respect to the applicable instrument, other than certain limited support obligations as provided in the respective debt agreements, which in aggregate are not considered to be material to the Company’s business and financial condition.</w:t>
      </w:r>
    </w:p>
    <w:p>
      <w:pPr>
        <w:spacing w:after="0" w:line="146" w:lineRule="exact"/>
        <w:rPr>
          <w:sz w:val="20"/>
          <w:szCs w:val="20"/>
          <w:color w:val="auto"/>
        </w:rPr>
      </w:pPr>
    </w:p>
    <w:p>
      <w:pPr>
        <w:ind w:left="740"/>
        <w:spacing w:after="0"/>
        <w:rPr>
          <w:sz w:val="20"/>
          <w:szCs w:val="20"/>
          <w:color w:val="auto"/>
        </w:rPr>
      </w:pPr>
      <w:r>
        <w:rPr>
          <w:rFonts w:ascii="Arial" w:cs="Arial" w:eastAsia="Arial" w:hAnsi="Arial"/>
          <w:sz w:val="22"/>
          <w:szCs w:val="22"/>
          <w:color w:val="auto"/>
        </w:rPr>
        <w:t>As of March 31, 2022, the Company was in compliance with all debt covenants and lender requirements.</w:t>
      </w:r>
    </w:p>
    <w:p>
      <w:pPr>
        <w:spacing w:after="0" w:line="166"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color w:val="auto"/>
        </w:rPr>
        <w:t>The Company's primary credit facility requires the Company to maintain a minimum of $35.0 million of cash on hand (including restricted cash) at all times. As of March 31, 2022, the Company's cash balances used to test compliance with this covenant was $39.9 million. While the Company is currently in compliance with the minimum cash covenant, current and anticipated increases in business activity are expected to increase liquidity demands on the Company as the Company incurs upfront expenses preparing and positioning its equipment in response to improving market dynamics. The Company is currently engaged in advanced discussions with the lenders under this credit facility to reduce the minimum cash covenant and provide additional flexibility for the liquidity requirements of the Company.</w:t>
      </w:r>
    </w:p>
    <w:p>
      <w:pPr>
        <w:spacing w:after="0" w:line="14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Letters of Credit</w:t>
      </w:r>
      <w:r>
        <w:rPr>
          <w:rFonts w:ascii="Arial" w:cs="Arial" w:eastAsia="Arial" w:hAnsi="Arial"/>
          <w:sz w:val="22"/>
          <w:szCs w:val="22"/>
          <w:color w:val="auto"/>
        </w:rPr>
        <w:t>. As of March 31, 2022, the Company had outstanding letters of credit of $1.2 million securing lease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obligations, labor and performance guaranties.</w:t>
      </w:r>
    </w:p>
    <w:p>
      <w:pPr>
        <w:spacing w:after="0" w:line="169" w:lineRule="exact"/>
        <w:rPr>
          <w:sz w:val="20"/>
          <w:szCs w:val="20"/>
          <w:color w:val="auto"/>
        </w:rPr>
      </w:pPr>
    </w:p>
    <w:p>
      <w:pPr>
        <w:ind w:left="760" w:hanging="752"/>
        <w:spacing w:after="0"/>
        <w:tabs>
          <w:tab w:leader="none" w:pos="7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LEASES</w:t>
      </w:r>
    </w:p>
    <w:p>
      <w:pPr>
        <w:spacing w:after="0" w:line="18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9"/>
          <w:szCs w:val="19"/>
          <w:color w:val="auto"/>
        </w:rPr>
        <w:t>As of March 31, 2022, the Company leased-in two anchor handling towing supply (“AHTS”) vessels, one FSV, and certain facilities and other equipment. The leases typically contain purchase and renewal options or rights of first refusal with respect to the sale or lease of the equipment. As of March 31, 2022, the remaining lease terms of the vessels had a duration ranging from 12 to 60 months. The lease terms of certain facilities and other equipment range in duration from 8 to 297 months.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7" w:right="339" w:bottom="1440" w:gutter="0" w:footer="0" w:header="0"/>
        </w:sectPr>
      </w:pPr>
    </w:p>
    <w:bookmarkStart w:id="14" w:name="page15"/>
    <w:bookmarkEnd w:id="14"/>
    <w:p>
      <w:pPr>
        <w:ind w:firstLine="749"/>
        <w:spacing w:after="0" w:line="250" w:lineRule="auto"/>
        <w:rPr>
          <w:sz w:val="20"/>
          <w:szCs w:val="20"/>
          <w:color w:val="auto"/>
        </w:rPr>
      </w:pPr>
      <w:r>
        <w:rPr>
          <w:rFonts w:ascii="Arial" w:cs="Arial" w:eastAsia="Arial" w:hAnsi="Arial"/>
          <w:sz w:val="22"/>
          <w:szCs w:val="22"/>
          <w:color w:val="auto"/>
        </w:rPr>
        <w:t>As of March 31, 2022, future minimum payments for leases for the remainder of 2022 and the years ended December 31, noted below,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w w:val="95"/>
              </w:rPr>
              <w:t>Operating Leases</w:t>
            </w:r>
          </w:p>
        </w:tc>
        <w:tc>
          <w:tcPr>
            <w:tcW w:w="200" w:type="dxa"/>
            <w:vAlign w:val="bottom"/>
          </w:tcPr>
          <w:p>
            <w:pPr>
              <w:spacing w:after="0"/>
              <w:rPr>
                <w:sz w:val="18"/>
                <w:szCs w:val="18"/>
                <w:color w:val="auto"/>
              </w:rPr>
            </w:pPr>
          </w:p>
        </w:tc>
        <w:tc>
          <w:tcPr>
            <w:tcW w:w="166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w w:val="97"/>
              </w:rPr>
              <w:t>Finance Leases</w:t>
            </w:r>
          </w:p>
        </w:tc>
      </w:tr>
      <w:tr>
        <w:trPr>
          <w:trHeight w:val="213"/>
        </w:trPr>
        <w:tc>
          <w:tcPr>
            <w:tcW w:w="7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Remainder of 2022</w:t>
            </w: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1,760</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2023</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1,646</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18"/>
                <w:szCs w:val="18"/>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946</w:t>
            </w:r>
          </w:p>
        </w:tc>
        <w:tc>
          <w:tcPr>
            <w:tcW w:w="120" w:type="dxa"/>
            <w:vAlign w:val="bottom"/>
            <w:shd w:val="clear" w:color="auto" w:fill="CFF0FC"/>
          </w:tcPr>
          <w:p>
            <w:pPr>
              <w:spacing w:after="0"/>
              <w:rPr>
                <w:sz w:val="19"/>
                <w:szCs w:val="19"/>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2025</w:t>
            </w: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515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959</w:t>
            </w:r>
          </w:p>
        </w:tc>
        <w:tc>
          <w:tcPr>
            <w:tcW w:w="120" w:type="dxa"/>
            <w:vAlign w:val="bottom"/>
          </w:tcPr>
          <w:p>
            <w:pPr>
              <w:spacing w:after="0"/>
              <w:rPr>
                <w:sz w:val="18"/>
                <w:szCs w:val="18"/>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459</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953</w:t>
            </w:r>
          </w:p>
        </w:tc>
        <w:tc>
          <w:tcPr>
            <w:tcW w:w="120" w:type="dxa"/>
            <w:vAlign w:val="bottom"/>
            <w:shd w:val="clear" w:color="auto" w:fill="CFF0FC"/>
          </w:tcPr>
          <w:p>
            <w:pPr>
              <w:spacing w:after="0"/>
              <w:rPr>
                <w:sz w:val="19"/>
                <w:szCs w:val="19"/>
                <w:color w:val="auto"/>
              </w:rPr>
            </w:pPr>
          </w:p>
        </w:tc>
      </w:tr>
      <w:tr>
        <w:trPr>
          <w:trHeight w:val="213"/>
        </w:trPr>
        <w:tc>
          <w:tcPr>
            <w:tcW w:w="7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Years subsequent to 2026</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3,614</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4,659</w:t>
            </w:r>
          </w:p>
        </w:tc>
        <w:tc>
          <w:tcPr>
            <w:tcW w:w="120" w:type="dxa"/>
            <w:vAlign w:val="bottom"/>
            <w:tcBorders>
              <w:bottom w:val="single" w:sz="8" w:color="CFF0FC"/>
            </w:tcBorders>
          </w:tcPr>
          <w:p>
            <w:pPr>
              <w:spacing w:after="0"/>
              <w:rPr>
                <w:sz w:val="18"/>
                <w:szCs w:val="18"/>
                <w:color w:val="auto"/>
              </w:rPr>
            </w:pPr>
          </w:p>
        </w:tc>
      </w:tr>
      <w:tr>
        <w:trPr>
          <w:trHeight w:val="212"/>
        </w:trPr>
        <w:tc>
          <w:tcPr>
            <w:tcW w:w="7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8,458</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8,585</w:t>
            </w:r>
          </w:p>
        </w:tc>
        <w:tc>
          <w:tcPr>
            <w:tcW w:w="120" w:type="dxa"/>
            <w:vAlign w:val="bottom"/>
            <w:shd w:val="clear" w:color="auto" w:fill="CFF0FC"/>
          </w:tcPr>
          <w:p>
            <w:pPr>
              <w:spacing w:after="0"/>
              <w:rPr>
                <w:sz w:val="18"/>
                <w:szCs w:val="18"/>
                <w:color w:val="auto"/>
              </w:rPr>
            </w:pPr>
          </w:p>
        </w:tc>
      </w:tr>
      <w:tr>
        <w:trPr>
          <w:trHeight w:val="213"/>
        </w:trPr>
        <w:tc>
          <w:tcPr>
            <w:tcW w:w="7320" w:type="dxa"/>
            <w:vAlign w:val="bottom"/>
          </w:tcPr>
          <w:p>
            <w:pPr>
              <w:spacing w:after="0"/>
              <w:rPr>
                <w:sz w:val="20"/>
                <w:szCs w:val="20"/>
                <w:color w:val="auto"/>
              </w:rPr>
            </w:pPr>
            <w:r>
              <w:rPr>
                <w:rFonts w:ascii="Arial" w:cs="Arial" w:eastAsia="Arial" w:hAnsi="Arial"/>
                <w:sz w:val="16"/>
                <w:szCs w:val="16"/>
                <w:color w:val="auto"/>
              </w:rPr>
              <w:t>Interest component</w:t>
            </w:r>
          </w:p>
        </w:tc>
        <w:tc>
          <w:tcPr>
            <w:tcW w:w="1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6"/>
                <w:szCs w:val="16"/>
                <w:color w:val="auto"/>
              </w:rPr>
              <w:t>(1,965)</w:t>
            </w:r>
          </w:p>
        </w:tc>
        <w:tc>
          <w:tcPr>
            <w:tcW w:w="200" w:type="dxa"/>
            <w:vAlign w:val="bottom"/>
          </w:tcPr>
          <w:p>
            <w:pPr>
              <w:spacing w:after="0"/>
              <w:rPr>
                <w:sz w:val="18"/>
                <w:szCs w:val="18"/>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(1,212)</w:t>
            </w:r>
          </w:p>
        </w:tc>
      </w:tr>
      <w:tr>
        <w:trPr>
          <w:trHeight w:val="213"/>
        </w:trPr>
        <w:tc>
          <w:tcPr>
            <w:tcW w:w="7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6,493</w:t>
            </w:r>
          </w:p>
        </w:tc>
        <w:tc>
          <w:tcPr>
            <w:tcW w:w="2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7,373</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Current portion of long-term lease liabilities</w:t>
            </w: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2,073</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Borders>
              <w:bottom w:val="single" w:sz="8" w:color="CFF0FC"/>
            </w:tcBorders>
          </w:tcPr>
          <w:p>
            <w:pPr>
              <w:spacing w:after="0"/>
              <w:rPr>
                <w:sz w:val="18"/>
                <w:szCs w:val="18"/>
                <w:color w:val="auto"/>
              </w:rPr>
            </w:pPr>
          </w:p>
        </w:tc>
      </w:tr>
      <w:tr>
        <w:trPr>
          <w:trHeight w:val="209"/>
        </w:trPr>
        <w:tc>
          <w:tcPr>
            <w:tcW w:w="7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Long-term lease liabilities</w:t>
            </w: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4,420</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7,183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For the three months ended March 31, 2022 and March 31, 2021 the components of lease expense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60" w:type="dxa"/>
            <w:vAlign w:val="bottom"/>
          </w:tcPr>
          <w:p>
            <w:pPr>
              <w:spacing w:after="0"/>
              <w:rPr>
                <w:sz w:val="18"/>
                <w:szCs w:val="18"/>
                <w:color w:val="auto"/>
              </w:rPr>
            </w:pPr>
          </w:p>
        </w:tc>
        <w:tc>
          <w:tcPr>
            <w:tcW w:w="2900" w:type="dxa"/>
            <w:vAlign w:val="bottom"/>
            <w:tcBorders>
              <w:bottom w:val="single" w:sz="8" w:color="auto"/>
            </w:tcBorders>
            <w:gridSpan w:val="4"/>
          </w:tcPr>
          <w:p>
            <w:pPr>
              <w:jc w:val="right"/>
              <w:ind w:right="42"/>
              <w:spacing w:after="0"/>
              <w:rPr>
                <w:sz w:val="20"/>
                <w:szCs w:val="20"/>
                <w:color w:val="auto"/>
              </w:rPr>
            </w:pPr>
            <w:r>
              <w:rPr>
                <w:rFonts w:ascii="Arial" w:cs="Arial" w:eastAsia="Arial" w:hAnsi="Arial"/>
                <w:sz w:val="16"/>
                <w:szCs w:val="16"/>
                <w:b w:val="1"/>
                <w:bCs w:val="1"/>
                <w:color w:val="auto"/>
              </w:rPr>
              <w:t>Three Months Ended March 31,</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776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20"/>
                <w:szCs w:val="20"/>
                <w:color w:val="auto"/>
              </w:rPr>
            </w:pPr>
          </w:p>
        </w:tc>
        <w:tc>
          <w:tcPr>
            <w:tcW w:w="30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39"/>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cost</w:t>
            </w:r>
          </w:p>
        </w:tc>
        <w:tc>
          <w:tcPr>
            <w:tcW w:w="1040" w:type="dxa"/>
            <w:vAlign w:val="bottom"/>
            <w:shd w:val="clear" w:color="auto" w:fill="CFF0FC"/>
          </w:tcPr>
          <w:p>
            <w:pPr>
              <w:jc w:val="right"/>
              <w:ind w:right="882"/>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w:t>
            </w: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902"/>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CFF0FC"/>
          </w:tcPr>
          <w:p>
            <w:pPr>
              <w:spacing w:after="0"/>
              <w:rPr>
                <w:sz w:val="20"/>
                <w:szCs w:val="20"/>
                <w:color w:val="auto"/>
              </w:rPr>
            </w:pPr>
          </w:p>
        </w:tc>
      </w:tr>
      <w:tr>
        <w:trPr>
          <w:trHeight w:val="210"/>
        </w:trPr>
        <w:tc>
          <w:tcPr>
            <w:tcW w:w="7760" w:type="dxa"/>
            <w:vAlign w:val="bottom"/>
          </w:tcPr>
          <w:p>
            <w:pPr>
              <w:spacing w:after="0"/>
              <w:rPr>
                <w:sz w:val="20"/>
                <w:szCs w:val="20"/>
                <w:color w:val="auto"/>
              </w:rPr>
            </w:pPr>
            <w:r>
              <w:rPr>
                <w:rFonts w:ascii="Arial" w:cs="Arial" w:eastAsia="Arial" w:hAnsi="Arial"/>
                <w:sz w:val="16"/>
                <w:szCs w:val="16"/>
                <w:color w:val="auto"/>
              </w:rPr>
              <w:t>Finance lease cost:</w:t>
            </w:r>
          </w:p>
        </w:tc>
        <w:tc>
          <w:tcPr>
            <w:tcW w:w="1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3"/>
        </w:trPr>
        <w:tc>
          <w:tcPr>
            <w:tcW w:w="7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760" w:type="dxa"/>
            <w:vAlign w:val="bottom"/>
            <w:shd w:val="clear" w:color="auto" w:fill="CFF0FC"/>
          </w:tcPr>
          <w:p>
            <w:pPr>
              <w:ind w:left="260"/>
              <w:spacing w:after="0" w:line="242" w:lineRule="exact"/>
              <w:rPr>
                <w:sz w:val="20"/>
                <w:szCs w:val="20"/>
                <w:color w:val="auto"/>
              </w:rPr>
            </w:pPr>
            <w:r>
              <w:rPr>
                <w:rFonts w:ascii="Arial" w:cs="Arial" w:eastAsia="Arial" w:hAnsi="Arial"/>
                <w:sz w:val="16"/>
                <w:szCs w:val="16"/>
                <w:color w:val="auto"/>
              </w:rPr>
              <w:t xml:space="preserve">Amortization of finance lease assets </w:t>
            </w:r>
            <w:r>
              <w:rPr>
                <w:rFonts w:ascii="Arial" w:cs="Arial" w:eastAsia="Arial" w:hAnsi="Arial"/>
                <w:sz w:val="27"/>
                <w:szCs w:val="27"/>
                <w:color w:val="auto"/>
                <w:vertAlign w:val="superscript"/>
              </w:rPr>
              <w:t>(1)</w:t>
            </w:r>
          </w:p>
        </w:tc>
        <w:tc>
          <w:tcPr>
            <w:tcW w:w="10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3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21"/>
                <w:szCs w:val="21"/>
                <w:color w:val="auto"/>
              </w:rPr>
            </w:pPr>
          </w:p>
        </w:tc>
      </w:tr>
      <w:tr>
        <w:trPr>
          <w:trHeight w:val="243"/>
        </w:trPr>
        <w:tc>
          <w:tcPr>
            <w:tcW w:w="7760" w:type="dxa"/>
            <w:vAlign w:val="bottom"/>
          </w:tcPr>
          <w:p>
            <w:pPr>
              <w:ind w:left="260"/>
              <w:spacing w:after="0" w:line="242" w:lineRule="exact"/>
              <w:rPr>
                <w:sz w:val="20"/>
                <w:szCs w:val="20"/>
                <w:color w:val="auto"/>
              </w:rPr>
            </w:pPr>
            <w:r>
              <w:rPr>
                <w:rFonts w:ascii="Arial" w:cs="Arial" w:eastAsia="Arial" w:hAnsi="Arial"/>
                <w:sz w:val="16"/>
                <w:szCs w:val="16"/>
                <w:color w:val="auto"/>
              </w:rPr>
              <w:t xml:space="preserve">Interest on finance lease liabilities </w:t>
            </w:r>
            <w:r>
              <w:rPr>
                <w:rFonts w:ascii="Arial" w:cs="Arial" w:eastAsia="Arial" w:hAnsi="Arial"/>
                <w:sz w:val="27"/>
                <w:szCs w:val="27"/>
                <w:color w:val="auto"/>
                <w:vertAlign w:val="superscript"/>
              </w:rPr>
              <w:t>(2)</w:t>
            </w: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1"/>
                <w:szCs w:val="21"/>
                <w:color w:val="auto"/>
              </w:rPr>
            </w:pPr>
          </w:p>
        </w:tc>
      </w:tr>
      <w:tr>
        <w:trPr>
          <w:trHeight w:val="240"/>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Short-term lease costs</w:t>
            </w:r>
          </w:p>
        </w:tc>
        <w:tc>
          <w:tcPr>
            <w:tcW w:w="104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w:t>
            </w:r>
          </w:p>
        </w:tc>
        <w:tc>
          <w:tcPr>
            <w:tcW w:w="300" w:type="dxa"/>
            <w:vAlign w:val="bottom"/>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FF0FC"/>
          </w:tcPr>
          <w:p>
            <w:pPr>
              <w:spacing w:after="0"/>
              <w:rPr>
                <w:sz w:val="20"/>
                <w:szCs w:val="20"/>
                <w:color w:val="auto"/>
              </w:rPr>
            </w:pPr>
          </w:p>
        </w:tc>
      </w:tr>
      <w:tr>
        <w:trPr>
          <w:trHeight w:val="237"/>
        </w:trPr>
        <w:tc>
          <w:tcPr>
            <w:tcW w:w="7760" w:type="dxa"/>
            <w:vAlign w:val="bottom"/>
          </w:tcPr>
          <w:p>
            <w:pPr>
              <w:spacing w:after="0"/>
              <w:rPr>
                <w:sz w:val="20"/>
                <w:szCs w:val="20"/>
                <w:color w:val="auto"/>
              </w:rPr>
            </w:pPr>
          </w:p>
        </w:tc>
        <w:tc>
          <w:tcPr>
            <w:tcW w:w="1040" w:type="dxa"/>
            <w:vAlign w:val="bottom"/>
            <w:tcBorders>
              <w:bottom w:val="single" w:sz="8" w:color="auto"/>
            </w:tcBorders>
          </w:tcPr>
          <w:p>
            <w:pPr>
              <w:jc w:val="right"/>
              <w:ind w:right="882"/>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300" w:type="dxa"/>
            <w:vAlign w:val="bottom"/>
          </w:tcPr>
          <w:p>
            <w:pPr>
              <w:spacing w:after="0"/>
              <w:rPr>
                <w:sz w:val="20"/>
                <w:szCs w:val="20"/>
                <w:color w:val="auto"/>
              </w:rPr>
            </w:pPr>
          </w:p>
        </w:tc>
        <w:tc>
          <w:tcPr>
            <w:tcW w:w="1060" w:type="dxa"/>
            <w:vAlign w:val="bottom"/>
            <w:tcBorders>
              <w:bottom w:val="single" w:sz="8" w:color="auto"/>
            </w:tcBorders>
          </w:tcPr>
          <w:p>
            <w:pPr>
              <w:jc w:val="right"/>
              <w:ind w:right="902"/>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w:t>
            </w:r>
          </w:p>
        </w:tc>
        <w:tc>
          <w:tcPr>
            <w:tcW w:w="100" w:type="dxa"/>
            <w:vAlign w:val="bottom"/>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ind w:left="840" w:hanging="832"/>
        <w:spacing w:after="0"/>
        <w:tabs>
          <w:tab w:leader="none" w:pos="840" w:val="left"/>
        </w:tabs>
        <w:numPr>
          <w:ilvl w:val="0"/>
          <w:numId w:val="10"/>
        </w:numPr>
        <w:rPr>
          <w:rFonts w:ascii="Arial" w:cs="Arial" w:eastAsia="Arial" w:hAnsi="Arial"/>
          <w:sz w:val="15"/>
          <w:szCs w:val="15"/>
          <w:color w:val="auto"/>
        </w:rPr>
      </w:pPr>
      <w:r>
        <w:rPr>
          <w:rFonts w:ascii="Arial" w:cs="Arial" w:eastAsia="Arial" w:hAnsi="Arial"/>
          <w:sz w:val="14"/>
          <w:szCs w:val="14"/>
          <w:color w:val="auto"/>
        </w:rPr>
        <w:t>Included in amortization costs in the consolidated statements of income (loss)</w:t>
      </w:r>
      <w:r>
        <w:rPr>
          <w:rFonts w:ascii="Arial" w:cs="Arial" w:eastAsia="Arial" w:hAnsi="Arial"/>
          <w:sz w:val="17"/>
          <w:szCs w:val="17"/>
          <w:color w:val="auto"/>
        </w:rPr>
        <w:t>.</w:t>
      </w:r>
    </w:p>
    <w:p>
      <w:pPr>
        <w:spacing w:after="0" w:line="34" w:lineRule="exact"/>
        <w:rPr>
          <w:rFonts w:ascii="Arial" w:cs="Arial" w:eastAsia="Arial" w:hAnsi="Arial"/>
          <w:sz w:val="15"/>
          <w:szCs w:val="15"/>
          <w:color w:val="auto"/>
        </w:rPr>
      </w:pPr>
    </w:p>
    <w:p>
      <w:pPr>
        <w:ind w:left="840" w:hanging="832"/>
        <w:spacing w:after="0"/>
        <w:tabs>
          <w:tab w:leader="none" w:pos="840" w:val="left"/>
        </w:tabs>
        <w:numPr>
          <w:ilvl w:val="0"/>
          <w:numId w:val="10"/>
        </w:numPr>
        <w:rPr>
          <w:rFonts w:ascii="Arial" w:cs="Arial" w:eastAsia="Arial" w:hAnsi="Arial"/>
          <w:sz w:val="15"/>
          <w:szCs w:val="15"/>
          <w:color w:val="auto"/>
        </w:rPr>
      </w:pPr>
      <w:r>
        <w:rPr>
          <w:rFonts w:ascii="Arial" w:cs="Arial" w:eastAsia="Arial" w:hAnsi="Arial"/>
          <w:sz w:val="14"/>
          <w:szCs w:val="14"/>
          <w:color w:val="auto"/>
        </w:rPr>
        <w:t>Included in interest expense in the consolidated statements of income (loss)</w:t>
      </w:r>
      <w:r>
        <w:rPr>
          <w:rFonts w:ascii="Arial" w:cs="Arial" w:eastAsia="Arial" w:hAnsi="Arial"/>
          <w:sz w:val="17"/>
          <w:szCs w:val="17"/>
          <w:color w:val="auto"/>
        </w:rPr>
        <w:t>.</w:t>
      </w:r>
    </w:p>
    <w:p>
      <w:pPr>
        <w:spacing w:after="0" w:line="215" w:lineRule="exact"/>
        <w:rPr>
          <w:sz w:val="20"/>
          <w:szCs w:val="20"/>
          <w:color w:val="auto"/>
        </w:rPr>
      </w:pPr>
    </w:p>
    <w:p>
      <w:pPr>
        <w:ind w:right="20" w:firstLine="749"/>
        <w:spacing w:after="0" w:line="250" w:lineRule="auto"/>
        <w:rPr>
          <w:sz w:val="20"/>
          <w:szCs w:val="20"/>
          <w:color w:val="auto"/>
        </w:rPr>
      </w:pPr>
      <w:r>
        <w:rPr>
          <w:rFonts w:ascii="Arial" w:cs="Arial" w:eastAsia="Arial" w:hAnsi="Arial"/>
          <w:sz w:val="22"/>
          <w:szCs w:val="22"/>
          <w:color w:val="auto"/>
        </w:rPr>
        <w:t>For the three months ended March 31, 2022, supplemental cash flow information related to leases was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20" w:type="dxa"/>
            <w:vAlign w:val="bottom"/>
            <w:tcBorders>
              <w:bottom w:val="single" w:sz="8" w:color="CFF0FC"/>
            </w:tcBorders>
          </w:tcPr>
          <w:p>
            <w:pPr>
              <w:spacing w:after="0"/>
              <w:rPr>
                <w:sz w:val="18"/>
                <w:szCs w:val="18"/>
                <w:color w:val="auto"/>
              </w:rPr>
            </w:pPr>
          </w:p>
        </w:tc>
        <w:tc>
          <w:tcPr>
            <w:tcW w:w="192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b w:val="1"/>
                <w:bCs w:val="1"/>
                <w:color w:val="auto"/>
              </w:rPr>
              <w:t>2022</w:t>
            </w:r>
          </w:p>
        </w:tc>
      </w:tr>
      <w:tr>
        <w:trPr>
          <w:trHeight w:val="213"/>
        </w:trPr>
        <w:tc>
          <w:tcPr>
            <w:tcW w:w="9320" w:type="dxa"/>
            <w:vAlign w:val="bottom"/>
            <w:shd w:val="clear" w:color="auto" w:fill="CFF0FC"/>
          </w:tcPr>
          <w:p>
            <w:pPr>
              <w:spacing w:after="0"/>
              <w:rPr>
                <w:sz w:val="20"/>
                <w:szCs w:val="20"/>
                <w:color w:val="auto"/>
              </w:rPr>
            </w:pPr>
            <w:r>
              <w:rPr>
                <w:rFonts w:ascii="Arial" w:cs="Arial" w:eastAsia="Arial" w:hAnsi="Arial"/>
                <w:sz w:val="16"/>
                <w:szCs w:val="16"/>
                <w:color w:val="auto"/>
              </w:rPr>
              <w:t>Operating cash outflows from operating leases</w:t>
            </w:r>
          </w:p>
        </w:tc>
        <w:tc>
          <w:tcPr>
            <w:tcW w:w="19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543</w:t>
            </w:r>
          </w:p>
        </w:tc>
      </w:tr>
      <w:tr>
        <w:trPr>
          <w:trHeight w:val="213"/>
        </w:trPr>
        <w:tc>
          <w:tcPr>
            <w:tcW w:w="9320" w:type="dxa"/>
            <w:vAlign w:val="bottom"/>
          </w:tcPr>
          <w:p>
            <w:pPr>
              <w:spacing w:after="0"/>
              <w:rPr>
                <w:sz w:val="20"/>
                <w:szCs w:val="20"/>
                <w:color w:val="auto"/>
              </w:rPr>
            </w:pPr>
            <w:r>
              <w:rPr>
                <w:rFonts w:ascii="Arial" w:cs="Arial" w:eastAsia="Arial" w:hAnsi="Arial"/>
                <w:sz w:val="16"/>
                <w:szCs w:val="16"/>
                <w:color w:val="auto"/>
              </w:rPr>
              <w:t>Financing cash outflows from finance leases</w:t>
            </w:r>
          </w:p>
        </w:tc>
        <w:tc>
          <w:tcPr>
            <w:tcW w:w="1920" w:type="dxa"/>
            <w:vAlign w:val="bottom"/>
          </w:tcPr>
          <w:p>
            <w:pPr>
              <w:jc w:val="right"/>
              <w:ind w:right="61"/>
              <w:spacing w:after="0"/>
              <w:rPr>
                <w:sz w:val="20"/>
                <w:szCs w:val="20"/>
                <w:color w:val="auto"/>
              </w:rPr>
            </w:pPr>
            <w:r>
              <w:rPr>
                <w:rFonts w:ascii="Arial" w:cs="Arial" w:eastAsia="Arial" w:hAnsi="Arial"/>
                <w:sz w:val="16"/>
                <w:szCs w:val="16"/>
                <w:color w:val="auto"/>
              </w:rPr>
              <w:t>9</w:t>
            </w:r>
          </w:p>
        </w:tc>
      </w:tr>
      <w:tr>
        <w:trPr>
          <w:trHeight w:val="219"/>
        </w:trPr>
        <w:tc>
          <w:tcPr>
            <w:tcW w:w="9320" w:type="dxa"/>
            <w:vAlign w:val="bottom"/>
            <w:shd w:val="clear" w:color="auto" w:fill="CFF0FC"/>
          </w:tcPr>
          <w:p>
            <w:pPr>
              <w:spacing w:after="0"/>
              <w:rPr>
                <w:sz w:val="20"/>
                <w:szCs w:val="20"/>
                <w:color w:val="auto"/>
              </w:rPr>
            </w:pPr>
            <w:r>
              <w:rPr>
                <w:rFonts w:ascii="Arial" w:cs="Arial" w:eastAsia="Arial" w:hAnsi="Arial"/>
                <w:sz w:val="16"/>
                <w:szCs w:val="16"/>
                <w:color w:val="auto"/>
              </w:rPr>
              <w:t>Right-of-use assets obtained for operating lease liabilities</w:t>
            </w:r>
          </w:p>
        </w:tc>
        <w:tc>
          <w:tcPr>
            <w:tcW w:w="192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rPr>
              <w:t>163</w:t>
            </w:r>
          </w:p>
        </w:tc>
      </w:tr>
      <w:tr>
        <w:trPr>
          <w:trHeight w:val="231"/>
        </w:trPr>
        <w:tc>
          <w:tcPr>
            <w:tcW w:w="9320" w:type="dxa"/>
            <w:vAlign w:val="bottom"/>
          </w:tcPr>
          <w:p>
            <w:pPr>
              <w:spacing w:after="0"/>
              <w:rPr>
                <w:sz w:val="20"/>
                <w:szCs w:val="20"/>
                <w:color w:val="auto"/>
              </w:rPr>
            </w:pPr>
            <w:r>
              <w:rPr>
                <w:rFonts w:ascii="Arial" w:cs="Arial" w:eastAsia="Arial" w:hAnsi="Arial"/>
                <w:sz w:val="16"/>
                <w:szCs w:val="16"/>
                <w:color w:val="auto"/>
              </w:rPr>
              <w:t>Right-of-use assets obtained for finance lease liabilities</w:t>
            </w:r>
          </w:p>
        </w:tc>
        <w:tc>
          <w:tcPr>
            <w:tcW w:w="1920" w:type="dxa"/>
            <w:vAlign w:val="bottom"/>
          </w:tcPr>
          <w:p>
            <w:pPr>
              <w:jc w:val="right"/>
              <w:ind w:right="61"/>
              <w:spacing w:after="0"/>
              <w:rPr>
                <w:sz w:val="20"/>
                <w:szCs w:val="20"/>
                <w:color w:val="auto"/>
              </w:rPr>
            </w:pPr>
            <w:r>
              <w:rPr>
                <w:rFonts w:ascii="Arial" w:cs="Arial" w:eastAsia="Arial" w:hAnsi="Arial"/>
                <w:sz w:val="14"/>
                <w:szCs w:val="14"/>
                <w:color w:val="auto"/>
              </w:rPr>
              <w:t>7,248</w:t>
            </w:r>
          </w:p>
        </w:tc>
      </w:tr>
      <w:tr>
        <w:trPr>
          <w:trHeight w:val="454"/>
        </w:trPr>
        <w:tc>
          <w:tcPr>
            <w:tcW w:w="9320" w:type="dxa"/>
            <w:vAlign w:val="bottom"/>
          </w:tcPr>
          <w:p>
            <w:pPr>
              <w:ind w:left="760"/>
              <w:spacing w:after="0"/>
              <w:rPr>
                <w:sz w:val="20"/>
                <w:szCs w:val="20"/>
                <w:color w:val="auto"/>
              </w:rPr>
            </w:pPr>
            <w:r>
              <w:rPr>
                <w:rFonts w:ascii="Arial" w:cs="Arial" w:eastAsia="Arial" w:hAnsi="Arial"/>
                <w:sz w:val="22"/>
                <w:szCs w:val="22"/>
                <w:color w:val="auto"/>
                <w:w w:val="91"/>
              </w:rPr>
              <w:t>For the three months ended March 31, 2022, other information related to leases was as follows:</w:t>
            </w:r>
          </w:p>
        </w:tc>
        <w:tc>
          <w:tcPr>
            <w:tcW w:w="1920" w:type="dxa"/>
            <w:vAlign w:val="bottom"/>
          </w:tcPr>
          <w:p>
            <w:pPr>
              <w:spacing w:after="0"/>
              <w:rPr>
                <w:sz w:val="24"/>
                <w:szCs w:val="24"/>
                <w:color w:val="auto"/>
              </w:rPr>
            </w:pPr>
          </w:p>
        </w:tc>
      </w:tr>
    </w:tbl>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00" w:type="dxa"/>
            <w:vAlign w:val="bottom"/>
            <w:tcBorders>
              <w:bottom w:val="single" w:sz="8" w:color="CFF0FC"/>
            </w:tcBorders>
          </w:tcPr>
          <w:p>
            <w:pPr>
              <w:spacing w:after="0"/>
              <w:rPr>
                <w:sz w:val="18"/>
                <w:szCs w:val="18"/>
                <w:color w:val="auto"/>
              </w:rPr>
            </w:pPr>
          </w:p>
        </w:tc>
        <w:tc>
          <w:tcPr>
            <w:tcW w:w="19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2022</w:t>
            </w:r>
          </w:p>
        </w:tc>
      </w:tr>
      <w:tr>
        <w:trPr>
          <w:trHeight w:val="213"/>
        </w:trPr>
        <w:tc>
          <w:tcPr>
            <w:tcW w:w="930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remaining lease term, in years - operating leases</w:t>
            </w:r>
          </w:p>
        </w:tc>
        <w:tc>
          <w:tcPr>
            <w:tcW w:w="19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10.5</w:t>
            </w:r>
          </w:p>
        </w:tc>
      </w:tr>
      <w:tr>
        <w:trPr>
          <w:trHeight w:val="213"/>
        </w:trPr>
        <w:tc>
          <w:tcPr>
            <w:tcW w:w="9300" w:type="dxa"/>
            <w:vAlign w:val="bottom"/>
          </w:tcPr>
          <w:p>
            <w:pPr>
              <w:spacing w:after="0"/>
              <w:rPr>
                <w:sz w:val="20"/>
                <w:szCs w:val="20"/>
                <w:color w:val="auto"/>
              </w:rPr>
            </w:pPr>
            <w:r>
              <w:rPr>
                <w:rFonts w:ascii="Arial" w:cs="Arial" w:eastAsia="Arial" w:hAnsi="Arial"/>
                <w:sz w:val="16"/>
                <w:szCs w:val="16"/>
                <w:color w:val="auto"/>
              </w:rPr>
              <w:t>Weighted average remaining lease term, in years - finance leases</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5.0</w:t>
            </w:r>
          </w:p>
        </w:tc>
      </w:tr>
      <w:tr>
        <w:trPr>
          <w:trHeight w:val="219"/>
        </w:trPr>
        <w:tc>
          <w:tcPr>
            <w:tcW w:w="930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discount rate - operating leases</w:t>
            </w:r>
          </w:p>
        </w:tc>
        <w:tc>
          <w:tcPr>
            <w:tcW w:w="1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w:t>
            </w:r>
          </w:p>
        </w:tc>
      </w:tr>
      <w:tr>
        <w:trPr>
          <w:trHeight w:val="210"/>
        </w:trPr>
        <w:tc>
          <w:tcPr>
            <w:tcW w:w="9300" w:type="dxa"/>
            <w:vAlign w:val="bottom"/>
          </w:tcPr>
          <w:p>
            <w:pPr>
              <w:spacing w:after="0"/>
              <w:rPr>
                <w:sz w:val="20"/>
                <w:szCs w:val="20"/>
                <w:color w:val="auto"/>
              </w:rPr>
            </w:pPr>
            <w:r>
              <w:rPr>
                <w:rFonts w:ascii="Arial" w:cs="Arial" w:eastAsia="Arial" w:hAnsi="Arial"/>
                <w:sz w:val="16"/>
                <w:szCs w:val="16"/>
                <w:color w:val="auto"/>
              </w:rPr>
              <w:t>Weighted average discount rate - finance leases</w:t>
            </w:r>
          </w:p>
        </w:tc>
        <w:tc>
          <w:tcPr>
            <w:tcW w:w="1940" w:type="dxa"/>
            <w:vAlign w:val="bottom"/>
          </w:tcPr>
          <w:p>
            <w:pPr>
              <w:jc w:val="right"/>
              <w:spacing w:after="0"/>
              <w:rPr>
                <w:sz w:val="20"/>
                <w:szCs w:val="20"/>
                <w:color w:val="auto"/>
              </w:rPr>
            </w:pPr>
            <w:r>
              <w:rPr>
                <w:rFonts w:ascii="Arial" w:cs="Arial" w:eastAsia="Arial" w:hAnsi="Arial"/>
                <w:sz w:val="16"/>
                <w:szCs w:val="16"/>
                <w:color w:val="auto"/>
              </w:rPr>
              <w:t>4.0%</w:t>
            </w:r>
          </w:p>
        </w:tc>
      </w:tr>
    </w:tbl>
    <w:p>
      <w:pPr>
        <w:spacing w:after="0" w:line="168" w:lineRule="exact"/>
        <w:rPr>
          <w:sz w:val="20"/>
          <w:szCs w:val="20"/>
          <w:color w:val="auto"/>
        </w:rPr>
      </w:pPr>
    </w:p>
    <w:p>
      <w:pPr>
        <w:ind w:left="760" w:hanging="752"/>
        <w:spacing w:after="0"/>
        <w:tabs>
          <w:tab w:leader="none" w:pos="7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INCOME TAXES</w:t>
      </w:r>
    </w:p>
    <w:p>
      <w:pPr>
        <w:spacing w:after="0" w:line="185"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The following table reconciles the difference between the statutory federal income tax rate for the Company and the effective income tax rate for the three months ended March 31, 2022:</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00" w:type="dxa"/>
            <w:vAlign w:val="bottom"/>
            <w:shd w:val="clear" w:color="auto" w:fill="CFF0FC"/>
          </w:tcPr>
          <w:p>
            <w:pPr>
              <w:spacing w:after="0"/>
              <w:rPr>
                <w:sz w:val="20"/>
                <w:szCs w:val="20"/>
                <w:color w:val="auto"/>
              </w:rPr>
            </w:pPr>
            <w:r>
              <w:rPr>
                <w:rFonts w:ascii="Arial" w:cs="Arial" w:eastAsia="Arial" w:hAnsi="Arial"/>
                <w:sz w:val="16"/>
                <w:szCs w:val="16"/>
                <w:color w:val="auto"/>
              </w:rPr>
              <w:t>Statutory rate</w:t>
            </w:r>
          </w:p>
        </w:tc>
        <w:tc>
          <w:tcPr>
            <w:tcW w:w="21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13"/>
        </w:trPr>
        <w:tc>
          <w:tcPr>
            <w:tcW w:w="9100" w:type="dxa"/>
            <w:vAlign w:val="bottom"/>
          </w:tcPr>
          <w:p>
            <w:pPr>
              <w:spacing w:after="0"/>
              <w:rPr>
                <w:sz w:val="20"/>
                <w:szCs w:val="20"/>
                <w:color w:val="auto"/>
              </w:rPr>
            </w:pPr>
            <w:r>
              <w:rPr>
                <w:rFonts w:ascii="Arial" w:cs="Arial" w:eastAsia="Arial" w:hAnsi="Arial"/>
                <w:sz w:val="16"/>
                <w:szCs w:val="16"/>
                <w:color w:val="auto"/>
              </w:rPr>
              <w:t>Foreign withholding tax and foreign losses for which there is no benefit in the U.S.</w:t>
            </w:r>
          </w:p>
        </w:tc>
        <w:tc>
          <w:tcPr>
            <w:tcW w:w="2140" w:type="dxa"/>
            <w:vAlign w:val="bottom"/>
            <w:gridSpan w:val="2"/>
          </w:tcPr>
          <w:p>
            <w:pPr>
              <w:jc w:val="right"/>
              <w:ind w:right="220"/>
              <w:spacing w:after="0"/>
              <w:rPr>
                <w:sz w:val="20"/>
                <w:szCs w:val="20"/>
                <w:color w:val="auto"/>
              </w:rPr>
            </w:pPr>
            <w:r>
              <w:rPr>
                <w:rFonts w:ascii="Arial" w:cs="Arial" w:eastAsia="Arial" w:hAnsi="Arial"/>
                <w:sz w:val="16"/>
                <w:szCs w:val="16"/>
                <w:color w:val="auto"/>
              </w:rPr>
              <w:t>(10.20)%</w:t>
            </w:r>
          </w:p>
        </w:tc>
        <w:tc>
          <w:tcPr>
            <w:tcW w:w="0" w:type="dxa"/>
            <w:vAlign w:val="bottom"/>
          </w:tcPr>
          <w:p>
            <w:pPr>
              <w:spacing w:after="0"/>
              <w:rPr>
                <w:sz w:val="1"/>
                <w:szCs w:val="1"/>
                <w:color w:val="auto"/>
              </w:rPr>
            </w:pPr>
          </w:p>
        </w:tc>
      </w:tr>
      <w:tr>
        <w:trPr>
          <w:trHeight w:val="219"/>
        </w:trPr>
        <w:tc>
          <w:tcPr>
            <w:tcW w:w="910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21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
        </w:trPr>
        <w:tc>
          <w:tcPr>
            <w:tcW w:w="9100" w:type="dxa"/>
            <w:vAlign w:val="bottom"/>
            <w:vMerge w:val="restart"/>
          </w:tcPr>
          <w:p>
            <w:pPr>
              <w:spacing w:after="0"/>
              <w:rPr>
                <w:sz w:val="20"/>
                <w:szCs w:val="20"/>
                <w:color w:val="auto"/>
              </w:rPr>
            </w:pPr>
            <w:r>
              <w:rPr>
                <w:rFonts w:ascii="Arial" w:cs="Arial" w:eastAsia="Arial" w:hAnsi="Arial"/>
                <w:sz w:val="16"/>
                <w:szCs w:val="16"/>
                <w:color w:val="auto"/>
              </w:rPr>
              <w:t>Effective income tax rate</w:t>
            </w:r>
          </w:p>
        </w:tc>
        <w:tc>
          <w:tcPr>
            <w:tcW w:w="1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100" w:type="dxa"/>
            <w:vAlign w:val="bottom"/>
            <w:vMerge w:val="continue"/>
          </w:tcPr>
          <w:p>
            <w:pPr>
              <w:spacing w:after="0"/>
              <w:rPr>
                <w:sz w:val="17"/>
                <w:szCs w:val="17"/>
                <w:color w:val="auto"/>
              </w:rPr>
            </w:pPr>
          </w:p>
        </w:tc>
        <w:tc>
          <w:tcPr>
            <w:tcW w:w="2140" w:type="dxa"/>
            <w:vAlign w:val="bottom"/>
            <w:gridSpan w:val="2"/>
          </w:tcPr>
          <w:p>
            <w:pPr>
              <w:jc w:val="right"/>
              <w:ind w:right="260"/>
              <w:spacing w:after="0"/>
              <w:rPr>
                <w:sz w:val="20"/>
                <w:szCs w:val="20"/>
                <w:color w:val="auto"/>
              </w:rPr>
            </w:pPr>
            <w:r>
              <w:rPr>
                <w:rFonts w:ascii="Arial" w:cs="Arial" w:eastAsia="Arial" w:hAnsi="Arial"/>
                <w:sz w:val="16"/>
                <w:szCs w:val="16"/>
                <w:color w:val="auto"/>
              </w:rPr>
              <w:t>10.56%</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5" w:name="page16"/>
    <w:bookmarkEnd w:id="15"/>
    <w:p>
      <w:pPr>
        <w:ind w:left="760" w:hanging="752"/>
        <w:spacing w:after="0"/>
        <w:tabs>
          <w:tab w:leader="none" w:pos="76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DERIVATIVE INSTRUMENTS AND HEDGING STRATEGIES</w:t>
      </w:r>
    </w:p>
    <w:p>
      <w:pPr>
        <w:spacing w:after="0" w:line="17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Derivative instruments are classified as either assets or liabilities based on their individual fair values. The fair values of the Company’s derivative instruments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5"/>
          </w:tcPr>
          <w:p>
            <w:pPr>
              <w:ind w:left="460"/>
              <w:spacing w:after="0"/>
              <w:rPr>
                <w:sz w:val="20"/>
                <w:szCs w:val="20"/>
                <w:color w:val="auto"/>
              </w:rPr>
            </w:pPr>
            <w:r>
              <w:rPr>
                <w:rFonts w:ascii="Arial" w:cs="Arial" w:eastAsia="Arial" w:hAnsi="Arial"/>
                <w:sz w:val="16"/>
                <w:szCs w:val="16"/>
                <w:b w:val="1"/>
                <w:bCs w:val="1"/>
                <w:color w:val="auto"/>
              </w:rPr>
              <w:t>March 31, 2022</w:t>
            </w:r>
          </w:p>
        </w:tc>
        <w:tc>
          <w:tcPr>
            <w:tcW w:w="100" w:type="dxa"/>
            <w:vAlign w:val="bottom"/>
          </w:tcPr>
          <w:p>
            <w:pPr>
              <w:spacing w:after="0"/>
              <w:rPr>
                <w:sz w:val="18"/>
                <w:szCs w:val="18"/>
                <w:color w:val="auto"/>
              </w:rPr>
            </w:pPr>
          </w:p>
        </w:tc>
        <w:tc>
          <w:tcPr>
            <w:tcW w:w="2220" w:type="dxa"/>
            <w:vAlign w:val="bottom"/>
            <w:gridSpan w:val="5"/>
          </w:tcPr>
          <w:p>
            <w:pPr>
              <w:ind w:left="340"/>
              <w:spacing w:after="0"/>
              <w:rPr>
                <w:sz w:val="20"/>
                <w:szCs w:val="20"/>
                <w:color w:val="auto"/>
              </w:rPr>
            </w:pPr>
            <w:r>
              <w:rPr>
                <w:rFonts w:ascii="Arial" w:cs="Arial" w:eastAsia="Arial" w:hAnsi="Arial"/>
                <w:sz w:val="16"/>
                <w:szCs w:val="16"/>
                <w:b w:val="1"/>
                <w:bCs w:val="1"/>
                <w:color w:val="auto"/>
              </w:rPr>
              <w:t>December 31, 2021</w:t>
            </w:r>
          </w:p>
        </w:tc>
      </w:tr>
      <w:tr>
        <w:trPr>
          <w:trHeight w:val="199"/>
        </w:trPr>
        <w:tc>
          <w:tcPr>
            <w:tcW w:w="6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Derivative</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4"/>
              </w:rPr>
              <w:t>Derivative</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58"/>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7"/>
                <w:szCs w:val="17"/>
                <w:color w:val="auto"/>
              </w:rPr>
            </w:pPr>
          </w:p>
        </w:tc>
      </w:tr>
      <w:tr>
        <w:trPr>
          <w:trHeight w:val="213"/>
        </w:trPr>
        <w:tc>
          <w:tcPr>
            <w:tcW w:w="6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Asset</w:t>
            </w: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Liability</w:t>
            </w:r>
          </w:p>
        </w:tc>
        <w:tc>
          <w:tcPr>
            <w:tcW w:w="10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2"/>
              </w:rPr>
              <w:t>Asset</w:t>
            </w: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Liability</w:t>
            </w:r>
          </w:p>
        </w:tc>
      </w:tr>
      <w:tr>
        <w:trPr>
          <w:trHeight w:val="21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9"/>
        </w:trPr>
        <w:tc>
          <w:tcPr>
            <w:tcW w:w="6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Interest rate swap agreements (cash flow hedges)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w:t>
            </w:r>
          </w:p>
        </w:tc>
        <w:tc>
          <w:tcPr>
            <w:tcW w:w="120" w:type="dxa"/>
            <w:vAlign w:val="bottom"/>
            <w:tcBorders>
              <w:bottom w:val="single" w:sz="8" w:color="CFF0FC"/>
            </w:tcBorders>
          </w:tcPr>
          <w:p>
            <w:pPr>
              <w:spacing w:after="0"/>
              <w:rPr>
                <w:sz w:val="19"/>
                <w:szCs w:val="19"/>
                <w:color w:val="auto"/>
              </w:rPr>
            </w:pPr>
          </w:p>
        </w:tc>
      </w:tr>
      <w:tr>
        <w:trPr>
          <w:trHeight w:val="209"/>
        </w:trPr>
        <w:tc>
          <w:tcPr>
            <w:tcW w:w="6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1,831</w:t>
            </w:r>
          </w:p>
        </w:tc>
        <w:tc>
          <w:tcPr>
            <w:tcW w:w="120" w:type="dxa"/>
            <w:vAlign w:val="bottom"/>
            <w:shd w:val="clear" w:color="auto" w:fill="CFF0FC"/>
          </w:tcPr>
          <w:p>
            <w:pPr>
              <w:spacing w:after="0"/>
              <w:rPr>
                <w:sz w:val="18"/>
                <w:szCs w:val="18"/>
                <w:color w:val="auto"/>
              </w:rPr>
            </w:pPr>
          </w:p>
        </w:tc>
      </w:tr>
      <w:tr>
        <w:trPr>
          <w:trHeight w:val="207"/>
        </w:trPr>
        <w:tc>
          <w:tcPr>
            <w:tcW w:w="648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6"/>
                <w:szCs w:val="16"/>
                <w:color w:val="auto"/>
                <w:w w:val="87"/>
              </w:rPr>
              <w:t>—</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r>
      <w:tr>
        <w:trPr>
          <w:trHeight w:val="210"/>
        </w:trPr>
        <w:tc>
          <w:tcPr>
            <w:tcW w:w="6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7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5"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b w:val="1"/>
          <w:bCs w:val="1"/>
          <w:i w:val="1"/>
          <w:iCs w:val="1"/>
          <w:color w:val="auto"/>
        </w:rPr>
        <w:t xml:space="preserve">Economic Hedges. </w:t>
      </w:r>
      <w:r>
        <w:rPr>
          <w:rFonts w:ascii="Arial" w:cs="Arial" w:eastAsia="Arial" w:hAnsi="Arial"/>
          <w:sz w:val="19"/>
          <w:szCs w:val="19"/>
          <w:color w:val="auto"/>
        </w:rPr>
        <w:t>The Company enters and settles forward currency exchange, option and future contracts with respect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various foreign currencies. These contracts enable the Company to buy currencies in the future at fixed exchange rates, which could offset possible consequences of changes in currency exchange rates with respect to the Company’s business conducted outside of the U.S. The Company generally does not enter into contracts with forward settlement dates beyond twelve to eighteen months. As of March 31, 2022, the Company had no open forward currency exchange contracts.</w:t>
      </w:r>
    </w:p>
    <w:p>
      <w:pPr>
        <w:spacing w:after="0" w:line="80"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Cash Flow Hedges. </w:t>
      </w:r>
      <w:r>
        <w:rPr>
          <w:rFonts w:ascii="Arial" w:cs="Arial" w:eastAsia="Arial" w:hAnsi="Arial"/>
          <w:sz w:val="21"/>
          <w:szCs w:val="21"/>
          <w:color w:val="auto"/>
        </w:rPr>
        <w:t>The Company and certain of its 50% or less owned companies have interest rate swap agreements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designated as cash flow hedges. By entering into these interest rate swap agreements, the Company and its 50% or less owned companies have converted the variable LIBOR component of certain of their outstanding borrowings to a fixed interest rate. The Company recognized gains on derivative instruments designated as cash flow hedges of $1.2 million for the three months ended March 31, 2022 and gains of $0.5 million for the three months ended March 31, 2021, in each case as a component of other comprehensive income (loss). As of March 31, 2022, the interest rate swaps held by the Company and certain of the Company’s 50% or less owned companies were as follows</w:t>
      </w:r>
      <w:r>
        <w:rPr>
          <w:rFonts w:ascii="Arial" w:cs="Arial" w:eastAsia="Arial" w:hAnsi="Arial"/>
          <w:sz w:val="21"/>
          <w:szCs w:val="21"/>
          <w:b w:val="1"/>
          <w:bCs w:val="1"/>
          <w:i w:val="1"/>
          <w:iCs w:val="1"/>
          <w:color w:val="auto"/>
        </w:rPr>
        <w:t>:</w:t>
      </w:r>
    </w:p>
    <w:p>
      <w:pPr>
        <w:spacing w:after="0" w:line="76" w:lineRule="exact"/>
        <w:rPr>
          <w:sz w:val="20"/>
          <w:szCs w:val="20"/>
          <w:color w:val="auto"/>
        </w:rPr>
      </w:pPr>
    </w:p>
    <w:p>
      <w:pPr>
        <w:jc w:val="both"/>
        <w:ind w:left="1260" w:hanging="510"/>
        <w:spacing w:after="0" w:line="238" w:lineRule="auto"/>
        <w:tabs>
          <w:tab w:leader="none" w:pos="12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SEACOR Marine Foreign Holdings Inc., an indirect wholly-owned subsidiary of SEACOR Marine (“SMFH”), has an interest rate swap agreement maturing in 2023 that calls for SMFH to pay a fixed rate of interest of 3.32% per annum on the amortized notional value of $6.6 million and receive a variable interest rate based on LIBOR on the amortized notional value;</w:t>
      </w:r>
    </w:p>
    <w:p>
      <w:pPr>
        <w:spacing w:after="0" w:line="76" w:lineRule="exact"/>
        <w:rPr>
          <w:rFonts w:ascii="Arial" w:cs="Arial" w:eastAsia="Arial" w:hAnsi="Arial"/>
          <w:sz w:val="22"/>
          <w:szCs w:val="22"/>
          <w:color w:val="auto"/>
        </w:rPr>
      </w:pPr>
    </w:p>
    <w:p>
      <w:pPr>
        <w:jc w:val="both"/>
        <w:ind w:left="1260" w:hanging="510"/>
        <w:spacing w:after="0"/>
        <w:tabs>
          <w:tab w:leader="none" w:pos="12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SMFH has an interest rate swap agreement maturing in 2023 that calls for SMFH to pay a fixed rate of interest of 3.195% per annum on the amortized notional value of $36.1 million and receive a variable interest rate based on LIBOR on the amortized notional value;</w:t>
      </w:r>
    </w:p>
    <w:p>
      <w:pPr>
        <w:spacing w:after="0" w:line="78" w:lineRule="exact"/>
        <w:rPr>
          <w:rFonts w:ascii="Arial" w:cs="Arial" w:eastAsia="Arial" w:hAnsi="Arial"/>
          <w:sz w:val="22"/>
          <w:szCs w:val="22"/>
          <w:color w:val="auto"/>
        </w:rPr>
      </w:pPr>
    </w:p>
    <w:p>
      <w:pPr>
        <w:jc w:val="both"/>
        <w:ind w:left="1260" w:hanging="510"/>
        <w:spacing w:after="0" w:line="252" w:lineRule="auto"/>
        <w:tabs>
          <w:tab w:leader="none" w:pos="1260" w:val="left"/>
        </w:tabs>
        <w:numPr>
          <w:ilvl w:val="0"/>
          <w:numId w:val="13"/>
        </w:numPr>
        <w:rPr>
          <w:rFonts w:ascii="Arial" w:cs="Arial" w:eastAsia="Arial" w:hAnsi="Arial"/>
          <w:sz w:val="21"/>
          <w:szCs w:val="21"/>
          <w:color w:val="auto"/>
        </w:rPr>
      </w:pPr>
      <w:r>
        <w:rPr>
          <w:rFonts w:ascii="Arial" w:cs="Arial" w:eastAsia="Arial" w:hAnsi="Arial"/>
          <w:sz w:val="21"/>
          <w:szCs w:val="21"/>
          <w:color w:val="auto"/>
        </w:rPr>
        <w:t>SEACOR 88 LLC and SEACOR 888 LLC, both indirect wholly-owned subsidiaries of SEACOR Marine (collectively, “SEACOR 88/888”), have an interest rate swap agreement maturing in 2023 that calls for SEACOR 88/888 to pay a fixed rate of interest of 3.175% per annum on the amortized notional value of $5.5 million and receive a variable interest rate based on LIBOR on the amortized notional value; and</w:t>
      </w:r>
    </w:p>
    <w:p>
      <w:pPr>
        <w:spacing w:after="0" w:line="65" w:lineRule="exact"/>
        <w:rPr>
          <w:rFonts w:ascii="Arial" w:cs="Arial" w:eastAsia="Arial" w:hAnsi="Arial"/>
          <w:sz w:val="21"/>
          <w:szCs w:val="21"/>
          <w:color w:val="auto"/>
        </w:rPr>
      </w:pPr>
    </w:p>
    <w:p>
      <w:pPr>
        <w:jc w:val="both"/>
        <w:ind w:left="1260" w:hanging="510"/>
        <w:spacing w:after="0" w:line="287" w:lineRule="auto"/>
        <w:tabs>
          <w:tab w:leader="none" w:pos="12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Mantenimiento Express Maritimo, S.A.P.I. de C.V. (“MexMar”), in which the Company has a 49% noncontrolling interest, has five interest rate swap agreements with maturities in 2023 that call for MexMar to pay fixed rates of interest ranging from 1.71% to 2.10% per annum on the aggregate amortized notional value of $55.4 million and receive a variable interest rate based on LIBOR on the aggregate amortized notional value.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6" w:name="page17"/>
    <w:bookmarkEnd w:id="16"/>
    <w:p>
      <w:pPr>
        <w:ind w:right="20" w:firstLine="749"/>
        <w:spacing w:after="0" w:line="328" w:lineRule="auto"/>
        <w:rPr>
          <w:sz w:val="20"/>
          <w:szCs w:val="20"/>
          <w:color w:val="auto"/>
        </w:rPr>
      </w:pPr>
      <w:r>
        <w:rPr>
          <w:rFonts w:ascii="Arial" w:cs="Arial" w:eastAsia="Arial" w:hAnsi="Arial"/>
          <w:sz w:val="19"/>
          <w:szCs w:val="19"/>
          <w:b w:val="1"/>
          <w:bCs w:val="1"/>
          <w:i w:val="1"/>
          <w:iCs w:val="1"/>
          <w:color w:val="auto"/>
        </w:rPr>
        <w:t xml:space="preserve">Other Derivative Instruments. </w:t>
      </w:r>
      <w:r>
        <w:rPr>
          <w:rFonts w:ascii="Arial" w:cs="Arial" w:eastAsia="Arial" w:hAnsi="Arial"/>
          <w:sz w:val="19"/>
          <w:szCs w:val="19"/>
          <w:color w:val="auto"/>
        </w:rPr>
        <w:t>The Company recognized gains (losses) on derivative instruments not designated as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hedging instruments for the three months ended March 31, 2022 and March 31, 2021 as follows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940" w:type="dxa"/>
            <w:vAlign w:val="bottom"/>
            <w:tcBorders>
              <w:bottom w:val="single" w:sz="8" w:color="auto"/>
            </w:tcBorders>
            <w:gridSpan w:val="5"/>
          </w:tcPr>
          <w:p>
            <w:pPr>
              <w:jc w:val="right"/>
              <w:ind w:right="79"/>
              <w:spacing w:after="0"/>
              <w:rPr>
                <w:sz w:val="20"/>
                <w:szCs w:val="20"/>
                <w:color w:val="auto"/>
              </w:rPr>
            </w:pPr>
            <w:r>
              <w:rPr>
                <w:rFonts w:ascii="Arial" w:cs="Arial" w:eastAsia="Arial" w:hAnsi="Arial"/>
                <w:sz w:val="16"/>
                <w:szCs w:val="16"/>
                <w:b w:val="1"/>
                <w:bCs w:val="1"/>
                <w:color w:val="auto"/>
              </w:rPr>
              <w:t>Three Months Ended March 31,</w:t>
            </w:r>
          </w:p>
        </w:tc>
        <w:tc>
          <w:tcPr>
            <w:tcW w:w="4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37"/>
        </w:trPr>
        <w:tc>
          <w:tcPr>
            <w:tcW w:w="5640" w:type="dxa"/>
            <w:vAlign w:val="bottom"/>
            <w:tcBorders>
              <w:bottom w:val="single" w:sz="8" w:color="CFF0FC"/>
            </w:tcBorders>
          </w:tcPr>
          <w:p>
            <w:pPr>
              <w:spacing w:after="0"/>
              <w:rPr>
                <w:sz w:val="20"/>
                <w:szCs w:val="20"/>
                <w:color w:val="auto"/>
              </w:rPr>
            </w:pPr>
          </w:p>
        </w:tc>
        <w:tc>
          <w:tcPr>
            <w:tcW w:w="196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r>
      <w:tr>
        <w:trPr>
          <w:trHeight w:val="213"/>
        </w:trPr>
        <w:tc>
          <w:tcPr>
            <w:tcW w:w="564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3080" w:type="dxa"/>
            <w:vAlign w:val="bottom"/>
            <w:gridSpan w:val="2"/>
            <w:shd w:val="clear" w:color="auto" w:fill="CFF0FC"/>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(34)</w:t>
            </w:r>
          </w:p>
        </w:tc>
        <w:tc>
          <w:tcPr>
            <w:tcW w:w="1240" w:type="dxa"/>
            <w:vAlign w:val="bottom"/>
            <w:gridSpan w:val="2"/>
            <w:shd w:val="clear" w:color="auto" w:fill="CFF0FC"/>
          </w:tcPr>
          <w:p>
            <w:pPr>
              <w:jc w:val="right"/>
              <w:ind w:right="959"/>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(35)</w:t>
            </w:r>
          </w:p>
        </w:tc>
      </w:tr>
      <w:tr>
        <w:trPr>
          <w:trHeight w:val="240"/>
        </w:trPr>
        <w:tc>
          <w:tcPr>
            <w:tcW w:w="56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Forward currency exchange, option, and future contracts</w:t>
            </w:r>
          </w:p>
        </w:tc>
        <w:tc>
          <w:tcPr>
            <w:tcW w:w="196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w:t>
            </w:r>
          </w:p>
        </w:tc>
        <w:tc>
          <w:tcPr>
            <w:tcW w:w="280" w:type="dxa"/>
            <w:vAlign w:val="bottom"/>
            <w:tcBorders>
              <w:bottom w:val="single" w:sz="8" w:color="CFF0FC"/>
            </w:tcBorders>
          </w:tcPr>
          <w:p>
            <w:pPr>
              <w:spacing w:after="0"/>
              <w:rPr>
                <w:sz w:val="20"/>
                <w:szCs w:val="20"/>
                <w:color w:val="auto"/>
              </w:rPr>
            </w:pPr>
          </w:p>
        </w:tc>
      </w:tr>
      <w:tr>
        <w:trPr>
          <w:trHeight w:val="209"/>
        </w:trPr>
        <w:tc>
          <w:tcPr>
            <w:tcW w:w="5640" w:type="dxa"/>
            <w:vAlign w:val="bottom"/>
            <w:shd w:val="clear" w:color="auto" w:fill="CFF0FC"/>
          </w:tcPr>
          <w:p>
            <w:pPr>
              <w:spacing w:after="0"/>
              <w:rPr>
                <w:sz w:val="18"/>
                <w:szCs w:val="18"/>
                <w:color w:val="auto"/>
              </w:rPr>
            </w:pPr>
          </w:p>
        </w:tc>
        <w:tc>
          <w:tcPr>
            <w:tcW w:w="3080" w:type="dxa"/>
            <w:vAlign w:val="bottom"/>
            <w:gridSpan w:val="2"/>
            <w:shd w:val="clear" w:color="auto" w:fill="CFF0FC"/>
          </w:tcPr>
          <w:p>
            <w:pPr>
              <w:jc w:val="right"/>
              <w:ind w:right="959"/>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(34)</w:t>
            </w:r>
          </w:p>
        </w:tc>
        <w:tc>
          <w:tcPr>
            <w:tcW w:w="1240" w:type="dxa"/>
            <w:vAlign w:val="bottom"/>
            <w:gridSpan w:val="2"/>
            <w:shd w:val="clear" w:color="auto" w:fill="CFF0FC"/>
          </w:tcPr>
          <w:p>
            <w:pPr>
              <w:jc w:val="right"/>
              <w:ind w:right="95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280" w:type="dxa"/>
            <w:vAlign w:val="bottom"/>
            <w:shd w:val="clear" w:color="auto" w:fill="CFF0FC"/>
          </w:tcPr>
          <w:p>
            <w:pPr>
              <w:spacing w:after="0"/>
              <w:rPr>
                <w:sz w:val="18"/>
                <w:szCs w:val="18"/>
                <w:color w:val="auto"/>
              </w:rPr>
            </w:pPr>
          </w:p>
        </w:tc>
      </w:tr>
      <w:tr>
        <w:trPr>
          <w:trHeight w:val="20"/>
        </w:trPr>
        <w:tc>
          <w:tcPr>
            <w:tcW w:w="564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The conversion option liability relates to the bifurcated embedded conversion option in the Convertible Senior Notes issued to investment funds managed and controlled by The Carlyle Group (see “Note 8. Fair Value Measurements”).</w:t>
      </w:r>
    </w:p>
    <w:p>
      <w:pPr>
        <w:spacing w:after="0" w:line="99" w:lineRule="exact"/>
        <w:rPr>
          <w:sz w:val="20"/>
          <w:szCs w:val="20"/>
          <w:color w:val="auto"/>
        </w:rPr>
      </w:pPr>
    </w:p>
    <w:p>
      <w:pPr>
        <w:ind w:left="760" w:hanging="752"/>
        <w:spacing w:after="0"/>
        <w:tabs>
          <w:tab w:leader="none" w:pos="76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FAIR VALUE MEASUREMENTS</w:t>
      </w:r>
    </w:p>
    <w:p>
      <w:pPr>
        <w:spacing w:after="0" w:line="185" w:lineRule="exact"/>
        <w:rPr>
          <w:sz w:val="20"/>
          <w:szCs w:val="20"/>
          <w:color w:val="auto"/>
        </w:rPr>
      </w:pPr>
    </w:p>
    <w:p>
      <w:pPr>
        <w:jc w:val="both"/>
        <w:ind w:firstLine="749"/>
        <w:spacing w:after="0" w:line="233" w:lineRule="auto"/>
        <w:rPr>
          <w:sz w:val="20"/>
          <w:szCs w:val="20"/>
          <w:color w:val="auto"/>
        </w:rPr>
      </w:pPr>
      <w:r>
        <w:rPr>
          <w:rFonts w:ascii="Arial" w:cs="Arial" w:eastAsia="Arial" w:hAnsi="Arial"/>
          <w:sz w:val="22"/>
          <w:szCs w:val="22"/>
          <w:color w:val="auto"/>
        </w:rPr>
        <w:t xml:space="preserve">The fair value of an asset or liability is the price that would be received to sell an asset or transfer a liability (an exit price) in the principal or most advantageous market for the asset or liability in an orderly transaction between market participants on the measurement date. The Company utilizes a fair value hierarchy that maximizes the use of observable inputs and minimizes the use of unobservable inputs when measuring fair value and defines three levels of inputs that may be used to measure fair value. </w:t>
      </w:r>
      <w:r>
        <w:rPr>
          <w:rFonts w:ascii="Arial" w:cs="Arial" w:eastAsia="Arial" w:hAnsi="Arial"/>
          <w:sz w:val="22"/>
          <w:szCs w:val="22"/>
          <w:i w:val="1"/>
          <w:iCs w:val="1"/>
          <w:color w:val="auto"/>
        </w:rPr>
        <w:t>Level</w:t>
      </w:r>
      <w:r>
        <w:rPr>
          <w:rFonts w:ascii="Arial" w:cs="Arial" w:eastAsia="Arial" w:hAnsi="Arial"/>
          <w:sz w:val="22"/>
          <w:szCs w:val="22"/>
          <w:color w:val="auto"/>
        </w:rPr>
        <w:t xml:space="preserve"> 1 inputs are quoted prices in active markets for identical assets or liabilities. </w:t>
      </w:r>
      <w:r>
        <w:rPr>
          <w:rFonts w:ascii="Arial" w:cs="Arial" w:eastAsia="Arial" w:hAnsi="Arial"/>
          <w:sz w:val="22"/>
          <w:szCs w:val="22"/>
          <w:i w:val="1"/>
          <w:iCs w:val="1"/>
          <w:color w:val="auto"/>
        </w:rPr>
        <w:t>Level</w:t>
      </w:r>
      <w:r>
        <w:rPr>
          <w:rFonts w:ascii="Arial" w:cs="Arial" w:eastAsia="Arial" w:hAnsi="Arial"/>
          <w:sz w:val="22"/>
          <w:szCs w:val="22"/>
          <w:color w:val="auto"/>
        </w:rPr>
        <w:t xml:space="preserve"> 2 inputs are observable inputs other than quoted prices included in </w:t>
      </w:r>
      <w:r>
        <w:rPr>
          <w:rFonts w:ascii="Arial" w:cs="Arial" w:eastAsia="Arial" w:hAnsi="Arial"/>
          <w:sz w:val="22"/>
          <w:szCs w:val="22"/>
          <w:i w:val="1"/>
          <w:iCs w:val="1"/>
          <w:color w:val="auto"/>
        </w:rPr>
        <w:t>Level</w:t>
      </w:r>
      <w:r>
        <w:rPr>
          <w:rFonts w:ascii="Arial" w:cs="Arial" w:eastAsia="Arial" w:hAnsi="Arial"/>
          <w:sz w:val="22"/>
          <w:szCs w:val="22"/>
          <w:color w:val="auto"/>
        </w:rPr>
        <w:t xml:space="preserve"> 1 that are observable for the asset or liability, either directly or indirectly, including quoted prices for similar assets or liabilities in active markets, quoted prices in markets that are not active, inputs other than quoted prices that are observable for the asset or liability, or inputs derived from observable market data. </w:t>
      </w:r>
      <w:r>
        <w:rPr>
          <w:rFonts w:ascii="Arial" w:cs="Arial" w:eastAsia="Arial" w:hAnsi="Arial"/>
          <w:sz w:val="22"/>
          <w:szCs w:val="22"/>
          <w:i w:val="1"/>
          <w:iCs w:val="1"/>
          <w:color w:val="auto"/>
        </w:rPr>
        <w:t>Level</w:t>
      </w:r>
      <w:r>
        <w:rPr>
          <w:rFonts w:ascii="Arial" w:cs="Arial" w:eastAsia="Arial" w:hAnsi="Arial"/>
          <w:sz w:val="22"/>
          <w:szCs w:val="22"/>
          <w:color w:val="auto"/>
        </w:rPr>
        <w:t xml:space="preserve"> 3 inputs are unobservable inputs that are supported by little or no market activity and are significant to the fair value of the assets or liabilities.</w:t>
      </w:r>
    </w:p>
    <w:p>
      <w:pPr>
        <w:spacing w:after="0" w:line="150"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color w:val="auto"/>
        </w:rPr>
        <w:t>The Company’s financial assets and liabilities as of March 31, 2022 and December 31, 2021 that are measured at fair value on a recurring basis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20"/>
                <w:szCs w:val="20"/>
                <w:color w:val="auto"/>
              </w:rPr>
            </w:pPr>
            <w:r>
              <w:rPr>
                <w:rFonts w:ascii="Arial" w:cs="Arial" w:eastAsia="Arial" w:hAnsi="Arial"/>
                <w:sz w:val="16"/>
                <w:szCs w:val="16"/>
                <w:b w:val="1"/>
                <w:bCs w:val="1"/>
                <w:color w:val="auto"/>
              </w:rPr>
              <w:t>March 31, 2022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ind w:left="160"/>
              <w:spacing w:after="0"/>
              <w:rPr>
                <w:sz w:val="20"/>
                <w:szCs w:val="20"/>
                <w:color w:val="auto"/>
              </w:rPr>
            </w:pPr>
            <w:r>
              <w:rPr>
                <w:rFonts w:ascii="Arial" w:cs="Arial" w:eastAsia="Arial" w:hAnsi="Arial"/>
                <w:sz w:val="16"/>
                <w:szCs w:val="16"/>
                <w:b w:val="1"/>
                <w:bCs w:val="1"/>
                <w:color w:val="auto"/>
              </w:rPr>
              <w:t>Level 1</w:t>
            </w:r>
          </w:p>
        </w:tc>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6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3</w:t>
            </w:r>
          </w:p>
        </w:tc>
      </w:tr>
      <w:tr>
        <w:trPr>
          <w:trHeight w:val="213"/>
        </w:trPr>
        <w:tc>
          <w:tcPr>
            <w:tcW w:w="6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520" w:type="dxa"/>
            <w:vAlign w:val="bottom"/>
          </w:tcPr>
          <w:p>
            <w:pPr>
              <w:spacing w:after="0"/>
              <w:rPr>
                <w:sz w:val="20"/>
                <w:szCs w:val="20"/>
                <w:color w:val="auto"/>
              </w:rPr>
            </w:pPr>
            <w:r>
              <w:rPr>
                <w:rFonts w:ascii="Arial" w:cs="Arial" w:eastAsia="Arial" w:hAnsi="Arial"/>
                <w:sz w:val="16"/>
                <w:szCs w:val="16"/>
                <w:color w:val="auto"/>
              </w:rPr>
              <w:t>Derivative instruments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ind w:left="9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653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520" w:type="dxa"/>
            <w:vAlign w:val="bottom"/>
            <w:shd w:val="clear" w:color="auto" w:fill="CFF0FC"/>
          </w:tcPr>
          <w:p>
            <w:pPr>
              <w:spacing w:after="0"/>
              <w:rPr>
                <w:sz w:val="20"/>
                <w:szCs w:val="20"/>
                <w:color w:val="auto"/>
              </w:rPr>
            </w:pPr>
            <w:r>
              <w:rPr>
                <w:rFonts w:ascii="Arial" w:cs="Arial" w:eastAsia="Arial" w:hAnsi="Arial"/>
                <w:sz w:val="16"/>
                <w:szCs w:val="16"/>
                <w:color w:val="auto"/>
              </w:rPr>
              <w:t>Conversion Option Liability on Convertible Senior Notes</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3"/>
            <w:shd w:val="clear" w:color="auto" w:fill="CFF0FC"/>
          </w:tcPr>
          <w:p>
            <w:pPr>
              <w:ind w:left="90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FF0FC"/>
          </w:tcPr>
          <w:p>
            <w:pPr>
              <w:spacing w:after="0"/>
              <w:rPr>
                <w:sz w:val="19"/>
                <w:szCs w:val="19"/>
                <w:color w:val="auto"/>
              </w:rPr>
            </w:pPr>
          </w:p>
        </w:tc>
      </w:tr>
      <w:tr>
        <w:trPr>
          <w:trHeight w:val="213"/>
        </w:trPr>
        <w:tc>
          <w:tcPr>
            <w:tcW w:w="65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2"/>
        </w:trPr>
        <w:tc>
          <w:tcPr>
            <w:tcW w:w="65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6"/>
                <w:szCs w:val="16"/>
                <w:color w:val="auto"/>
              </w:rPr>
              <w:t>Derivative instruments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580" w:type="dxa"/>
            <w:vAlign w:val="bottom"/>
            <w:gridSpan w:val="3"/>
          </w:tcPr>
          <w:p>
            <w:pPr>
              <w:ind w:left="88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1,831</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188"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21"/>
          <w:szCs w:val="21"/>
          <w:b w:val="1"/>
          <w:bCs w:val="1"/>
          <w:i w:val="1"/>
          <w:iCs w:val="1"/>
          <w:color w:val="auto"/>
        </w:rPr>
        <w:t xml:space="preserve">Level </w:t>
      </w:r>
      <w:r>
        <w:rPr>
          <w:rFonts w:ascii="Arial" w:cs="Arial" w:eastAsia="Arial" w:hAnsi="Arial"/>
          <w:sz w:val="21"/>
          <w:szCs w:val="21"/>
          <w:b w:val="1"/>
          <w:bCs w:val="1"/>
          <w:color w:val="auto"/>
        </w:rPr>
        <w:t>3</w:t>
      </w:r>
      <w:r>
        <w:rPr>
          <w:rFonts w:ascii="Arial" w:cs="Arial" w:eastAsia="Arial" w:hAnsi="Arial"/>
          <w:sz w:val="21"/>
          <w:szCs w:val="21"/>
          <w:b w:val="1"/>
          <w:bCs w:val="1"/>
          <w:i w:val="1"/>
          <w:iCs w:val="1"/>
          <w:color w:val="auto"/>
        </w:rPr>
        <w:t xml:space="preserve"> Measurement</w:t>
      </w:r>
      <w:r>
        <w:rPr>
          <w:rFonts w:ascii="Arial" w:cs="Arial" w:eastAsia="Arial" w:hAnsi="Arial"/>
          <w:sz w:val="21"/>
          <w:szCs w:val="21"/>
          <w:color w:val="auto"/>
        </w:rPr>
        <w:t>. The fair value of the conversion option liability embedded in the Convertible Senior Notes is</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 xml:space="preserve">estimated with significant inputs that are both observable and unobservable in the market and therefore is considered a </w:t>
      </w:r>
      <w:r>
        <w:rPr>
          <w:rFonts w:ascii="Arial" w:cs="Arial" w:eastAsia="Arial" w:hAnsi="Arial"/>
          <w:sz w:val="21"/>
          <w:szCs w:val="21"/>
          <w:i w:val="1"/>
          <w:iCs w:val="1"/>
          <w:color w:val="auto"/>
        </w:rPr>
        <w:t>Level</w:t>
      </w:r>
      <w:r>
        <w:rPr>
          <w:rFonts w:ascii="Arial" w:cs="Arial" w:eastAsia="Arial" w:hAnsi="Arial"/>
          <w:sz w:val="21"/>
          <w:szCs w:val="21"/>
          <w:color w:val="auto"/>
        </w:rPr>
        <w:t xml:space="preserve"> 3 fair value measurement. The Company used a binomial lattice model that assumes the holders will maximize their value by finding the optimal decision between redeeming at the redemption price or converting into shares of Common Stock. This model estimates the fair value of the conversion option as the differential in the fair value of the notes including the conversion option compared with the fair value of the notes excluding the conversion option. The significant observable inputs used in the fair value measurement include the price of Common Stock and the risk-free interest rate. The significant unobservable inputs are the estimated Company credit spread and Common Stock volatility, which were based on comparable companies in the transportation and energy industries.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7" w:name="page18"/>
    <w:bookmarkEnd w:id="17"/>
    <w:p>
      <w:pPr>
        <w:ind w:firstLine="749"/>
        <w:spacing w:after="0" w:line="250" w:lineRule="auto"/>
        <w:rPr>
          <w:sz w:val="20"/>
          <w:szCs w:val="20"/>
          <w:color w:val="auto"/>
        </w:rPr>
      </w:pPr>
      <w:r>
        <w:rPr>
          <w:rFonts w:ascii="Arial" w:cs="Arial" w:eastAsia="Arial" w:hAnsi="Arial"/>
          <w:sz w:val="22"/>
          <w:szCs w:val="22"/>
          <w:color w:val="auto"/>
        </w:rPr>
        <w:t>The estimated fair values of the Company’s other financial assets and liabilities as of March 31, 2022 and December 31, 2021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6"/>
              </w:rPr>
              <w:t>Estimated Fair Value</w:t>
            </w: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5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7"/>
              </w:rPr>
              <w:t>Carrying</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b w:val="1"/>
                <w:bCs w:val="1"/>
                <w:color w:val="auto"/>
              </w:rPr>
              <w:t>March 31, 2022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3</w:t>
            </w:r>
          </w:p>
        </w:tc>
      </w:tr>
      <w:tr>
        <w:trPr>
          <w:trHeight w:val="213"/>
        </w:trPr>
        <w:tc>
          <w:tcPr>
            <w:tcW w:w="57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Cash, cash equivalents and restricted cash</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39,911</w:t>
            </w:r>
          </w:p>
        </w:tc>
        <w:tc>
          <w:tcPr>
            <w:tcW w:w="240" w:type="dxa"/>
            <w:vAlign w:val="bottom"/>
          </w:tcPr>
          <w:p>
            <w:pPr>
              <w:spacing w:after="0"/>
              <w:rPr>
                <w:sz w:val="18"/>
                <w:szCs w:val="18"/>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39,911</w:t>
            </w:r>
          </w:p>
        </w:tc>
        <w:tc>
          <w:tcPr>
            <w:tcW w:w="4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19"/>
        </w:trPr>
        <w:tc>
          <w:tcPr>
            <w:tcW w:w="5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color w:val="auto"/>
              </w:rPr>
              <w:t>Long-term debt, including current portion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358,972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363,336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19"/>
        </w:trPr>
        <w:tc>
          <w:tcPr>
            <w:tcW w:w="57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December 31, 2021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Cash, cash equivalents and restricted cash</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41,220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41,220</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r>
      <w:tr>
        <w:trPr>
          <w:trHeight w:val="213"/>
        </w:trPr>
        <w:tc>
          <w:tcPr>
            <w:tcW w:w="578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Long-term debt, including current portion</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364,364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372,992</w:t>
            </w: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r>
    </w:tbl>
    <w:p>
      <w:pPr>
        <w:spacing w:after="0" w:line="19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The carrying value of cash, cash equivalents and restricted cash approximates fair value. The fair value of the Company’s long-term debt was estimated based upon quoted market prices or by using discounted cash flow analysis based on estimated current rates for similar types of arrangements. Considerable judgment was required in developing certain of the estimates of fair value including the consideration of the COVID-19 pandemic that has caused significant volatility in U.S. and international markets, and, accordingly, the estimates presented herein are not necessarily indicative of the amounts that the Company could realize in a current market exchange.</w:t>
      </w:r>
    </w:p>
    <w:p>
      <w:pPr>
        <w:spacing w:after="0" w:line="188"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b w:val="1"/>
          <w:bCs w:val="1"/>
          <w:i w:val="1"/>
          <w:iCs w:val="1"/>
          <w:color w:val="auto"/>
        </w:rPr>
        <w:t>Property and equipment</w:t>
      </w:r>
      <w:r>
        <w:rPr>
          <w:rFonts w:ascii="Arial" w:cs="Arial" w:eastAsia="Arial" w:hAnsi="Arial"/>
          <w:sz w:val="22"/>
          <w:szCs w:val="22"/>
          <w:color w:val="auto"/>
        </w:rPr>
        <w:t>. During the three months ended March 31, 2022, the Company recognized impairment charges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$0.9 million related to one FSV classified as held for sale as of March 31, 2022, which was included in the Africa and Europe segment with a carrying value of $2.3 million. During the year ended December 31, 2021, the Company recognized no impairment charges, and none of the Company’s property and equipment had a fair value based on ordinary liquidation value or indicative sales price.</w:t>
      </w:r>
    </w:p>
    <w:p>
      <w:pPr>
        <w:spacing w:after="0" w:line="181" w:lineRule="exact"/>
        <w:rPr>
          <w:sz w:val="20"/>
          <w:szCs w:val="20"/>
          <w:color w:val="auto"/>
        </w:rPr>
      </w:pPr>
    </w:p>
    <w:p>
      <w:pPr>
        <w:ind w:left="760" w:hanging="752"/>
        <w:spacing w:after="0"/>
        <w:tabs>
          <w:tab w:leader="none" w:pos="76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COMMITMENTS AND CONTINGENCIES</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As of March 31, 2022, the Company had unfunded capital commitments of $1.1 million for miscellaneous vessel equipment payable during 2022 and 2023. The Company has indefinitely deferred an additional $9.4 million of orders with respect to one FSV that the Company had previously reported as unfunded capital commitments.</w:t>
      </w:r>
    </w:p>
    <w:p>
      <w:pPr>
        <w:spacing w:after="0" w:line="14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9"/>
          <w:szCs w:val="19"/>
          <w:color w:val="auto"/>
        </w:rPr>
        <w:t>In December 2015, the Brazilian Federal Revenue Office issued a tax-deficiency notice to Seabulk Offshore do Brasil Ltda, an indirect wholly-owned subsidiary of SEACOR Marine (“Seabulk Offshore do Brasil”), with respect to certain profit participation contributions (also known as “PIS”) and social security financing contributions (also known as “COFINS”) requirements alleged to be due from Seabulk Offshore do Brasil (“Deficiency Notice”) in respect of the period of January 2011 until December 2012. In January 2016, the Company administratively appealed the Deficiency Notice on the basis that, among other arguments, (i) such contributions were not applicable in the circumstances of a 70%/30% cost allocation structure, and (ii) the tax inspector had incorrectly determined that values received from outside of Brazil could not be classified as expense refunds. The initial appeal was dismissed by the Brazilian Federal Revenue Office and the Company appealed such dismissal and is currently awaiting an administrative trial. A local Brazilian law has been enacted that supports the Company’s position that such contribution requirements are not applicable, but it is uncertain whether such law will be taken into consideration with respect to administrative proceedings commenced prior to the enactment of the law. Accordingly, the success of Seabulk Offshore do Brasil in the administrative proceedings cannot be assured and the matter may need to be addressed through judicial court proceedings. The potential levy arising from the Deficiency Notice is R$18.9 million based on a historical potential levy of R$12.87 million (USD $4.0 million and USD $2.7 million, respectively, based on the exchange rate as of March 31, 2022).</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8" w:name="page19"/>
    <w:bookmarkEnd w:id="18"/>
    <w:p>
      <w:pPr>
        <w:jc w:val="both"/>
        <w:ind w:firstLine="749"/>
        <w:spacing w:after="0" w:line="235" w:lineRule="auto"/>
        <w:rPr>
          <w:sz w:val="20"/>
          <w:szCs w:val="20"/>
          <w:color w:val="auto"/>
        </w:rPr>
      </w:pPr>
      <w:r>
        <w:rPr>
          <w:rFonts w:ascii="Arial" w:cs="Arial" w:eastAsia="Arial" w:hAnsi="Arial"/>
          <w:sz w:val="22"/>
          <w:szCs w:val="22"/>
          <w:color w:val="auto"/>
        </w:rPr>
        <w:t>On April 13, 2021, the SEACOR Power, a liftboat owned by a subsidiary of the Company with nineteen individuals on board, capsized off the coast of Port Fourchon, Louisiana. The incident resulted in the death of several crew members, including the captain of the vessel and five other employees of the Company. The incident also resulted in the constructive total loss of the SEACOR Power. The Company is responsible for the salvage operations related to the vessel and is coordinating these efforts with the U.S. Coast Guard. The salvage operations are currently ongoing and the Company expects salvage costs to be covered by insurance proceeds.</w:t>
      </w:r>
    </w:p>
    <w:p>
      <w:pPr>
        <w:spacing w:after="0" w:line="161" w:lineRule="exact"/>
        <w:rPr>
          <w:sz w:val="20"/>
          <w:szCs w:val="20"/>
          <w:color w:val="auto"/>
        </w:rPr>
      </w:pPr>
    </w:p>
    <w:p>
      <w:pPr>
        <w:jc w:val="both"/>
        <w:ind w:firstLine="749"/>
        <w:spacing w:after="0" w:line="244" w:lineRule="auto"/>
        <w:rPr>
          <w:sz w:val="20"/>
          <w:szCs w:val="20"/>
          <w:color w:val="auto"/>
        </w:rPr>
      </w:pPr>
      <w:r>
        <w:rPr>
          <w:rFonts w:ascii="Arial" w:cs="Arial" w:eastAsia="Arial" w:hAnsi="Arial"/>
          <w:sz w:val="21"/>
          <w:szCs w:val="21"/>
          <w:color w:val="auto"/>
        </w:rPr>
        <w:t>The capsizing of the SEACOR Power garnered significant attention from the media as well as local, state and federal politicians. The National Transportation Safety Board (“NTSB”) and the U.S. Coast Guard are currently investigating the incident to determine the cause of the incident and the Company is fully cooperating with the investigations in all respects and continues to gather information about the incident. It is expected that the NTSB and U.S. Coast Guard investigations will take a significant period of time to complete, possibly as long as two years or longer. Numerous civil lawsuits have been filed against the Company and other third parties by the family members of deceased crew members and the surviving crew members employed by the Company or by the third parties. On June 2, 2021, the Company filed a Limitation of Liability Act complaint in federal court in the Eastern District of Louisiana (“Limitation Action”), which has the effect of enjoining all existing civil lawsuits and requiring the plaintiffs to file their claims relating to the capsizing of the SEACOR Power in the Limitation Action. There is significant uncertainty in the amount and timing of costs and potential liabilities relating to the incident involving the SEACOR Power, the impact the incident will have on the Company’s reputation and the resulting possible impact on the Company’s business.</w:t>
      </w:r>
    </w:p>
    <w:p>
      <w:pPr>
        <w:spacing w:after="0" w:line="14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In the normal course of its business, the Company becomes involved in various other litigation matters including, among others, claims by third parties for alleged property damages and personal injuries. Management has used estimates in determining the Company’s potential exposure to these matters and has recorded reserves in its financial statements related thereto where appropriate. It is possible that a change in the Company’s estimates of that exposure could occur, but the Company does not expect such changes in estimated costs would have a material effect on the Company’s consolidated financial position, results of operations or cash flows.</w:t>
      </w:r>
    </w:p>
    <w:p>
      <w:pPr>
        <w:spacing w:after="0" w:line="147" w:lineRule="exact"/>
        <w:rPr>
          <w:sz w:val="20"/>
          <w:szCs w:val="20"/>
          <w:color w:val="auto"/>
        </w:rPr>
      </w:pPr>
    </w:p>
    <w:p>
      <w:pPr>
        <w:jc w:val="both"/>
        <w:ind w:firstLine="849"/>
        <w:spacing w:after="0" w:line="274" w:lineRule="auto"/>
        <w:rPr>
          <w:sz w:val="20"/>
          <w:szCs w:val="20"/>
          <w:color w:val="auto"/>
        </w:rPr>
      </w:pPr>
      <w:r>
        <w:rPr>
          <w:rFonts w:ascii="Arial" w:cs="Arial" w:eastAsia="Arial" w:hAnsi="Arial"/>
          <w:sz w:val="19"/>
          <w:szCs w:val="19"/>
          <w:color w:val="auto"/>
        </w:rPr>
        <w:t>Certain of the Company’s subsidiaries are participating employers in two industry-wide, multi-employer, defined benefit pension funds in the United Kingdom: the U.K Merchant Navy Officers Pension Fund (“MNOPF”) and the U.K. Merchant Navy Ratings Pension Fund (“MNRPF”). The Company’s participation in the MNOPF began with the acquisition of the Stirling group of companies (the “Stirling Group”) in 2001 and relates to certain officers employed between 1978 and 2002 by the Stirling Group and/or its predecessors. The Company’s participation in the MNRPF also began with the acquisition of the Stirling Group in 2001 and relates to ratings employed by the Stirling Group and/or its predecessors through today. Both of these plans are in deficit positions and, depending upon the results of future actuarial valuations, it is possible that the plans could experience funding deficits that will require the Company to recognize payroll related operating expenses in the periods invoices are received. As of March 31, 2022, all invoices related to MNOPF and MNRPF have been settled in full.</w:t>
      </w:r>
    </w:p>
    <w:p>
      <w:pPr>
        <w:spacing w:after="0" w:line="131" w:lineRule="exact"/>
        <w:rPr>
          <w:sz w:val="20"/>
          <w:szCs w:val="20"/>
          <w:color w:val="auto"/>
        </w:rPr>
      </w:pPr>
    </w:p>
    <w:p>
      <w:pPr>
        <w:jc w:val="both"/>
        <w:ind w:firstLine="849"/>
        <w:spacing w:after="0" w:line="235" w:lineRule="auto"/>
        <w:rPr>
          <w:sz w:val="20"/>
          <w:szCs w:val="20"/>
          <w:color w:val="auto"/>
        </w:rPr>
      </w:pPr>
      <w:r>
        <w:rPr>
          <w:rFonts w:ascii="Arial" w:cs="Arial" w:eastAsia="Arial" w:hAnsi="Arial"/>
          <w:sz w:val="22"/>
          <w:szCs w:val="22"/>
          <w:color w:val="auto"/>
        </w:rPr>
        <w:t>On October 19, 2021, the Company was informed by the MNRPF that two issues had been identified during a review of the MNRPF by the applicable trustee that would potentially give rise to material additional liabilities for the MNRPF. The MNRPF has indicated that the investigations into these issues remain ongoing, and that further updates will be provided as significant developments arise. Should such additional liabilities require the MNRPF to collect additional funds from participating employers, it is possible that the Company will be invoiced for a portion of such funds and recognize payroll related operating expenses in the periods invoices are received.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9" w:name="page20"/>
    <w:bookmarkEnd w:id="19"/>
    <w:p>
      <w:pPr>
        <w:ind w:left="760" w:hanging="752"/>
        <w:spacing w:after="0"/>
        <w:tabs>
          <w:tab w:leader="none" w:pos="76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STOCK BASED COMPENSATION</w:t>
      </w:r>
    </w:p>
    <w:p>
      <w:pPr>
        <w:spacing w:after="0" w:line="17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Transactions in connection with the Company’s Equity Incentive Plans during the three months ended March 31, 2022 were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Restricted Stock Activity:</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Outstanding as of December 31, 2021</w:t>
            </w:r>
          </w:p>
        </w:tc>
        <w:tc>
          <w:tcPr>
            <w:tcW w:w="1880" w:type="dxa"/>
            <w:vAlign w:val="bottom"/>
          </w:tcPr>
          <w:p>
            <w:pPr>
              <w:jc w:val="right"/>
              <w:spacing w:after="0"/>
              <w:rPr>
                <w:sz w:val="20"/>
                <w:szCs w:val="20"/>
                <w:color w:val="auto"/>
              </w:rPr>
            </w:pPr>
            <w:r>
              <w:rPr>
                <w:rFonts w:ascii="Arial" w:cs="Arial" w:eastAsia="Arial" w:hAnsi="Arial"/>
                <w:sz w:val="16"/>
                <w:szCs w:val="16"/>
                <w:color w:val="auto"/>
              </w:rPr>
              <w:t>1,163,090</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Granted</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733,895</w:t>
            </w:r>
          </w:p>
        </w:tc>
        <w:tc>
          <w:tcPr>
            <w:tcW w:w="100" w:type="dxa"/>
            <w:vAlign w:val="bottom"/>
            <w:shd w:val="clear" w:color="auto" w:fill="CFF0FC"/>
          </w:tcPr>
          <w:p>
            <w:pPr>
              <w:spacing w:after="0"/>
              <w:rPr>
                <w:sz w:val="19"/>
                <w:szCs w:val="19"/>
                <w:color w:val="auto"/>
              </w:rPr>
            </w:pPr>
          </w:p>
        </w:tc>
      </w:tr>
      <w:tr>
        <w:trPr>
          <w:trHeight w:val="213"/>
        </w:trPr>
        <w:tc>
          <w:tcPr>
            <w:tcW w:w="92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Vested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427,338</w:t>
            </w:r>
          </w:p>
        </w:tc>
        <w:tc>
          <w:tcPr>
            <w:tcW w:w="100" w:type="dxa"/>
            <w:vAlign w:val="bottom"/>
            <w:tcBorders>
              <w:bottom w:val="single" w:sz="8" w:color="CFF0FC"/>
            </w:tcBorders>
          </w:tcPr>
          <w:p>
            <w:pPr>
              <w:spacing w:after="0"/>
              <w:rPr>
                <w:sz w:val="18"/>
                <w:szCs w:val="18"/>
                <w:color w:val="auto"/>
              </w:rPr>
            </w:pPr>
          </w:p>
        </w:tc>
      </w:tr>
      <w:tr>
        <w:trPr>
          <w:trHeight w:val="213"/>
        </w:trPr>
        <w:tc>
          <w:tcPr>
            <w:tcW w:w="9260" w:type="dxa"/>
            <w:vAlign w:val="bottom"/>
            <w:tcBorders>
              <w:bottom w:val="single" w:sz="8" w:color="CFF0FC"/>
            </w:tcBorders>
            <w:shd w:val="clear" w:color="auto" w:fill="CFF0FC"/>
          </w:tcPr>
          <w:p>
            <w:pPr>
              <w:spacing w:after="0" w:line="212" w:lineRule="exact"/>
              <w:rPr>
                <w:sz w:val="20"/>
                <w:szCs w:val="20"/>
                <w:color w:val="auto"/>
              </w:rPr>
            </w:pPr>
            <w:r>
              <w:rPr>
                <w:rFonts w:ascii="Arial" w:cs="Arial" w:eastAsia="Arial" w:hAnsi="Arial"/>
                <w:sz w:val="15"/>
                <w:szCs w:val="15"/>
                <w:color w:val="auto"/>
              </w:rPr>
              <w:t xml:space="preserve">Outstanding as of March 31, 2022 </w:t>
            </w:r>
            <w:r>
              <w:rPr>
                <w:rFonts w:ascii="Arial" w:cs="Arial" w:eastAsia="Arial" w:hAnsi="Arial"/>
                <w:sz w:val="24"/>
                <w:szCs w:val="24"/>
                <w:color w:val="auto"/>
                <w:vertAlign w:val="superscript"/>
              </w:rPr>
              <w:t>(1)</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1,469,647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92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Stock Option Activity:</w:t>
            </w:r>
          </w:p>
        </w:tc>
        <w:tc>
          <w:tcPr>
            <w:tcW w:w="1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9260" w:type="dxa"/>
            <w:vAlign w:val="bottom"/>
          </w:tcPr>
          <w:p>
            <w:pPr>
              <w:spacing w:after="0"/>
              <w:rPr>
                <w:sz w:val="20"/>
                <w:szCs w:val="20"/>
                <w:color w:val="auto"/>
              </w:rPr>
            </w:pPr>
            <w:r>
              <w:rPr>
                <w:rFonts w:ascii="Arial" w:cs="Arial" w:eastAsia="Arial" w:hAnsi="Arial"/>
                <w:sz w:val="16"/>
                <w:szCs w:val="16"/>
                <w:color w:val="auto"/>
              </w:rPr>
              <w:t>Outstanding as of December 31, 2021</w:t>
            </w:r>
          </w:p>
        </w:tc>
        <w:tc>
          <w:tcPr>
            <w:tcW w:w="1880" w:type="dxa"/>
            <w:vAlign w:val="bottom"/>
          </w:tcPr>
          <w:p>
            <w:pPr>
              <w:jc w:val="right"/>
              <w:spacing w:after="0"/>
              <w:rPr>
                <w:sz w:val="20"/>
                <w:szCs w:val="20"/>
                <w:color w:val="auto"/>
              </w:rPr>
            </w:pPr>
            <w:r>
              <w:rPr>
                <w:rFonts w:ascii="Arial" w:cs="Arial" w:eastAsia="Arial" w:hAnsi="Arial"/>
                <w:sz w:val="16"/>
                <w:szCs w:val="16"/>
                <w:color w:val="auto"/>
              </w:rPr>
              <w:t>1,061,357</w:t>
            </w:r>
          </w:p>
        </w:tc>
        <w:tc>
          <w:tcPr>
            <w:tcW w:w="100" w:type="dxa"/>
            <w:vAlign w:val="bottom"/>
          </w:tcPr>
          <w:p>
            <w:pPr>
              <w:spacing w:after="0"/>
              <w:rPr>
                <w:sz w:val="18"/>
                <w:szCs w:val="18"/>
                <w:color w:val="auto"/>
              </w:rPr>
            </w:pPr>
          </w:p>
        </w:tc>
      </w:tr>
      <w:tr>
        <w:trPr>
          <w:trHeight w:val="219"/>
        </w:trPr>
        <w:tc>
          <w:tcPr>
            <w:tcW w:w="926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31,992</w:t>
            </w:r>
          </w:p>
        </w:tc>
        <w:tc>
          <w:tcPr>
            <w:tcW w:w="100" w:type="dxa"/>
            <w:vAlign w:val="bottom"/>
            <w:shd w:val="clear" w:color="auto" w:fill="CFF0FC"/>
          </w:tcPr>
          <w:p>
            <w:pPr>
              <w:spacing w:after="0"/>
              <w:rPr>
                <w:sz w:val="19"/>
                <w:szCs w:val="19"/>
                <w:color w:val="auto"/>
              </w:rPr>
            </w:pPr>
          </w:p>
        </w:tc>
      </w:tr>
      <w:tr>
        <w:trPr>
          <w:trHeight w:val="207"/>
        </w:trPr>
        <w:tc>
          <w:tcPr>
            <w:tcW w:w="9260" w:type="dxa"/>
            <w:vAlign w:val="bottom"/>
          </w:tcPr>
          <w:p>
            <w:pPr>
              <w:spacing w:after="0"/>
              <w:rPr>
                <w:sz w:val="20"/>
                <w:szCs w:val="20"/>
                <w:color w:val="auto"/>
              </w:rPr>
            </w:pPr>
            <w:r>
              <w:rPr>
                <w:rFonts w:ascii="Arial" w:cs="Arial" w:eastAsia="Arial" w:hAnsi="Arial"/>
                <w:sz w:val="16"/>
                <w:szCs w:val="16"/>
                <w:color w:val="auto"/>
              </w:rPr>
              <w:t>Outstanding as of March 31, 2022</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1,029,365</w:t>
            </w:r>
          </w:p>
        </w:tc>
        <w:tc>
          <w:tcPr>
            <w:tcW w:w="100" w:type="dxa"/>
            <w:vAlign w:val="bottom"/>
          </w:tcPr>
          <w:p>
            <w:pPr>
              <w:spacing w:after="0"/>
              <w:rPr>
                <w:sz w:val="17"/>
                <w:szCs w:val="17"/>
                <w:color w:val="auto"/>
              </w:rPr>
            </w:pPr>
          </w:p>
        </w:tc>
      </w:tr>
      <w:tr>
        <w:trPr>
          <w:trHeight w:val="20"/>
        </w:trPr>
        <w:tc>
          <w:tcPr>
            <w:tcW w:w="92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840" w:hanging="832"/>
        <w:spacing w:after="0"/>
        <w:tabs>
          <w:tab w:leader="none" w:pos="8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Excludes 453,094 grants </w:t>
      </w:r>
      <w:r>
        <w:rPr>
          <w:rFonts w:ascii="Arial" w:cs="Arial" w:eastAsia="Arial" w:hAnsi="Arial"/>
          <w:sz w:val="16"/>
          <w:szCs w:val="16"/>
          <w:color w:val="auto"/>
        </w:rPr>
        <w:t>of performance-based stock units that are not considered outstanding until such time that they become probable to vest.</w:t>
      </w:r>
    </w:p>
    <w:p>
      <w:pPr>
        <w:spacing w:after="0" w:line="173"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For the three months ended March 31, 2022, the Company acquired for treasury 114,251 shares of Common Stock from its employees to cover their tax withholding obligations upon the lapsing of restrictions on share awards for an aggregate purchase price of $0.7 million. These shares were purchased in accordance with the terms of the Company’s 2017 Equity Incentive Plan and the Company’s 2020 Equity Incentive Plan.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0" w:name="page21"/>
    <w:bookmarkEnd w:id="20"/>
    <w:p>
      <w:pPr>
        <w:ind w:left="500" w:hanging="492"/>
        <w:spacing w:after="0"/>
        <w:tabs>
          <w:tab w:leader="none" w:pos="50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SEGMENT INFORMATION</w:t>
      </w:r>
    </w:p>
    <w:p>
      <w:pPr>
        <w:spacing w:after="0" w:line="172" w:lineRule="exact"/>
        <w:rPr>
          <w:sz w:val="20"/>
          <w:szCs w:val="20"/>
          <w:color w:val="auto"/>
        </w:rPr>
      </w:pPr>
    </w:p>
    <w:p>
      <w:pPr>
        <w:jc w:val="both"/>
        <w:ind w:firstLine="510"/>
        <w:spacing w:after="0" w:line="249" w:lineRule="auto"/>
        <w:rPr>
          <w:sz w:val="20"/>
          <w:szCs w:val="20"/>
          <w:color w:val="auto"/>
        </w:rPr>
      </w:pPr>
      <w:r>
        <w:rPr>
          <w:rFonts w:ascii="Arial" w:cs="Arial" w:eastAsia="Arial" w:hAnsi="Arial"/>
          <w:sz w:val="21"/>
          <w:szCs w:val="21"/>
          <w:color w:val="auto"/>
        </w:rPr>
        <w:t>The Company’s segment presentation and basis of measurement of segment profit or loss are as previously described in the 2021 Annual Report. Certain reclassifications of prior period information have been made to conform the current period’s reportable segment presentation as a result of the Company’s presentation of Discontinued Operations (see “Note 12. Discontinued Operations”). The following tables summarize the operating results, capital expenditures and assets of the Company’s reportable segments for the periods indicated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United</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States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Middle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6"/>
              </w:rPr>
              <w:t>Gulf of</w:t>
            </w:r>
          </w:p>
        </w:tc>
        <w:tc>
          <w:tcPr>
            <w:tcW w:w="120" w:type="dxa"/>
            <w:vAlign w:val="bottom"/>
          </w:tcPr>
          <w:p>
            <w:pPr>
              <w:spacing w:after="0"/>
              <w:rPr>
                <w:sz w:val="17"/>
                <w:szCs w:val="17"/>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Africa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8"/>
              </w:rPr>
              <w:t>East</w:t>
            </w:r>
          </w:p>
        </w:tc>
        <w:tc>
          <w:tcPr>
            <w:tcW w:w="160" w:type="dxa"/>
            <w:vAlign w:val="bottom"/>
          </w:tcPr>
          <w:p>
            <w:pPr>
              <w:spacing w:after="0"/>
              <w:rPr>
                <w:sz w:val="17"/>
                <w:szCs w:val="17"/>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Latin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12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0"/>
              </w:rPr>
              <w:t>and Europe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and Asia</w:t>
            </w:r>
          </w:p>
        </w:tc>
        <w:tc>
          <w:tcPr>
            <w:tcW w:w="16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America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March 31, 2022</w:t>
            </w:r>
          </w:p>
        </w:tc>
        <w:tc>
          <w:tcPr>
            <w:tcW w:w="8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Pr>
          <w:p>
            <w:pPr>
              <w:spacing w:after="0"/>
              <w:rPr>
                <w:sz w:val="20"/>
                <w:szCs w:val="20"/>
                <w:color w:val="auto"/>
              </w:rPr>
            </w:pPr>
            <w:r>
              <w:rPr>
                <w:rFonts w:ascii="Arial" w:cs="Arial" w:eastAsia="Arial" w:hAnsi="Arial"/>
                <w:sz w:val="16"/>
                <w:szCs w:val="16"/>
                <w:color w:val="auto"/>
              </w:rPr>
              <w:t>Operating Revenues: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7,864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12,280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(616)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CFF0FC"/>
            </w:tcBorders>
          </w:tcPr>
          <w:p>
            <w:pPr>
              <w:spacing w:after="0"/>
              <w:rPr>
                <w:sz w:val="18"/>
                <w:szCs w:val="18"/>
                <w:color w:val="auto"/>
              </w:rPr>
            </w:pPr>
          </w:p>
        </w:tc>
        <w:tc>
          <w:tcPr>
            <w:tcW w:w="82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9,916</w:t>
            </w:r>
          </w:p>
        </w:tc>
        <w:tc>
          <w:tcPr>
            <w:tcW w:w="22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11,664</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13,709</w:t>
            </w:r>
          </w:p>
        </w:tc>
        <w:tc>
          <w:tcPr>
            <w:tcW w:w="2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10,302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45,591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8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10,006</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9,684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11,969</w:t>
            </w:r>
          </w:p>
        </w:tc>
        <w:tc>
          <w:tcPr>
            <w:tcW w:w="2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7,837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39,496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80" w:type="dxa"/>
            <w:vAlign w:val="bottom"/>
          </w:tcPr>
          <w:p>
            <w:pPr>
              <w:spacing w:after="0"/>
              <w:rPr>
                <w:sz w:val="20"/>
                <w:szCs w:val="20"/>
                <w:color w:val="auto"/>
              </w:rPr>
            </w:pPr>
            <w:r>
              <w:rPr>
                <w:rFonts w:ascii="Arial" w:cs="Arial" w:eastAsia="Arial" w:hAnsi="Arial"/>
                <w:sz w:val="16"/>
                <w:szCs w:val="16"/>
                <w:b w:val="1"/>
                <w:bCs w:val="1"/>
                <w:color w:val="auto"/>
              </w:rPr>
              <w:t>Direct Vessel (Loss) Profit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(90)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1,980</w:t>
            </w:r>
          </w:p>
        </w:tc>
        <w:tc>
          <w:tcPr>
            <w:tcW w:w="16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1,740</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2,465</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6,095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8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287</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402</w:t>
            </w:r>
          </w:p>
        </w:tc>
        <w:tc>
          <w:tcPr>
            <w:tcW w:w="16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8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4,638</w:t>
            </w:r>
          </w:p>
        </w:tc>
        <w:tc>
          <w:tcPr>
            <w:tcW w:w="2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3,258</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4,345</w:t>
            </w: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2,130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25,355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Gain on Asset Dispositions, Net</w:t>
            </w:r>
          </w:p>
        </w:tc>
        <w:tc>
          <w:tcPr>
            <w:tcW w:w="8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(17,121)</w:t>
            </w: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March 31, 2022</w:t>
            </w:r>
          </w:p>
        </w:tc>
        <w:tc>
          <w:tcPr>
            <w:tcW w:w="8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8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280,472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241,607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335,121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149,673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1,006,873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(130,455)</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(77,502)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(86,682)</w:t>
            </w: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(21,805)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(316,444)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150,017</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164,105</w:t>
            </w:r>
          </w:p>
        </w:tc>
        <w:tc>
          <w:tcPr>
            <w:tcW w:w="16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248,439</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127,868</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690,429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vMerge w:val="restart"/>
            <w:shd w:val="clear" w:color="auto" w:fill="CFF0FC"/>
          </w:tcPr>
          <w:p>
            <w:pPr>
              <w:spacing w:after="0" w:line="246" w:lineRule="exact"/>
              <w:rPr>
                <w:sz w:val="20"/>
                <w:szCs w:val="20"/>
                <w:color w:val="auto"/>
              </w:rPr>
            </w:pPr>
            <w:r>
              <w:rPr>
                <w:rFonts w:ascii="Arial" w:cs="Arial" w:eastAsia="Arial" w:hAnsi="Arial"/>
                <w:sz w:val="16"/>
                <w:szCs w:val="16"/>
                <w:color w:val="auto"/>
              </w:rPr>
              <w:t xml:space="preserve">Total Assets </w:t>
            </w:r>
            <w:r>
              <w:rPr>
                <w:rFonts w:ascii="Arial" w:cs="Arial" w:eastAsia="Arial" w:hAnsi="Arial"/>
                <w:sz w:val="27"/>
                <w:szCs w:val="27"/>
                <w:color w:val="auto"/>
                <w:vertAlign w:val="superscript"/>
              </w:rPr>
              <w:t>(1)</w:t>
            </w:r>
          </w:p>
        </w:tc>
        <w:tc>
          <w:tcPr>
            <w:tcW w:w="8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980" w:type="dxa"/>
            <w:vAlign w:val="bottom"/>
            <w:vMerge w:val="continue"/>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173,269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181,526</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254,749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208,711</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818,255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5"/>
          <w:szCs w:val="15"/>
          <w:color w:val="auto"/>
        </w:rPr>
      </w:pPr>
      <w:r>
        <w:rPr>
          <w:rFonts w:ascii="Arial" w:cs="Arial" w:eastAsia="Arial" w:hAnsi="Arial"/>
          <w:sz w:val="14"/>
          <w:szCs w:val="14"/>
          <w:color w:val="auto"/>
        </w:rPr>
        <w:t>Total assets by region does not include corporate assets of $84.4 million as of March 31, 2022</w:t>
      </w:r>
      <w:r>
        <w:rPr>
          <w:rFonts w:ascii="Arial" w:cs="Arial" w:eastAsia="Arial" w:hAnsi="Arial"/>
          <w:sz w:val="17"/>
          <w:szCs w:val="17"/>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6"/>
              </w:rPr>
              <w:t>United</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3"/>
              </w:rPr>
              <w:t>States</w:t>
            </w:r>
          </w:p>
        </w:tc>
        <w:tc>
          <w:tcPr>
            <w:tcW w:w="10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Africa</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8"/>
              </w:rPr>
              <w:t>(primarily</w:t>
            </w:r>
          </w:p>
        </w:tc>
        <w:tc>
          <w:tcPr>
            <w:tcW w:w="10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and Europe,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Middle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Gulf of</w:t>
            </w:r>
          </w:p>
        </w:tc>
        <w:tc>
          <w:tcPr>
            <w:tcW w:w="10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Continuing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East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Latin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3"/>
              </w:rPr>
              <w:t>Mexico)</w:t>
            </w:r>
          </w:p>
        </w:tc>
        <w:tc>
          <w:tcPr>
            <w:tcW w:w="1200" w:type="dxa"/>
            <w:vAlign w:val="bottom"/>
            <w:gridSpan w:val="3"/>
          </w:tcPr>
          <w:p>
            <w:pPr>
              <w:jc w:val="center"/>
              <w:ind w:right="160"/>
              <w:spacing w:after="0" w:line="217" w:lineRule="exact"/>
              <w:rPr>
                <w:sz w:val="20"/>
                <w:szCs w:val="20"/>
                <w:color w:val="auto"/>
              </w:rPr>
            </w:pPr>
            <w:r>
              <w:rPr>
                <w:rFonts w:ascii="Arial" w:cs="Arial" w:eastAsia="Arial" w:hAnsi="Arial"/>
                <w:sz w:val="16"/>
                <w:szCs w:val="16"/>
                <w:b w:val="1"/>
                <w:bCs w:val="1"/>
                <w:color w:val="auto"/>
                <w:w w:val="89"/>
              </w:rPr>
              <w:t xml:space="preserve">Operations </w:t>
            </w:r>
            <w:r>
              <w:rPr>
                <w:rFonts w:ascii="Arial" w:cs="Arial" w:eastAsia="Arial" w:hAnsi="Arial"/>
                <w:sz w:val="22"/>
                <w:szCs w:val="22"/>
                <w:b w:val="1"/>
                <w:bCs w:val="1"/>
                <w:color w:val="auto"/>
                <w:w w:val="89"/>
                <w:vertAlign w:val="superscript"/>
              </w:rPr>
              <w:t>(2)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and Asia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America</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March 31, 2021</w:t>
            </w: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Operating Revenues:</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12,575</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9,724</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(269)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2,764</w:t>
            </w:r>
          </w:p>
        </w:tc>
        <w:tc>
          <w:tcPr>
            <w:tcW w:w="22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10,233</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12,935</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10,580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36,512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4,076</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6,299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9,582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26,307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680" w:type="dxa"/>
            <w:vAlign w:val="bottom"/>
          </w:tcPr>
          <w:p>
            <w:pPr>
              <w:spacing w:after="0"/>
              <w:rPr>
                <w:sz w:val="20"/>
                <w:szCs w:val="20"/>
                <w:color w:val="auto"/>
              </w:rPr>
            </w:pPr>
            <w:r>
              <w:rPr>
                <w:rFonts w:ascii="Arial" w:cs="Arial" w:eastAsia="Arial" w:hAnsi="Arial"/>
                <w:sz w:val="16"/>
                <w:szCs w:val="16"/>
                <w:b w:val="1"/>
                <w:bCs w:val="1"/>
                <w:color w:val="auto"/>
              </w:rPr>
              <w:t>Direct Vessel (Loss) Profit, from Continuing Operations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(1,312)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3,934</w:t>
            </w:r>
          </w:p>
        </w:tc>
        <w:tc>
          <w:tcPr>
            <w:tcW w:w="140" w:type="dxa"/>
            <w:vAlign w:val="bottom"/>
          </w:tcPr>
          <w:p>
            <w:pPr>
              <w:spacing w:after="0"/>
              <w:rPr>
                <w:sz w:val="21"/>
                <w:szCs w:val="21"/>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3,353</w:t>
            </w:r>
          </w:p>
        </w:tc>
        <w:tc>
          <w:tcPr>
            <w:tcW w:w="140" w:type="dxa"/>
            <w:vAlign w:val="bottom"/>
          </w:tcPr>
          <w:p>
            <w:pPr>
              <w:spacing w:after="0"/>
              <w:rPr>
                <w:sz w:val="21"/>
                <w:szCs w:val="21"/>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4,230</w:t>
            </w:r>
          </w:p>
        </w:tc>
        <w:tc>
          <w:tcPr>
            <w:tcW w:w="16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10,205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664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356</w:t>
            </w:r>
          </w:p>
        </w:tc>
        <w:tc>
          <w:tcPr>
            <w:tcW w:w="140" w:type="dxa"/>
            <w:vAlign w:val="bottom"/>
          </w:tcPr>
          <w:p>
            <w:pPr>
              <w:spacing w:after="0"/>
              <w:rPr>
                <w:sz w:val="18"/>
                <w:szCs w:val="18"/>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24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4,164</w:t>
            </w: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3,307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4,710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2,617</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24,487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(2,273)</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18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(16,555)</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March 31, 2021</w:t>
            </w:r>
          </w:p>
        </w:tc>
        <w:tc>
          <w:tcPr>
            <w:tcW w:w="1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214,575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240,032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374,979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170,844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1,000,430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(128,841)</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(68,254)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(76,675)</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(24,022)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(297,792)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8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85,734</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171,778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298,304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146,822</w:t>
            </w:r>
          </w:p>
        </w:tc>
        <w:tc>
          <w:tcPr>
            <w:tcW w:w="16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702,638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5"/>
                <w:szCs w:val="25"/>
                <w:color w:val="auto"/>
                <w:vertAlign w:val="superscript"/>
              </w:rPr>
              <w:t>(1)</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125,479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189,370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301,381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215,408</w:t>
            </w:r>
          </w:p>
        </w:tc>
        <w:tc>
          <w:tcPr>
            <w:tcW w:w="16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831,638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380" w:hanging="372"/>
        <w:spacing w:after="0"/>
        <w:tabs>
          <w:tab w:leader="none" w:pos="380" w:val="left"/>
        </w:tabs>
        <w:numPr>
          <w:ilvl w:val="0"/>
          <w:numId w:val="20"/>
        </w:numPr>
        <w:rPr>
          <w:rFonts w:ascii="Arial" w:cs="Arial" w:eastAsia="Arial" w:hAnsi="Arial"/>
          <w:sz w:val="31"/>
          <w:szCs w:val="31"/>
          <w:color w:val="auto"/>
          <w:vertAlign w:val="superscript"/>
        </w:rPr>
      </w:pPr>
      <w:r>
        <w:rPr>
          <w:rFonts w:ascii="Arial" w:cs="Arial" w:eastAsia="Arial" w:hAnsi="Arial"/>
          <w:sz w:val="14"/>
          <w:szCs w:val="14"/>
          <w:color w:val="auto"/>
        </w:rPr>
        <w:t>Total assets by region does not include corporate assets of $142.2 million as of March 31, 2021.</w:t>
      </w:r>
    </w:p>
    <w:p>
      <w:pPr>
        <w:spacing w:after="0" w:line="5" w:lineRule="exact"/>
        <w:rPr>
          <w:rFonts w:ascii="Arial" w:cs="Arial" w:eastAsia="Arial" w:hAnsi="Arial"/>
          <w:sz w:val="31"/>
          <w:szCs w:val="31"/>
          <w:color w:val="auto"/>
          <w:vertAlign w:val="superscript"/>
        </w:rPr>
      </w:pPr>
    </w:p>
    <w:p>
      <w:pPr>
        <w:jc w:val="both"/>
        <w:ind w:left="380" w:hanging="372"/>
        <w:spacing w:after="0" w:line="245"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3"/>
          <w:szCs w:val="13"/>
          <w:color w:val="auto"/>
        </w:rPr>
        <w:t>In prior periods Africa and Europe were reported as separate segments. Due to the sale of Windcat Workboats, the Company’s European operations are no longer analyzed by the chief operating decision maker on a standalone basis but rather as part of the Africa and Europe segment. As a result, for purposes of segment reporting European operations are now consolidated with Africa and reported as a consolidated segment and prior period information has been conformed to the new consolidated reporting segment.</w:t>
      </w:r>
    </w:p>
    <w:p>
      <w:pPr>
        <w:spacing w:after="0" w:line="177" w:lineRule="exact"/>
        <w:rPr>
          <w:sz w:val="20"/>
          <w:szCs w:val="20"/>
          <w:color w:val="auto"/>
        </w:rPr>
      </w:pPr>
    </w:p>
    <w:p>
      <w:pPr>
        <w:jc w:val="both"/>
        <w:ind w:firstLine="510"/>
        <w:spacing w:after="0" w:line="236" w:lineRule="auto"/>
        <w:rPr>
          <w:sz w:val="20"/>
          <w:szCs w:val="20"/>
          <w:color w:val="auto"/>
        </w:rPr>
      </w:pPr>
      <w:r>
        <w:rPr>
          <w:rFonts w:ascii="Arial" w:cs="Arial" w:eastAsia="Arial" w:hAnsi="Arial"/>
          <w:sz w:val="22"/>
          <w:szCs w:val="22"/>
          <w:color w:val="auto"/>
        </w:rPr>
        <w:t>The Company’s investments in 50% or less owned companies, which are accounted for under the equity method, also contribute to its consolidated results of operations. As of March 31, 2022, and 2021, the Company’s investments, at equity and advances to 50% or less owned companies in its other 50% or less owned companies were $76.9 million and $79.0 million, respectively. Equity in earnings gains of 50% or less owned companies for the three months ended March 31, 2022 and 2021 were $5.7 million and $4.1 million, respectively.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22" w:name="page23"/>
    <w:bookmarkEnd w:id="22"/>
    <w:p>
      <w:pPr>
        <w:ind w:left="920" w:hanging="912"/>
        <w:spacing w:after="0"/>
        <w:tabs>
          <w:tab w:leader="none" w:pos="92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DISCONTINUED OPERATIONS</w:t>
      </w:r>
    </w:p>
    <w:p>
      <w:pPr>
        <w:spacing w:after="0" w:line="212"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On January 12, 2021, the Company completed the sale of Windcat Workboats, which was previously classified as assets held for sale. The Company has no continuing involvement in this business, which is considered a strategic shift in the Company’s operations. During the first twelve days of 2021, the Company recognized $0.2 million in net income from operations of Windcat Workboats that was utilized to calculate the gain on the sale of Windcat Workboats. Summarized selected operating results of the Company’s assets held for sale and discontinued operations were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Three Months Ended</w:t>
            </w:r>
          </w:p>
        </w:tc>
      </w:tr>
      <w:tr>
        <w:trPr>
          <w:trHeight w:val="213"/>
        </w:trPr>
        <w:tc>
          <w:tcPr>
            <w:tcW w:w="74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March 31,</w:t>
            </w:r>
          </w:p>
        </w:tc>
      </w:tr>
      <w:tr>
        <w:trPr>
          <w:trHeight w:val="210"/>
        </w:trPr>
        <w:tc>
          <w:tcPr>
            <w:tcW w:w="7480" w:type="dxa"/>
            <w:vAlign w:val="bottom"/>
            <w:tcBorders>
              <w:bottom w:val="single" w:sz="8" w:color="CFF0FC"/>
            </w:tcBorders>
          </w:tcPr>
          <w:p>
            <w:pPr>
              <w:spacing w:after="0"/>
              <w:rPr>
                <w:sz w:val="18"/>
                <w:szCs w:val="18"/>
                <w:color w:val="auto"/>
              </w:rPr>
            </w:pPr>
          </w:p>
        </w:tc>
        <w:tc>
          <w:tcPr>
            <w:tcW w:w="16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840" w:type="dxa"/>
            <w:vAlign w:val="bottom"/>
            <w:tcBorders>
              <w:top w:val="single" w:sz="8" w:color="auto"/>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CFF0FC"/>
            </w:tcBorders>
          </w:tcPr>
          <w:p>
            <w:pPr>
              <w:spacing w:after="0"/>
              <w:rPr>
                <w:sz w:val="18"/>
                <w:szCs w:val="18"/>
                <w:color w:val="auto"/>
              </w:rPr>
            </w:pPr>
          </w:p>
        </w:tc>
      </w:tr>
      <w:tr>
        <w:trPr>
          <w:trHeight w:val="212"/>
        </w:trPr>
        <w:tc>
          <w:tcPr>
            <w:tcW w:w="7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Windcat Workboats</w:t>
            </w:r>
          </w:p>
        </w:tc>
        <w:tc>
          <w:tcPr>
            <w:tcW w:w="1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480" w:type="dxa"/>
            <w:vAlign w:val="bottom"/>
          </w:tcPr>
          <w:p>
            <w:pPr>
              <w:spacing w:after="0"/>
              <w:rPr>
                <w:sz w:val="20"/>
                <w:szCs w:val="20"/>
                <w:color w:val="auto"/>
              </w:rPr>
            </w:pPr>
            <w:r>
              <w:rPr>
                <w:rFonts w:ascii="Arial" w:cs="Arial" w:eastAsia="Arial" w:hAnsi="Arial"/>
                <w:sz w:val="16"/>
                <w:szCs w:val="16"/>
                <w:color w:val="auto"/>
              </w:rPr>
              <w:t>Operating Revenues: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7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80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w:t>
            </w:r>
          </w:p>
        </w:tc>
        <w:tc>
          <w:tcPr>
            <w:tcW w:w="120" w:type="dxa"/>
            <w:vAlign w:val="bottom"/>
            <w:shd w:val="clear" w:color="auto" w:fill="CFF0FC"/>
          </w:tcPr>
          <w:p>
            <w:pPr>
              <w:spacing w:after="0"/>
              <w:rPr>
                <w:sz w:val="19"/>
                <w:szCs w:val="19"/>
                <w:color w:val="auto"/>
              </w:rPr>
            </w:pPr>
          </w:p>
        </w:tc>
      </w:tr>
      <w:tr>
        <w:trPr>
          <w:trHeight w:val="213"/>
        </w:trPr>
        <w:tc>
          <w:tcPr>
            <w:tcW w:w="74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revenue</w:t>
            </w:r>
          </w:p>
        </w:tc>
        <w:tc>
          <w:tcPr>
            <w:tcW w:w="16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FF0FC"/>
            </w:tcBorders>
          </w:tcPr>
          <w:p>
            <w:pPr>
              <w:spacing w:after="0"/>
              <w:rPr>
                <w:sz w:val="18"/>
                <w:szCs w:val="18"/>
                <w:color w:val="auto"/>
              </w:rPr>
            </w:pPr>
          </w:p>
        </w:tc>
      </w:tr>
      <w:tr>
        <w:trPr>
          <w:trHeight w:val="212"/>
        </w:trPr>
        <w:tc>
          <w:tcPr>
            <w:tcW w:w="74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973</w:t>
            </w:r>
          </w:p>
        </w:tc>
        <w:tc>
          <w:tcPr>
            <w:tcW w:w="120" w:type="dxa"/>
            <w:vAlign w:val="bottom"/>
            <w:shd w:val="clear" w:color="auto" w:fill="CFF0FC"/>
          </w:tcPr>
          <w:p>
            <w:pPr>
              <w:spacing w:after="0"/>
              <w:rPr>
                <w:sz w:val="18"/>
                <w:szCs w:val="18"/>
                <w:color w:val="auto"/>
              </w:rPr>
            </w:pPr>
          </w:p>
        </w:tc>
      </w:tr>
      <w:tr>
        <w:trPr>
          <w:trHeight w:val="207"/>
        </w:trPr>
        <w:tc>
          <w:tcPr>
            <w:tcW w:w="7480" w:type="dxa"/>
            <w:vAlign w:val="bottom"/>
          </w:tcPr>
          <w:p>
            <w:pPr>
              <w:spacing w:after="0"/>
              <w:rPr>
                <w:sz w:val="20"/>
                <w:szCs w:val="20"/>
                <w:color w:val="auto"/>
              </w:rPr>
            </w:pPr>
            <w:r>
              <w:rPr>
                <w:rFonts w:ascii="Arial" w:cs="Arial" w:eastAsia="Arial" w:hAnsi="Arial"/>
                <w:sz w:val="16"/>
                <w:szCs w:val="16"/>
                <w:color w:val="auto"/>
              </w:rPr>
              <w:t>Costs and Expenses:</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7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16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578</w:t>
            </w:r>
          </w:p>
        </w:tc>
        <w:tc>
          <w:tcPr>
            <w:tcW w:w="120" w:type="dxa"/>
            <w:vAlign w:val="bottom"/>
            <w:shd w:val="clear" w:color="auto" w:fill="CFF0FC"/>
          </w:tcPr>
          <w:p>
            <w:pPr>
              <w:spacing w:after="0"/>
              <w:rPr>
                <w:sz w:val="19"/>
                <w:szCs w:val="19"/>
                <w:color w:val="auto"/>
              </w:rPr>
            </w:pPr>
          </w:p>
        </w:tc>
      </w:tr>
      <w:tr>
        <w:trPr>
          <w:trHeight w:val="207"/>
        </w:trPr>
        <w:tc>
          <w:tcPr>
            <w:tcW w:w="7480" w:type="dxa"/>
            <w:vAlign w:val="bottom"/>
          </w:tcPr>
          <w:p>
            <w:pPr>
              <w:spacing w:after="0"/>
              <w:rPr>
                <w:sz w:val="20"/>
                <w:szCs w:val="20"/>
                <w:color w:val="auto"/>
              </w:rPr>
            </w:pPr>
            <w:r>
              <w:rPr>
                <w:rFonts w:ascii="Arial" w:cs="Arial" w:eastAsia="Arial" w:hAnsi="Arial"/>
                <w:sz w:val="16"/>
                <w:szCs w:val="16"/>
                <w:b w:val="1"/>
                <w:bCs w:val="1"/>
                <w:color w:val="auto"/>
              </w:rPr>
              <w:t>Direct Vessel Profit</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17"/>
                <w:szCs w:val="17"/>
                <w:color w:val="auto"/>
              </w:rPr>
            </w:pPr>
          </w:p>
        </w:tc>
      </w:tr>
      <w:tr>
        <w:trPr>
          <w:trHeight w:val="219"/>
        </w:trPr>
        <w:tc>
          <w:tcPr>
            <w:tcW w:w="74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48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8"/>
                <w:szCs w:val="18"/>
                <w:color w:val="auto"/>
              </w:rPr>
            </w:pPr>
          </w:p>
        </w:tc>
      </w:tr>
      <w:tr>
        <w:trPr>
          <w:trHeight w:val="216"/>
        </w:trPr>
        <w:tc>
          <w:tcPr>
            <w:tcW w:w="7480" w:type="dxa"/>
            <w:vAlign w:val="bottom"/>
            <w:shd w:val="clear" w:color="auto" w:fill="CFF0FC"/>
          </w:tcPr>
          <w:p>
            <w:pPr>
              <w:spacing w:after="0"/>
              <w:rPr>
                <w:sz w:val="20"/>
                <w:szCs w:val="20"/>
                <w:color w:val="auto"/>
              </w:rPr>
            </w:pPr>
            <w:r>
              <w:rPr>
                <w:rFonts w:ascii="Arial" w:cs="Arial" w:eastAsia="Arial" w:hAnsi="Arial"/>
                <w:sz w:val="16"/>
                <w:szCs w:val="16"/>
                <w:color w:val="auto"/>
              </w:rPr>
              <w:t>Lease Expense</w:t>
            </w:r>
          </w:p>
        </w:tc>
        <w:tc>
          <w:tcPr>
            <w:tcW w:w="16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FF0FC"/>
          </w:tcPr>
          <w:p>
            <w:pPr>
              <w:spacing w:after="0"/>
              <w:rPr>
                <w:sz w:val="18"/>
                <w:szCs w:val="18"/>
                <w:color w:val="auto"/>
              </w:rPr>
            </w:pPr>
          </w:p>
        </w:tc>
      </w:tr>
      <w:tr>
        <w:trPr>
          <w:trHeight w:val="209"/>
        </w:trPr>
        <w:tc>
          <w:tcPr>
            <w:tcW w:w="7480" w:type="dxa"/>
            <w:vAlign w:val="bottom"/>
            <w:tcBorders>
              <w:bottom w:val="single" w:sz="8" w:color="CFF0FC"/>
            </w:tcBorders>
          </w:tcPr>
          <w:p>
            <w:pPr>
              <w:spacing w:after="0"/>
              <w:rPr>
                <w:sz w:val="18"/>
                <w:szCs w:val="18"/>
                <w:color w:val="auto"/>
              </w:rPr>
            </w:pPr>
          </w:p>
        </w:tc>
        <w:tc>
          <w:tcPr>
            <w:tcW w:w="16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FF0FC"/>
            </w:tcBorders>
          </w:tcPr>
          <w:p>
            <w:pPr>
              <w:spacing w:after="0"/>
              <w:rPr>
                <w:sz w:val="18"/>
                <w:szCs w:val="18"/>
                <w:color w:val="auto"/>
              </w:rPr>
            </w:pPr>
          </w:p>
        </w:tc>
      </w:tr>
      <w:tr>
        <w:trPr>
          <w:trHeight w:val="212"/>
        </w:trPr>
        <w:tc>
          <w:tcPr>
            <w:tcW w:w="748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w:t>
            </w:r>
          </w:p>
        </w:tc>
        <w:tc>
          <w:tcPr>
            <w:tcW w:w="16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120" w:type="dxa"/>
            <w:vAlign w:val="bottom"/>
            <w:shd w:val="clear" w:color="auto" w:fill="CFF0FC"/>
          </w:tcPr>
          <w:p>
            <w:pPr>
              <w:spacing w:after="0"/>
              <w:rPr>
                <w:sz w:val="18"/>
                <w:szCs w:val="18"/>
                <w:color w:val="auto"/>
              </w:rPr>
            </w:pPr>
          </w:p>
        </w:tc>
      </w:tr>
      <w:tr>
        <w:trPr>
          <w:trHeight w:val="207"/>
        </w:trPr>
        <w:tc>
          <w:tcPr>
            <w:tcW w:w="7480" w:type="dxa"/>
            <w:vAlign w:val="bottom"/>
          </w:tcPr>
          <w:p>
            <w:pPr>
              <w:spacing w:after="0"/>
              <w:rPr>
                <w:sz w:val="20"/>
                <w:szCs w:val="20"/>
                <w:color w:val="auto"/>
              </w:rPr>
            </w:pPr>
            <w:r>
              <w:rPr>
                <w:rFonts w:ascii="Arial" w:cs="Arial" w:eastAsia="Arial" w:hAnsi="Arial"/>
                <w:sz w:val="16"/>
                <w:szCs w:val="16"/>
                <w:color w:val="auto"/>
              </w:rPr>
              <w:t>Other Income (Expense)</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9"/>
        </w:trPr>
        <w:tc>
          <w:tcPr>
            <w:tcW w:w="7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income</w:t>
            </w:r>
          </w:p>
        </w:tc>
        <w:tc>
          <w:tcPr>
            <w:tcW w:w="1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9"/>
                <w:szCs w:val="19"/>
                <w:color w:val="auto"/>
              </w:rPr>
            </w:pPr>
          </w:p>
        </w:tc>
      </w:tr>
      <w:tr>
        <w:trPr>
          <w:trHeight w:val="213"/>
        </w:trPr>
        <w:tc>
          <w:tcPr>
            <w:tcW w:w="7480" w:type="dxa"/>
            <w:vAlign w:val="bottom"/>
          </w:tcPr>
          <w:p>
            <w:pPr>
              <w:ind w:left="260"/>
              <w:spacing w:after="0"/>
              <w:rPr>
                <w:sz w:val="20"/>
                <w:szCs w:val="20"/>
                <w:color w:val="auto"/>
              </w:rPr>
            </w:pPr>
            <w:r>
              <w:rPr>
                <w:rFonts w:ascii="Arial" w:cs="Arial" w:eastAsia="Arial" w:hAnsi="Arial"/>
                <w:sz w:val="16"/>
                <w:szCs w:val="16"/>
                <w:color w:val="auto"/>
              </w:rPr>
              <w:t>Interest expense</w:t>
            </w: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gridSpan w:val="2"/>
          </w:tcPr>
          <w:p>
            <w:pPr>
              <w:jc w:val="right"/>
              <w:ind w:right="60"/>
              <w:spacing w:after="0"/>
              <w:rPr>
                <w:sz w:val="20"/>
                <w:szCs w:val="20"/>
                <w:color w:val="auto"/>
              </w:rPr>
            </w:pPr>
            <w:r>
              <w:rPr>
                <w:rFonts w:ascii="Arial" w:cs="Arial" w:eastAsia="Arial" w:hAnsi="Arial"/>
                <w:sz w:val="16"/>
                <w:szCs w:val="16"/>
                <w:color w:val="auto"/>
              </w:rPr>
              <w:t>(39)</w:t>
            </w: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loss</w:t>
            </w:r>
          </w:p>
        </w:tc>
        <w:tc>
          <w:tcPr>
            <w:tcW w:w="16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FF0FC"/>
          </w:tcPr>
          <w:p>
            <w:pPr>
              <w:spacing w:after="0"/>
              <w:rPr>
                <w:sz w:val="18"/>
                <w:szCs w:val="18"/>
                <w:color w:val="auto"/>
              </w:rPr>
            </w:pPr>
          </w:p>
        </w:tc>
      </w:tr>
      <w:tr>
        <w:trPr>
          <w:trHeight w:val="209"/>
        </w:trPr>
        <w:tc>
          <w:tcPr>
            <w:tcW w:w="7480" w:type="dxa"/>
            <w:vAlign w:val="bottom"/>
            <w:tcBorders>
              <w:bottom w:val="single" w:sz="8" w:color="CFF0FC"/>
            </w:tcBorders>
          </w:tcPr>
          <w:p>
            <w:pPr>
              <w:spacing w:after="0"/>
              <w:rPr>
                <w:sz w:val="18"/>
                <w:szCs w:val="18"/>
                <w:color w:val="auto"/>
              </w:rPr>
            </w:pPr>
          </w:p>
        </w:tc>
        <w:tc>
          <w:tcPr>
            <w:tcW w:w="16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FF0FC"/>
            </w:tcBorders>
          </w:tcPr>
          <w:p>
            <w:pPr>
              <w:spacing w:after="0"/>
              <w:rPr>
                <w:sz w:val="18"/>
                <w:szCs w:val="18"/>
                <w:color w:val="auto"/>
              </w:rPr>
            </w:pPr>
          </w:p>
        </w:tc>
      </w:tr>
      <w:tr>
        <w:trPr>
          <w:trHeight w:val="213"/>
        </w:trPr>
        <w:tc>
          <w:tcPr>
            <w:tcW w:w="748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 Before Equity Earnings of 50% or Less Owned Companies, Net of Tax</w:t>
            </w:r>
          </w:p>
        </w:tc>
        <w:tc>
          <w:tcPr>
            <w:tcW w:w="180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FF0FC"/>
          </w:tcPr>
          <w:p>
            <w:pPr>
              <w:spacing w:after="0"/>
              <w:rPr>
                <w:sz w:val="18"/>
                <w:szCs w:val="18"/>
                <w:color w:val="auto"/>
              </w:rPr>
            </w:pPr>
          </w:p>
        </w:tc>
      </w:tr>
      <w:tr>
        <w:trPr>
          <w:trHeight w:val="213"/>
        </w:trPr>
        <w:tc>
          <w:tcPr>
            <w:tcW w:w="7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Income Tax Expense</w:t>
            </w:r>
          </w:p>
        </w:tc>
        <w:tc>
          <w:tcPr>
            <w:tcW w:w="164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r>
      <w:tr>
        <w:trPr>
          <w:trHeight w:val="212"/>
        </w:trPr>
        <w:tc>
          <w:tcPr>
            <w:tcW w:w="7480" w:type="dxa"/>
            <w:vAlign w:val="bottom"/>
            <w:shd w:val="clear" w:color="auto" w:fill="CFF0FC"/>
          </w:tcPr>
          <w:p>
            <w:pPr>
              <w:spacing w:after="0"/>
              <w:rPr>
                <w:sz w:val="20"/>
                <w:szCs w:val="20"/>
                <w:color w:val="auto"/>
              </w:rPr>
            </w:pPr>
            <w:r>
              <w:rPr>
                <w:rFonts w:ascii="Arial" w:cs="Arial" w:eastAsia="Arial" w:hAnsi="Arial"/>
                <w:sz w:val="16"/>
                <w:szCs w:val="16"/>
                <w:color w:val="auto"/>
              </w:rPr>
              <w:t>Operating Income Before Equity Earnings of 50% or Less Owned Companies</w:t>
            </w:r>
          </w:p>
        </w:tc>
        <w:tc>
          <w:tcPr>
            <w:tcW w:w="16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w:t>
            </w:r>
          </w:p>
        </w:tc>
        <w:tc>
          <w:tcPr>
            <w:tcW w:w="120" w:type="dxa"/>
            <w:vAlign w:val="bottom"/>
            <w:shd w:val="clear" w:color="auto" w:fill="CFF0FC"/>
          </w:tcPr>
          <w:p>
            <w:pPr>
              <w:spacing w:after="0"/>
              <w:rPr>
                <w:sz w:val="18"/>
                <w:szCs w:val="18"/>
                <w:color w:val="auto"/>
              </w:rPr>
            </w:pPr>
          </w:p>
        </w:tc>
      </w:tr>
      <w:tr>
        <w:trPr>
          <w:trHeight w:val="206"/>
        </w:trPr>
        <w:tc>
          <w:tcPr>
            <w:tcW w:w="7480" w:type="dxa"/>
            <w:vAlign w:val="bottom"/>
          </w:tcPr>
          <w:p>
            <w:pPr>
              <w:spacing w:after="0"/>
              <w:rPr>
                <w:sz w:val="20"/>
                <w:szCs w:val="20"/>
                <w:color w:val="auto"/>
              </w:rPr>
            </w:pPr>
            <w:r>
              <w:rPr>
                <w:rFonts w:ascii="Arial" w:cs="Arial" w:eastAsia="Arial" w:hAnsi="Arial"/>
                <w:sz w:val="16"/>
                <w:szCs w:val="16"/>
                <w:color w:val="auto"/>
              </w:rPr>
              <w:t>Equity in Earnings (Losses) of 50% or Less Owned Companies, Net of Tax</w:t>
            </w: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gridSpan w:val="2"/>
          </w:tcPr>
          <w:p>
            <w:pPr>
              <w:jc w:val="right"/>
              <w:ind w:right="60"/>
              <w:spacing w:after="0"/>
              <w:rPr>
                <w:sz w:val="20"/>
                <w:szCs w:val="20"/>
                <w:color w:val="auto"/>
              </w:rPr>
            </w:pPr>
            <w:r>
              <w:rPr>
                <w:rFonts w:ascii="Arial" w:cs="Arial" w:eastAsia="Arial" w:hAnsi="Arial"/>
                <w:sz w:val="16"/>
                <w:szCs w:val="16"/>
                <w:color w:val="auto"/>
              </w:rPr>
              <w:t>(16)</w:t>
            </w:r>
          </w:p>
        </w:tc>
      </w:tr>
      <w:tr>
        <w:trPr>
          <w:trHeight w:val="210"/>
        </w:trPr>
        <w:tc>
          <w:tcPr>
            <w:tcW w:w="7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from Discontinued Operations</w:t>
            </w:r>
          </w:p>
        </w:tc>
        <w:tc>
          <w:tcPr>
            <w:tcW w:w="164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3" w:name="page24"/>
    <w:bookmarkEnd w:id="23"/>
    <w:p>
      <w:pPr>
        <w:jc w:val="both"/>
        <w:ind w:left="800" w:hanging="795"/>
        <w:spacing w:after="0" w:line="256" w:lineRule="auto"/>
        <w:rPr>
          <w:sz w:val="20"/>
          <w:szCs w:val="20"/>
          <w:color w:val="auto"/>
        </w:rPr>
      </w:pPr>
      <w:r>
        <w:rPr>
          <w:rFonts w:ascii="Arial" w:cs="Arial" w:eastAsia="Arial" w:hAnsi="Arial"/>
          <w:sz w:val="22"/>
          <w:szCs w:val="22"/>
          <w:b w:val="1"/>
          <w:bCs w:val="1"/>
          <w:color w:val="auto"/>
        </w:rPr>
        <w:t>ITEM 2.MANAGEMENT’S DISCUSSION AND ANALYSIS OF FINANCIAL CONDITION AND RESULTS OF OPERATIONS</w:t>
      </w:r>
    </w:p>
    <w:p>
      <w:pPr>
        <w:spacing w:after="0" w:line="128"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9"/>
          <w:szCs w:val="19"/>
          <w:i w:val="1"/>
          <w:iCs w:val="1"/>
          <w:color w:val="auto"/>
        </w:rPr>
        <w:t>This Form 10-Q includes “forward-looking statements” within the meaning of the Private Securities Litigation Reform Act of 1995. Such forward-looking statements concern management’s expectations, strategic objectives, business prospects, anticipated economic performance and financial condition and other similar matters and involve significant known and unknown risks, uncertainties and other important factors that could cause the actual results, performance or achievements of results to differ materially from any future results, performance or achievements discussed or implied by such forward-looking statements. Certain of these risks, uncertainties and other important factors are discussed in the Risk Factors and Management’s Discussion and Analysis of Financial Condition and Results of Operations of the Company’s 2021 Annual Report on Form 10-K and this Quarterly Report on Form 10-Q. However, it should be understood that it is not possible to identify or predict all such risks, uncertainties and factors, and others may arise from time to time. All of these forward-looking statements constitute the Company’s cautionary statements under the Private Securities Litigation Reform Act of 1995. The words “anticipate,” “estimate,” “expect,” “project,” “intend,” “believe,” “plan,” “target,” “forecast” and similar expressions are intended to identify forward-looking statements Forward looking statements speak only as of the date of the document in which they are made. The Company disclaims any obligation or undertaking to provide any updates or revisions to any forward-looking statement to reflect any change in the Company’s expectations or any change in events, conditions or circumstances on which the forward-looking statement is based. It is advisable, however, to consult any further disclosures the Company makes on related subjects in its Annual Reports on Form 10-K, Quarterly Reports on Form 10-Q and Current Reports on Form 8-K filed with the Securities and Exchange Commission.</w:t>
      </w:r>
    </w:p>
    <w:p>
      <w:pPr>
        <w:spacing w:after="0" w:line="38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Overview</w:t>
      </w:r>
    </w:p>
    <w:p>
      <w:pPr>
        <w:spacing w:after="0" w:line="172"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following Management’s Discussion and Analysis (the “MD&amp;A”) is intended to help the reader understand the Company’s financial condition and results of operations. The MD&amp;A is provided as a supplement to, and should be read in conjunction with the unaudited consolidated financial statements and notes thereto included in this Quarterly Report on Form 10-Q, as well as “Management’s Discussion and Analysis of Financial Condition and Results of Operations” contained in the 2021 Annual Report.</w:t>
      </w:r>
    </w:p>
    <w:p>
      <w:pPr>
        <w:spacing w:after="0" w:line="147" w:lineRule="exact"/>
        <w:rPr>
          <w:sz w:val="20"/>
          <w:szCs w:val="20"/>
          <w:color w:val="auto"/>
        </w:rPr>
      </w:pPr>
    </w:p>
    <w:p>
      <w:pPr>
        <w:jc w:val="both"/>
        <w:ind w:firstLine="749"/>
        <w:spacing w:after="0" w:line="282" w:lineRule="auto"/>
        <w:rPr>
          <w:sz w:val="20"/>
          <w:szCs w:val="20"/>
          <w:color w:val="auto"/>
        </w:rPr>
      </w:pPr>
      <w:r>
        <w:rPr>
          <w:rFonts w:ascii="Arial" w:cs="Arial" w:eastAsia="Arial" w:hAnsi="Arial"/>
          <w:sz w:val="19"/>
          <w:szCs w:val="19"/>
          <w:color w:val="auto"/>
        </w:rPr>
        <w:t>The Company provides global marine and support transportation services to offshore energy facilities worldwide. As of March 31, 2022, the Company and its joint ventures operated a diverse fleet of 82 support and specialty vessels, of which 60 were owned or leased-in, 20 were joint-ventured, and two were managed on behalf of unaffiliated third-parties. The primary users of the Company’s services are major integrated oil companies, large independent oil and natural gas exploration and production companies and emerging independent companies, as well as windfarm operators and installation contractors.</w:t>
      </w:r>
    </w:p>
    <w:p>
      <w:pPr>
        <w:spacing w:after="0" w:line="120"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The Company and its joint ventures operate and manage a diverse fleet of offshore support vessels that (i) deliver cargo and personnel to offshore installations including wind farms, (ii) handle anchors and mooring equipment required to tether rigs to the seabed, and assist in placing them on location and moving them between regions, (iii) provide construction, well work-over, maintenance and decommissioning support and (iv) carry and launch equipment used underwater in drilling and well installation, maintenance, inspection and repair. Additionally, the Company’s vessels provide accommodations for technicians and specialists. The Company operates its fleet in four principal geographic regions: the U.S., primarily in the Gulf of Mexico; Africa and Europe; the Middle East and Asia; and Latin America, primarily in Mexico, Brazil and Guyana. The Company’s vessels are highly mobile and regularly and routinely move between countries within a geographic region. In addition, the Company’s vessels are redeployed among geographic regions, subject to flag restrictions, as changes in market conditions dictate. The number and type of vessels operated, their rates per day worked and their utilization levels are the key determinants of the Company’s operating results and cash flows. Unless a vessel is cold-stacked, there is little reduction in daily running costs for the vessels and, consequently, operating margins are most sensitive to changes in rates per day worked and utilization. The Company manages its fleet utilizing a global network of shore side support, administrative and finance personnel.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4" w:name="page25"/>
    <w:bookmarkEnd w:id="24"/>
    <w:p>
      <w:pPr>
        <w:jc w:val="both"/>
        <w:ind w:firstLine="749"/>
        <w:spacing w:after="0" w:line="245" w:lineRule="auto"/>
        <w:rPr>
          <w:sz w:val="20"/>
          <w:szCs w:val="20"/>
          <w:color w:val="auto"/>
        </w:rPr>
      </w:pPr>
      <w:r>
        <w:rPr>
          <w:rFonts w:ascii="Arial" w:cs="Arial" w:eastAsia="Arial" w:hAnsi="Arial"/>
          <w:sz w:val="21"/>
          <w:szCs w:val="21"/>
          <w:color w:val="auto"/>
        </w:rPr>
        <w:t>Offshore oil and natural gas market conditions are highly volatile. Prices deteriorated beginning in the second half of 2014 and continued to deteriorate when oil prices hit a thirteen-year low of less than $27 per barrel (on the New York Mercantile Exchange) in February 2016. Oil prices were as high as $76 per barrel in October 2018 but experienced unprecedented volatility during 2020 due to the COVID-19 pandemic and the related effects on the global economy, with the price per barrel going negative for a short period of time. Oil prices have steadily increased since the lows hit at the beginning of the COVID-19 pandemic and recently hit a multi-year high of $116 per barrel primarily as a result of the conflict between Russia and Ukraine as well as the related economic sanctions. While the Company has experienced difficult market conditions over the past few years due to low oil and natural gas prices and the focus of oil and natural gas producing companies on cost and capital spending budget reductions, the recent increase in oil and natural gas prices has led to an increase in utilization, day rates and customer inquiries about potential new charters.</w:t>
      </w:r>
    </w:p>
    <w:p>
      <w:pPr>
        <w:spacing w:after="0" w:line="154" w:lineRule="exact"/>
        <w:rPr>
          <w:sz w:val="20"/>
          <w:szCs w:val="20"/>
          <w:color w:val="auto"/>
        </w:rPr>
      </w:pPr>
    </w:p>
    <w:p>
      <w:pPr>
        <w:jc w:val="both"/>
        <w:ind w:firstLine="749"/>
        <w:spacing w:after="0" w:line="236" w:lineRule="auto"/>
        <w:rPr>
          <w:sz w:val="20"/>
          <w:szCs w:val="20"/>
          <w:color w:val="auto"/>
        </w:rPr>
      </w:pPr>
      <w:r>
        <w:rPr>
          <w:rFonts w:ascii="Arial" w:cs="Arial" w:eastAsia="Arial" w:hAnsi="Arial"/>
          <w:sz w:val="22"/>
          <w:szCs w:val="22"/>
          <w:color w:val="auto"/>
        </w:rPr>
        <w:t>The Company’s operations and financial results were adversely affected by the COVID-19 pandemic as a result of decreased demand for the Company’s services and the increase in costs due to operational changes enacted to enhance crew and on-shore employee health and safety. While business has rebounded from the lows caused by the COVID-19 pandemic, the Company continues to closely monitor the dynamics related to the COVID-19 pandemic so that it may adjust its operations if necessary.</w:t>
      </w:r>
    </w:p>
    <w:p>
      <w:pPr>
        <w:spacing w:after="0" w:line="147"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Certain macro drivers somewhat independent of oil and natural gas prices may support the Company’s business, including: (i) underspending by oil and gas producers during the recent industry downturn leading to pent up demand for maintenance and growth capital expenditures; and (ii) improved extraction technologies. While we expect that alternative forms of energy will continue to grow and add to the world’s energy mix especially as governments, supranational groups and various other parties focus on climate change causes and concerns, the Company believes that for the foreseeable future demand for gasoline and oil will be sustained, as will demand for electricity from natural gas. Some alternative forms of energy such as offshore wind facilities have the potential to support, in part, the Company’s business. Low oil prices and the subsequent decline in offshore exploration have forced many operators in the industry to restructure or liquidate assets. The Company continues to closely monitor the delivery of newly built offshore support vessels to the industry-wide fleet, which in the recent past contributed to an oversaturated market, thereby further lowering the demand for the Company’s existing offshore support vessel fleet. A continuation of (i) low customer exploration and drilling activity levels, and (ii) continued excess supply of offshore support vessels whether from laid up fleets or newly built vessels could, in isolation or together, have a material adverse effect on the Company’s business, financial position, results of operations, cash flows and growth prospects.</w:t>
      </w:r>
    </w:p>
    <w:p>
      <w:pPr>
        <w:spacing w:after="0" w:line="115"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9"/>
          <w:szCs w:val="19"/>
          <w:color w:val="auto"/>
        </w:rPr>
        <w:t>The Company adheres to a strategy of cold-stacking vessels (removing from active service) during periods of weak utilization in order to reduce the daily running costs of operating the fleet, primarily personnel, repairs and maintenance costs, as well as to defer some drydocking costs into future periods. The Company considers various factors in determining which vessels to cold-stack, including upcoming dates for regulatory vessel inspections and related docking requirements. The Company may maintain class certification on certain cold-stacked vessels, thereby incurring some drydocking costs while cold-stacked. Cold-stacked vessels are returned to active service when market conditions improve, or management anticipates improvement, typically leading to increased costs for drydocking, personnel, repair and maintenance in the periods immediately preceding the vessels’ return to active service. Depending on market conditions, vessels with similar characteristics and capabilities may be rotated between active service and cold-stack. On an ongoing basis, the Company reviews its cold-stacked vessels to determine if any should be designated as retired and removed from service based on the vessel’s physical condition, the expected costs to reactivate and restore class certification, if any, and its viability to operate within current and projected market conditions. As of March 31, 2022, five of the Company’s 60 owned and leased-in, in-service vessels were cold-stacked worldwide.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25" w:name="page26"/>
    <w:bookmarkEnd w:id="25"/>
    <w:p>
      <w:pPr>
        <w:ind w:left="760"/>
        <w:spacing w:after="0"/>
        <w:rPr>
          <w:sz w:val="20"/>
          <w:szCs w:val="20"/>
          <w:color w:val="auto"/>
        </w:rPr>
      </w:pPr>
      <w:r>
        <w:rPr>
          <w:rFonts w:ascii="Arial" w:cs="Arial" w:eastAsia="Arial" w:hAnsi="Arial"/>
          <w:sz w:val="22"/>
          <w:szCs w:val="22"/>
          <w:b w:val="1"/>
          <w:bCs w:val="1"/>
          <w:color w:val="auto"/>
        </w:rPr>
        <w:t>Recent Developments</w:t>
      </w:r>
    </w:p>
    <w:p>
      <w:pPr>
        <w:spacing w:after="0" w:line="212" w:lineRule="exact"/>
        <w:rPr>
          <w:sz w:val="20"/>
          <w:szCs w:val="20"/>
          <w:color w:val="auto"/>
        </w:rPr>
      </w:pPr>
    </w:p>
    <w:p>
      <w:pPr>
        <w:jc w:val="both"/>
        <w:ind w:firstLine="510"/>
        <w:spacing w:after="0" w:line="285" w:lineRule="auto"/>
        <w:rPr>
          <w:sz w:val="20"/>
          <w:szCs w:val="20"/>
          <w:color w:val="auto"/>
        </w:rPr>
      </w:pPr>
      <w:r>
        <w:rPr>
          <w:rFonts w:ascii="Arial" w:cs="Arial" w:eastAsia="Arial" w:hAnsi="Arial"/>
          <w:sz w:val="19"/>
          <w:szCs w:val="19"/>
          <w:b w:val="1"/>
          <w:bCs w:val="1"/>
          <w:i w:val="1"/>
          <w:iCs w:val="1"/>
          <w:color w:val="auto"/>
        </w:rPr>
        <w:t>OSV Partners</w:t>
      </w:r>
      <w:r>
        <w:rPr>
          <w:rFonts w:ascii="Arial" w:cs="Arial" w:eastAsia="Arial" w:hAnsi="Arial"/>
          <w:sz w:val="19"/>
          <w:szCs w:val="19"/>
          <w:color w:val="auto"/>
        </w:rPr>
        <w:t>. SEACOR OSV PARTNERS I LP, a Delaware limited partnership (“OSV Partners I”), was a joint venture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owned and operated five PSVs for which the Company acted as one of the general partners and also held a limited partnership interest in. On December 31, 2021, pursuant an agreement and plan of merger (the “Merger Agreement”) among SEACOR Marine, SEACOR Offshore OSV LLC, a Delaware limited liability company and an indirect wholly-owned subsidiary</w:t>
      </w:r>
    </w:p>
    <w:p>
      <w:pPr>
        <w:spacing w:after="0" w:line="2" w:lineRule="exact"/>
        <w:rPr>
          <w:sz w:val="20"/>
          <w:szCs w:val="20"/>
          <w:color w:val="auto"/>
        </w:rPr>
      </w:pPr>
    </w:p>
    <w:p>
      <w:pPr>
        <w:jc w:val="both"/>
        <w:spacing w:after="0" w:line="340" w:lineRule="auto"/>
        <w:rPr>
          <w:sz w:val="20"/>
          <w:szCs w:val="20"/>
          <w:color w:val="auto"/>
        </w:rPr>
      </w:pPr>
      <w:r>
        <w:rPr>
          <w:rFonts w:ascii="Arial" w:cs="Arial" w:eastAsia="Arial" w:hAnsi="Arial"/>
          <w:sz w:val="22"/>
          <w:szCs w:val="22"/>
          <w:color w:val="auto"/>
        </w:rPr>
        <w:t>of the Company (“SEACOR Offshore OSV”) and OSV Partners I, OSV Partners I merged with and into SEACOR Offshore OSV with SEACOR Offshore OSV surviving the merger (the “Merger”).</w:t>
      </w:r>
    </w:p>
    <w:p>
      <w:pPr>
        <w:spacing w:after="0" w:line="107" w:lineRule="exact"/>
        <w:rPr>
          <w:sz w:val="20"/>
          <w:szCs w:val="20"/>
          <w:color w:val="auto"/>
        </w:rPr>
      </w:pPr>
    </w:p>
    <w:p>
      <w:pPr>
        <w:jc w:val="both"/>
        <w:ind w:right="20" w:firstLine="510"/>
        <w:spacing w:after="0" w:line="250" w:lineRule="auto"/>
        <w:rPr>
          <w:sz w:val="20"/>
          <w:szCs w:val="20"/>
          <w:color w:val="auto"/>
        </w:rPr>
      </w:pPr>
      <w:r>
        <w:rPr>
          <w:rFonts w:ascii="Arial" w:cs="Arial" w:eastAsia="Arial" w:hAnsi="Arial"/>
          <w:sz w:val="22"/>
          <w:szCs w:val="22"/>
          <w:color w:val="auto"/>
        </w:rPr>
        <w:t>In connection with the consummation of the Merger, the Company issued an aggregate of 1,567,935 shares of common stock of the Company, par value $0.01 per share (the “Common Stock”), as follows:</w:t>
      </w:r>
    </w:p>
    <w:p>
      <w:pPr>
        <w:spacing w:after="0" w:line="175" w:lineRule="exact"/>
        <w:rPr>
          <w:sz w:val="20"/>
          <w:szCs w:val="20"/>
          <w:color w:val="auto"/>
        </w:rPr>
      </w:pPr>
    </w:p>
    <w:p>
      <w:pPr>
        <w:ind w:left="1500" w:right="20" w:hanging="750"/>
        <w:spacing w:after="0" w:line="250" w:lineRule="auto"/>
        <w:tabs>
          <w:tab w:leader="none" w:pos="15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531,872 shares of Common Stock as consideration for the Merger paid to OSV Partners I’s limited partners (other than the Company and its subsidiaries), and</w:t>
      </w:r>
    </w:p>
    <w:p>
      <w:pPr>
        <w:spacing w:after="0" w:line="174" w:lineRule="exact"/>
        <w:rPr>
          <w:rFonts w:ascii="Arial" w:cs="Arial" w:eastAsia="Arial" w:hAnsi="Arial"/>
          <w:sz w:val="22"/>
          <w:szCs w:val="22"/>
          <w:color w:val="auto"/>
        </w:rPr>
      </w:pPr>
    </w:p>
    <w:p>
      <w:pPr>
        <w:jc w:val="both"/>
        <w:ind w:left="1500" w:hanging="750"/>
        <w:spacing w:after="0" w:line="238" w:lineRule="auto"/>
        <w:tabs>
          <w:tab w:leader="none" w:pos="15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1,036,063 shares of Common Stock as payment to settle all amounts and other obligations outstanding under the Subordinated PIK Loan Agreement, dated September 28, 2018 (as amended on December 22, 2021, the “PIK Loan Agreement”) and paid to the former lenders thereunder (all of whom were limited partners of OSV Partners I).</w:t>
      </w:r>
    </w:p>
    <w:p>
      <w:pPr>
        <w:spacing w:after="0" w:line="185" w:lineRule="exact"/>
        <w:rPr>
          <w:sz w:val="20"/>
          <w:szCs w:val="20"/>
          <w:color w:val="auto"/>
        </w:rPr>
      </w:pPr>
    </w:p>
    <w:p>
      <w:pPr>
        <w:jc w:val="both"/>
        <w:ind w:firstLine="510"/>
        <w:spacing w:after="0" w:line="297" w:lineRule="auto"/>
        <w:rPr>
          <w:sz w:val="20"/>
          <w:szCs w:val="20"/>
          <w:color w:val="auto"/>
        </w:rPr>
      </w:pPr>
      <w:r>
        <w:rPr>
          <w:rFonts w:ascii="Arial" w:cs="Arial" w:eastAsia="Arial" w:hAnsi="Arial"/>
          <w:sz w:val="19"/>
          <w:szCs w:val="19"/>
          <w:color w:val="auto"/>
        </w:rPr>
        <w:t>In connection with the Merger, the Company and SEACOR Offshore OSV assumed and guaranteed approximately $18.1 million of OSV Partners I’s third-party indebtedness outstanding under the amended and restated senior secured term loan credit facility agreement dated as of September 28, 2018, by and among OSV Partners I and lenders and other parties thereto.</w:t>
      </w:r>
    </w:p>
    <w:p>
      <w:pPr>
        <w:spacing w:after="0" w:line="134" w:lineRule="exact"/>
        <w:rPr>
          <w:sz w:val="20"/>
          <w:szCs w:val="20"/>
          <w:color w:val="auto"/>
        </w:rPr>
      </w:pPr>
    </w:p>
    <w:p>
      <w:pPr>
        <w:jc w:val="both"/>
        <w:ind w:firstLine="510"/>
        <w:spacing w:after="0" w:line="252" w:lineRule="auto"/>
        <w:rPr>
          <w:sz w:val="20"/>
          <w:szCs w:val="20"/>
          <w:color w:val="auto"/>
        </w:rPr>
      </w:pPr>
      <w:r>
        <w:rPr>
          <w:rFonts w:ascii="Arial" w:cs="Arial" w:eastAsia="Arial" w:hAnsi="Arial"/>
          <w:sz w:val="21"/>
          <w:szCs w:val="21"/>
          <w:color w:val="auto"/>
        </w:rPr>
        <w:t>As a result of the Merger, the five 201’, 1,900 tons deadweight capacity, PSVs owned by OSV Partners I are now 100% owned by the Company, bringing the Company’s owned PSV fleet to 20. Of the five PSVs previously owned by OSV Partners I, three are U.S. flagged and currently located in the Gulf of Mexico, and two are Marshall Island flagged and currently located in the Middle East. As of December 31, 2021, these five PSVs had an average age of seven years.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auto"/>
        </w:rPr>
        <w:t>Consolidated Results of Operations</w:t>
      </w:r>
    </w:p>
    <w:p>
      <w:pPr>
        <w:spacing w:after="0" w:line="17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color w:val="auto"/>
        </w:rPr>
        <w:t>The sections below provide an analysis of the Company’s results of operations for the three months (“Current Year Quarter”) ended March 31, 2022 compared with the three months (“Prior Year Quarter”) ended March 31, 2021. For the periods indicated, the Company’s consolidated results of operations were as follows (in thousands, except statistics):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5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10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60"/>
              <w:spacing w:after="0"/>
              <w:rPr>
                <w:sz w:val="20"/>
                <w:szCs w:val="20"/>
                <w:color w:val="auto"/>
              </w:rPr>
            </w:pPr>
            <w:r>
              <w:rPr>
                <w:rFonts w:ascii="Arial" w:cs="Arial" w:eastAsia="Arial" w:hAnsi="Arial"/>
                <w:sz w:val="16"/>
                <w:szCs w:val="16"/>
                <w:color w:val="auto"/>
              </w:rPr>
              <w:t>Average Rates Per Day</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11,312</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66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11,323</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Utilization</w:t>
            </w:r>
          </w:p>
        </w:tc>
        <w:tc>
          <w:tcPr>
            <w:tcW w:w="4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70%</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55%</w:t>
            </w: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60"/>
              <w:spacing w:after="0"/>
              <w:rPr>
                <w:sz w:val="20"/>
                <w:szCs w:val="20"/>
                <w:color w:val="auto"/>
              </w:rPr>
            </w:pPr>
            <w:r>
              <w:rPr>
                <w:rFonts w:ascii="Arial" w:cs="Arial" w:eastAsia="Arial" w:hAnsi="Arial"/>
                <w:sz w:val="16"/>
                <w:szCs w:val="16"/>
                <w:color w:val="auto"/>
              </w:rPr>
              <w:t>Fleet Available Days</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5,400</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5,505</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42,741</w:t>
            </w:r>
          </w:p>
        </w:tc>
        <w:tc>
          <w:tcPr>
            <w:tcW w:w="3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94%</w:t>
            </w:r>
          </w:p>
        </w:tc>
        <w:tc>
          <w:tcPr>
            <w:tcW w:w="820" w:type="dxa"/>
            <w:vAlign w:val="bottom"/>
          </w:tcPr>
          <w:p>
            <w:pPr>
              <w:jc w:val="right"/>
              <w:ind w:right="66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34,290</w:t>
            </w:r>
          </w:p>
        </w:tc>
        <w:tc>
          <w:tcPr>
            <w:tcW w:w="3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Bareboat charter</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w:t>
            </w: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w:t>
            </w:r>
          </w:p>
        </w:tc>
        <w:tc>
          <w:tcPr>
            <w:tcW w:w="8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729</w:t>
            </w: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Other marine services</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2,232</w:t>
            </w:r>
          </w:p>
        </w:tc>
        <w:tc>
          <w:tcPr>
            <w:tcW w:w="36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6"/>
                <w:szCs w:val="16"/>
                <w:color w:val="auto"/>
              </w:rPr>
              <w:t>5%</w:t>
            </w:r>
          </w:p>
        </w:tc>
        <w:tc>
          <w:tcPr>
            <w:tcW w:w="8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w:t>
            </w:r>
          </w:p>
        </w:tc>
        <w:tc>
          <w:tcPr>
            <w:tcW w:w="34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2"/>
        </w:trPr>
        <w:tc>
          <w:tcPr>
            <w:tcW w:w="610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45,591</w:t>
            </w: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100%</w:t>
            </w:r>
          </w:p>
        </w:tc>
        <w:tc>
          <w:tcPr>
            <w:tcW w:w="82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36,512</w:t>
            </w:r>
          </w:p>
        </w:tc>
        <w:tc>
          <w:tcPr>
            <w:tcW w:w="3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7"/>
        </w:trPr>
        <w:tc>
          <w:tcPr>
            <w:tcW w:w="6100" w:type="dxa"/>
            <w:vAlign w:val="bottom"/>
          </w:tcPr>
          <w:p>
            <w:pPr>
              <w:spacing w:after="0"/>
              <w:rPr>
                <w:sz w:val="20"/>
                <w:szCs w:val="20"/>
                <w:color w:val="auto"/>
              </w:rPr>
            </w:pPr>
            <w:r>
              <w:rPr>
                <w:rFonts w:ascii="Arial" w:cs="Arial" w:eastAsia="Arial" w:hAnsi="Arial"/>
                <w:sz w:val="16"/>
                <w:szCs w:val="16"/>
                <w:color w:val="auto"/>
              </w:rPr>
              <w:t>Costs and Expenses:</w:t>
            </w:r>
          </w:p>
        </w:tc>
        <w:tc>
          <w:tcPr>
            <w:tcW w:w="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500"/>
              <w:spacing w:after="0"/>
              <w:rPr>
                <w:sz w:val="20"/>
                <w:szCs w:val="20"/>
                <w:color w:val="auto"/>
              </w:rPr>
            </w:pPr>
            <w:r>
              <w:rPr>
                <w:rFonts w:ascii="Arial" w:cs="Arial" w:eastAsia="Arial" w:hAnsi="Arial"/>
                <w:sz w:val="16"/>
                <w:szCs w:val="16"/>
                <w:color w:val="auto"/>
              </w:rPr>
              <w:t>Personnel</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18,435</w:t>
            </w:r>
          </w:p>
        </w:tc>
        <w:tc>
          <w:tcPr>
            <w:tcW w:w="3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40%</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13,418</w:t>
            </w:r>
          </w:p>
        </w:tc>
        <w:tc>
          <w:tcPr>
            <w:tcW w:w="3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Repairs and maintenance</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6,791</w:t>
            </w: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15%</w:t>
            </w:r>
          </w:p>
        </w:tc>
        <w:tc>
          <w:tcPr>
            <w:tcW w:w="8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3,840</w:t>
            </w: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6100" w:type="dxa"/>
            <w:vAlign w:val="bottom"/>
          </w:tcPr>
          <w:p>
            <w:pPr>
              <w:ind w:left="500"/>
              <w:spacing w:after="0"/>
              <w:rPr>
                <w:sz w:val="20"/>
                <w:szCs w:val="20"/>
                <w:color w:val="auto"/>
              </w:rPr>
            </w:pPr>
            <w:r>
              <w:rPr>
                <w:rFonts w:ascii="Arial" w:cs="Arial" w:eastAsia="Arial" w:hAnsi="Arial"/>
                <w:sz w:val="16"/>
                <w:szCs w:val="16"/>
                <w:color w:val="auto"/>
              </w:rPr>
              <w:t>Drydocking</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4,973</w:t>
            </w:r>
          </w:p>
        </w:tc>
        <w:tc>
          <w:tcPr>
            <w:tcW w:w="3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11%</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2,217</w:t>
            </w:r>
          </w:p>
        </w:tc>
        <w:tc>
          <w:tcPr>
            <w:tcW w:w="3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Insurance and loss reserves</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1,186</w:t>
            </w: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w:t>
            </w:r>
          </w:p>
        </w:tc>
        <w:tc>
          <w:tcPr>
            <w:tcW w:w="8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1,958</w:t>
            </w: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6100" w:type="dxa"/>
            <w:vAlign w:val="bottom"/>
          </w:tcPr>
          <w:p>
            <w:pPr>
              <w:ind w:left="500"/>
              <w:spacing w:after="0"/>
              <w:rPr>
                <w:sz w:val="20"/>
                <w:szCs w:val="20"/>
                <w:color w:val="auto"/>
              </w:rPr>
            </w:pPr>
            <w:r>
              <w:rPr>
                <w:rFonts w:ascii="Arial" w:cs="Arial" w:eastAsia="Arial" w:hAnsi="Arial"/>
                <w:sz w:val="16"/>
                <w:szCs w:val="16"/>
                <w:color w:val="auto"/>
              </w:rPr>
              <w:t>Fuel, lubes and supplies</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3,729</w:t>
            </w:r>
          </w:p>
        </w:tc>
        <w:tc>
          <w:tcPr>
            <w:tcW w:w="3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8%</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2,202</w:t>
            </w:r>
          </w:p>
        </w:tc>
        <w:tc>
          <w:tcPr>
            <w:tcW w:w="3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w:t>
            </w:r>
          </w:p>
        </w:tc>
        <w:tc>
          <w:tcPr>
            <w:tcW w:w="4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4,382</w:t>
            </w: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w:t>
            </w:r>
          </w:p>
        </w:tc>
        <w:tc>
          <w:tcPr>
            <w:tcW w:w="8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2,672</w:t>
            </w: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7"/>
        </w:trPr>
        <w:tc>
          <w:tcPr>
            <w:tcW w:w="6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39,496</w:t>
            </w:r>
          </w:p>
        </w:tc>
        <w:tc>
          <w:tcPr>
            <w:tcW w:w="3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87%</w:t>
            </w: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26,307</w:t>
            </w:r>
          </w:p>
        </w:tc>
        <w:tc>
          <w:tcPr>
            <w:tcW w:w="3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Lease expense - operating</w:t>
            </w:r>
          </w:p>
        </w:tc>
        <w:tc>
          <w:tcPr>
            <w:tcW w:w="4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1,060</w:t>
            </w: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w:t>
            </w:r>
          </w:p>
        </w:tc>
        <w:tc>
          <w:tcPr>
            <w:tcW w:w="8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1,078</w:t>
            </w: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6100" w:type="dxa"/>
            <w:vAlign w:val="bottom"/>
          </w:tcPr>
          <w:p>
            <w:pPr>
              <w:ind w:left="260"/>
              <w:spacing w:after="0"/>
              <w:rPr>
                <w:sz w:val="20"/>
                <w:szCs w:val="20"/>
                <w:color w:val="auto"/>
              </w:rPr>
            </w:pPr>
            <w:r>
              <w:rPr>
                <w:rFonts w:ascii="Arial" w:cs="Arial" w:eastAsia="Arial" w:hAnsi="Arial"/>
                <w:sz w:val="16"/>
                <w:szCs w:val="16"/>
                <w:color w:val="auto"/>
              </w:rPr>
              <w:t>Administrative and general</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9,924</w:t>
            </w:r>
          </w:p>
        </w:tc>
        <w:tc>
          <w:tcPr>
            <w:tcW w:w="3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22%</w:t>
            </w:r>
          </w:p>
        </w:tc>
        <w:tc>
          <w:tcPr>
            <w:tcW w:w="8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8,611</w:t>
            </w:r>
          </w:p>
        </w:tc>
        <w:tc>
          <w:tcPr>
            <w:tcW w:w="3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4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14,371</w:t>
            </w: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32%</w:t>
            </w:r>
          </w:p>
        </w:tc>
        <w:tc>
          <w:tcPr>
            <w:tcW w:w="8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14,798</w:t>
            </w: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7"/>
        </w:trPr>
        <w:tc>
          <w:tcPr>
            <w:tcW w:w="6100" w:type="dxa"/>
            <w:vAlign w:val="bottom"/>
            <w:tcBorders>
              <w:bottom w:val="single" w:sz="8" w:color="CFF0FC"/>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64,851</w:t>
            </w:r>
          </w:p>
        </w:tc>
        <w:tc>
          <w:tcPr>
            <w:tcW w:w="36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6"/>
                <w:szCs w:val="16"/>
                <w:color w:val="auto"/>
              </w:rPr>
              <w:t>142%</w:t>
            </w:r>
          </w:p>
        </w:tc>
        <w:tc>
          <w:tcPr>
            <w:tcW w:w="8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50,794</w:t>
            </w:r>
          </w:p>
        </w:tc>
        <w:tc>
          <w:tcPr>
            <w:tcW w:w="34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gridSpan w:val="2"/>
          </w:tcPr>
          <w:p>
            <w:pPr>
              <w:jc w:val="right"/>
              <w:ind w:right="22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2"/>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Gains (Losses) on Asset Dispositions and Impairments, Net</w:t>
            </w: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2,139</w:t>
            </w:r>
          </w:p>
        </w:tc>
        <w:tc>
          <w:tcPr>
            <w:tcW w:w="3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w:t>
            </w:r>
          </w:p>
        </w:tc>
        <w:tc>
          <w:tcPr>
            <w:tcW w:w="8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(2,273)</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6"/>
                <w:szCs w:val="16"/>
                <w:color w:val="auto"/>
              </w:rPr>
              <w:t>Operating Loss</w:t>
            </w: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(38)%</w:t>
            </w:r>
          </w:p>
        </w:tc>
        <w:tc>
          <w:tcPr>
            <w:tcW w:w="8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(45)%</w:t>
            </w:r>
          </w:p>
        </w:tc>
        <w:tc>
          <w:tcPr>
            <w:tcW w:w="0" w:type="dxa"/>
            <w:vAlign w:val="bottom"/>
          </w:tcPr>
          <w:p>
            <w:pPr>
              <w:spacing w:after="0" w:line="20" w:lineRule="exact"/>
              <w:rPr>
                <w:sz w:val="1"/>
                <w:szCs w:val="1"/>
                <w:color w:val="auto"/>
              </w:rPr>
            </w:pPr>
          </w:p>
        </w:tc>
      </w:tr>
      <w:tr>
        <w:trPr>
          <w:trHeight w:val="206"/>
        </w:trPr>
        <w:tc>
          <w:tcPr>
            <w:tcW w:w="61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(17,121)</w:t>
            </w:r>
          </w:p>
        </w:tc>
        <w:tc>
          <w:tcPr>
            <w:tcW w:w="84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w w:val="97"/>
              </w:rPr>
              <w:t>(16,555)</w:t>
            </w:r>
          </w:p>
        </w:tc>
        <w:tc>
          <w:tcPr>
            <w:tcW w:w="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Other Expense, Net</w:t>
            </w:r>
          </w:p>
        </w:tc>
        <w:tc>
          <w:tcPr>
            <w:tcW w:w="4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8"/>
              <w:spacing w:after="0"/>
              <w:rPr>
                <w:sz w:val="20"/>
                <w:szCs w:val="20"/>
                <w:color w:val="auto"/>
              </w:rPr>
            </w:pPr>
            <w:r>
              <w:rPr>
                <w:rFonts w:ascii="Arial" w:cs="Arial" w:eastAsia="Arial" w:hAnsi="Arial"/>
                <w:sz w:val="16"/>
                <w:szCs w:val="16"/>
                <w:color w:val="auto"/>
              </w:rPr>
              <w:t>(5,811)</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w:t>
            </w:r>
          </w:p>
        </w:tc>
        <w:tc>
          <w:tcPr>
            <w:tcW w:w="8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(7,150)</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0"/>
        </w:trPr>
        <w:tc>
          <w:tcPr>
            <w:tcW w:w="6100" w:type="dxa"/>
            <w:vAlign w:val="bottom"/>
          </w:tcPr>
          <w:p>
            <w:pPr>
              <w:spacing w:after="0"/>
              <w:rPr>
                <w:sz w:val="20"/>
                <w:szCs w:val="20"/>
                <w:color w:val="auto"/>
              </w:rPr>
            </w:pPr>
            <w:r>
              <w:rPr>
                <w:rFonts w:ascii="Arial" w:cs="Arial" w:eastAsia="Arial" w:hAnsi="Arial"/>
                <w:sz w:val="16"/>
                <w:szCs w:val="16"/>
                <w:color w:val="auto"/>
              </w:rPr>
              <w:t>Loss from Continuing Operations Before Income Tax Benefit and Equity in Earnings</w:t>
            </w:r>
          </w:p>
        </w:tc>
        <w:tc>
          <w:tcPr>
            <w:tcW w:w="4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00" w:type="dxa"/>
            <w:vAlign w:val="bottom"/>
          </w:tcPr>
          <w:p>
            <w:pPr>
              <w:spacing w:after="0"/>
              <w:rPr>
                <w:sz w:val="20"/>
                <w:szCs w:val="20"/>
                <w:color w:val="auto"/>
              </w:rPr>
            </w:pPr>
            <w:r>
              <w:rPr>
                <w:rFonts w:ascii="Arial" w:cs="Arial" w:eastAsia="Arial" w:hAnsi="Arial"/>
                <w:sz w:val="16"/>
                <w:szCs w:val="16"/>
                <w:color w:val="auto"/>
              </w:rPr>
              <w:t>of 50% or Less Owned Companies</w:t>
            </w:r>
          </w:p>
        </w:tc>
        <w:tc>
          <w:tcPr>
            <w:tcW w:w="480" w:type="dxa"/>
            <w:vAlign w:val="bottom"/>
          </w:tcPr>
          <w:p>
            <w:pPr>
              <w:spacing w:after="0"/>
              <w:rPr>
                <w:sz w:val="18"/>
                <w:szCs w:val="18"/>
                <w:color w:val="auto"/>
              </w:rPr>
            </w:pP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(22,932)</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(50)%</w:t>
            </w:r>
          </w:p>
        </w:tc>
        <w:tc>
          <w:tcPr>
            <w:tcW w:w="8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w w:val="97"/>
              </w:rPr>
              <w:t>(23,705)</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Income Tax Benefit</w:t>
            </w:r>
          </w:p>
        </w:tc>
        <w:tc>
          <w:tcPr>
            <w:tcW w:w="4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8"/>
              <w:spacing w:after="0"/>
              <w:rPr>
                <w:sz w:val="20"/>
                <w:szCs w:val="20"/>
                <w:color w:val="auto"/>
              </w:rPr>
            </w:pPr>
            <w:r>
              <w:rPr>
                <w:rFonts w:ascii="Arial" w:cs="Arial" w:eastAsia="Arial" w:hAnsi="Arial"/>
                <w:sz w:val="16"/>
                <w:szCs w:val="16"/>
                <w:color w:val="auto"/>
              </w:rPr>
              <w:t>(2,421)</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w:t>
            </w:r>
          </w:p>
        </w:tc>
        <w:tc>
          <w:tcPr>
            <w:tcW w:w="8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(2,688)</w:t>
            </w: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0"/>
        </w:trPr>
        <w:tc>
          <w:tcPr>
            <w:tcW w:w="6100" w:type="dxa"/>
            <w:vAlign w:val="bottom"/>
          </w:tcPr>
          <w:p>
            <w:pPr>
              <w:spacing w:after="0"/>
              <w:rPr>
                <w:sz w:val="20"/>
                <w:szCs w:val="20"/>
                <w:color w:val="auto"/>
              </w:rPr>
            </w:pPr>
            <w:r>
              <w:rPr>
                <w:rFonts w:ascii="Arial" w:cs="Arial" w:eastAsia="Arial" w:hAnsi="Arial"/>
                <w:sz w:val="16"/>
                <w:szCs w:val="16"/>
                <w:color w:val="auto"/>
              </w:rPr>
              <w:t>Loss from Continuing Operations Before Equity in Earnings of 50% or Less Owned</w:t>
            </w:r>
          </w:p>
        </w:tc>
        <w:tc>
          <w:tcPr>
            <w:tcW w:w="4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100" w:type="dxa"/>
            <w:vAlign w:val="bottom"/>
          </w:tcPr>
          <w:p>
            <w:pPr>
              <w:spacing w:after="0"/>
              <w:rPr>
                <w:sz w:val="20"/>
                <w:szCs w:val="20"/>
                <w:color w:val="auto"/>
              </w:rPr>
            </w:pPr>
            <w:r>
              <w:rPr>
                <w:rFonts w:ascii="Arial" w:cs="Arial" w:eastAsia="Arial" w:hAnsi="Arial"/>
                <w:sz w:val="16"/>
                <w:szCs w:val="16"/>
                <w:color w:val="auto"/>
              </w:rPr>
              <w:t>Companies</w:t>
            </w:r>
          </w:p>
        </w:tc>
        <w:tc>
          <w:tcPr>
            <w:tcW w:w="480" w:type="dxa"/>
            <w:vAlign w:val="bottom"/>
          </w:tcPr>
          <w:p>
            <w:pPr>
              <w:spacing w:after="0"/>
              <w:rPr>
                <w:sz w:val="18"/>
                <w:szCs w:val="18"/>
                <w:color w:val="auto"/>
              </w:rPr>
            </w:pP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(20,511)</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(45)%</w:t>
            </w:r>
          </w:p>
        </w:tc>
        <w:tc>
          <w:tcPr>
            <w:tcW w:w="8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w w:val="97"/>
              </w:rPr>
              <w:t>(21,017)</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Equity in Earnings Gains of 50% or Less Owned Companies</w:t>
            </w:r>
          </w:p>
        </w:tc>
        <w:tc>
          <w:tcPr>
            <w:tcW w:w="4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5,674</w:t>
            </w: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w:t>
            </w:r>
          </w:p>
        </w:tc>
        <w:tc>
          <w:tcPr>
            <w:tcW w:w="8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4,103</w:t>
            </w: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6"/>
        </w:trPr>
        <w:tc>
          <w:tcPr>
            <w:tcW w:w="6100" w:type="dxa"/>
            <w:vAlign w:val="bottom"/>
          </w:tcPr>
          <w:p>
            <w:pPr>
              <w:spacing w:after="0"/>
              <w:rPr>
                <w:sz w:val="20"/>
                <w:szCs w:val="20"/>
                <w:color w:val="auto"/>
              </w:rPr>
            </w:pPr>
            <w:r>
              <w:rPr>
                <w:rFonts w:ascii="Arial" w:cs="Arial" w:eastAsia="Arial" w:hAnsi="Arial"/>
                <w:sz w:val="16"/>
                <w:szCs w:val="16"/>
                <w:color w:val="auto"/>
              </w:rPr>
              <w:t>Loss from Continuing Operations</w:t>
            </w:r>
          </w:p>
        </w:tc>
        <w:tc>
          <w:tcPr>
            <w:tcW w:w="480" w:type="dxa"/>
            <w:vAlign w:val="bottom"/>
          </w:tcPr>
          <w:p>
            <w:pPr>
              <w:spacing w:after="0"/>
              <w:rPr>
                <w:sz w:val="17"/>
                <w:szCs w:val="17"/>
                <w:color w:val="auto"/>
              </w:rPr>
            </w:pP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(14,837)</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(33)%</w:t>
            </w:r>
          </w:p>
        </w:tc>
        <w:tc>
          <w:tcPr>
            <w:tcW w:w="820" w:type="dxa"/>
            <w:vAlign w:val="bottom"/>
          </w:tcPr>
          <w:p>
            <w:pPr>
              <w:spacing w:after="0"/>
              <w:rPr>
                <w:sz w:val="17"/>
                <w:szCs w:val="17"/>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6"/>
                <w:szCs w:val="16"/>
                <w:color w:val="auto"/>
                <w:w w:val="97"/>
              </w:rPr>
              <w:t>(16,914)</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Income from discontinued operations, Net of Tax</w:t>
            </w:r>
          </w:p>
        </w:tc>
        <w:tc>
          <w:tcPr>
            <w:tcW w:w="4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22,925</w:t>
            </w: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6"/>
        </w:trPr>
        <w:tc>
          <w:tcPr>
            <w:tcW w:w="6100" w:type="dxa"/>
            <w:vAlign w:val="bottom"/>
          </w:tcPr>
          <w:p>
            <w:pPr>
              <w:spacing w:after="0"/>
              <w:rPr>
                <w:sz w:val="20"/>
                <w:szCs w:val="20"/>
                <w:color w:val="auto"/>
              </w:rPr>
            </w:pPr>
            <w:r>
              <w:rPr>
                <w:rFonts w:ascii="Arial" w:cs="Arial" w:eastAsia="Arial" w:hAnsi="Arial"/>
                <w:sz w:val="16"/>
                <w:szCs w:val="16"/>
                <w:color w:val="auto"/>
              </w:rPr>
              <w:t>Net (Loss) Income</w:t>
            </w:r>
          </w:p>
        </w:tc>
        <w:tc>
          <w:tcPr>
            <w:tcW w:w="480" w:type="dxa"/>
            <w:vAlign w:val="bottom"/>
          </w:tcPr>
          <w:p>
            <w:pPr>
              <w:spacing w:after="0"/>
              <w:rPr>
                <w:sz w:val="17"/>
                <w:szCs w:val="17"/>
                <w:color w:val="auto"/>
              </w:rPr>
            </w:pP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(14,837)</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(33)%</w:t>
            </w:r>
          </w:p>
        </w:tc>
        <w:tc>
          <w:tcPr>
            <w:tcW w:w="8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6,011</w:t>
            </w:r>
          </w:p>
        </w:tc>
        <w:tc>
          <w:tcPr>
            <w:tcW w:w="3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9"/>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Net Income attributable to Noncontrolling Interests in Subsidiaries</w:t>
            </w:r>
          </w:p>
        </w:tc>
        <w:tc>
          <w:tcPr>
            <w:tcW w:w="4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100" w:type="dxa"/>
            <w:vAlign w:val="bottom"/>
          </w:tcPr>
          <w:p>
            <w:pPr>
              <w:spacing w:after="0"/>
              <w:rPr>
                <w:sz w:val="20"/>
                <w:szCs w:val="20"/>
                <w:color w:val="auto"/>
              </w:rPr>
            </w:pPr>
            <w:r>
              <w:rPr>
                <w:rFonts w:ascii="Arial" w:cs="Arial" w:eastAsia="Arial" w:hAnsi="Arial"/>
                <w:sz w:val="16"/>
                <w:szCs w:val="16"/>
                <w:color w:val="auto"/>
              </w:rPr>
              <w:t>Net (Loss) Income attributable to SEACOR Marine Holdings Inc.</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48"/>
              <w:spacing w:after="0"/>
              <w:rPr>
                <w:sz w:val="20"/>
                <w:szCs w:val="20"/>
                <w:color w:val="auto"/>
              </w:rPr>
            </w:pPr>
            <w:r>
              <w:rPr>
                <w:rFonts w:ascii="Arial" w:cs="Arial" w:eastAsia="Arial" w:hAnsi="Arial"/>
                <w:sz w:val="16"/>
                <w:szCs w:val="16"/>
                <w:color w:val="auto"/>
              </w:rPr>
              <w:t>(14,837)</w:t>
            </w: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(33)%</w:t>
            </w:r>
          </w:p>
        </w:tc>
        <w:tc>
          <w:tcPr>
            <w:tcW w:w="820" w:type="dxa"/>
            <w:vAlign w:val="bottom"/>
          </w:tcPr>
          <w:p>
            <w:pPr>
              <w:jc w:val="right"/>
              <w:ind w:right="664"/>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6,011</w:t>
            </w:r>
          </w:p>
        </w:tc>
        <w:tc>
          <w:tcPr>
            <w:tcW w:w="34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b w:val="1"/>
          <w:bCs w:val="1"/>
          <w:i w:val="1"/>
          <w:iCs w:val="1"/>
          <w:color w:val="auto"/>
        </w:rPr>
        <w:t xml:space="preserve">Direct Vessel Profit. </w:t>
      </w:r>
      <w:r>
        <w:rPr>
          <w:rFonts w:ascii="Arial" w:cs="Arial" w:eastAsia="Arial" w:hAnsi="Arial"/>
          <w:sz w:val="22"/>
          <w:szCs w:val="22"/>
          <w:color w:val="auto"/>
        </w:rPr>
        <w:t>Direct vessel profit (defined as operating revenues less operating expenses excluding leased-in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equipment, “DVP”) is the Company’s measure of segment profitability. DVP is a critical financial measure used by the Company to analyze and compare the operating performance of its regions, without regard to financing decisions (depreciation and interest expense for owned vessels vs. lease expense for leased-in vessels). See “Note 11. Segment Information” to the Unaudited Consolidated Financial Statements included in Part I. Item 1. “Financial Statements” elsewhere in the Quarterly Report on Form 10-Q.</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7" w:name="page28"/>
    <w:bookmarkEnd w:id="27"/>
    <w:p>
      <w:pPr>
        <w:ind w:firstLine="749"/>
        <w:spacing w:after="0" w:line="250" w:lineRule="auto"/>
        <w:rPr>
          <w:sz w:val="20"/>
          <w:szCs w:val="20"/>
          <w:color w:val="auto"/>
        </w:rPr>
      </w:pPr>
      <w:r>
        <w:rPr>
          <w:rFonts w:ascii="Arial" w:cs="Arial" w:eastAsia="Arial" w:hAnsi="Arial"/>
          <w:sz w:val="22"/>
          <w:szCs w:val="22"/>
          <w:color w:val="auto"/>
        </w:rPr>
        <w:t>The following tables summarize the operating results and property and equipment for the Company’s reportable segments for the periods indicated (in thousands, except statistics):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Middle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Africa</w:t>
            </w:r>
          </w:p>
        </w:tc>
        <w:tc>
          <w:tcPr>
            <w:tcW w:w="1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East</w:t>
            </w: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w w:val="90"/>
              </w:rPr>
              <w:t>and Europe</w:t>
            </w:r>
          </w:p>
        </w:tc>
        <w:tc>
          <w:tcPr>
            <w:tcW w:w="14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and Asia</w:t>
            </w: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March 31, 2022</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15,595</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9,882</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13,450</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11,312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6"/>
                <w:szCs w:val="16"/>
                <w:color w:val="auto"/>
              </w:rPr>
              <w:t>82%</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77%</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1,800</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5,400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7,864</w:t>
            </w:r>
          </w:p>
        </w:tc>
        <w:tc>
          <w:tcPr>
            <w:tcW w:w="2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12,280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13,660</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8,937</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42,741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(616)</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9,916</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11,664</w:t>
            </w:r>
          </w:p>
        </w:tc>
        <w:tc>
          <w:tcPr>
            <w:tcW w:w="2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13,709</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10,302</w:t>
            </w:r>
          </w:p>
        </w:tc>
        <w:tc>
          <w:tcPr>
            <w:tcW w:w="2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45,591</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4,923</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6,031</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3,945</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18,435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1,832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2,279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2,867</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507</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1,010</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3,729</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1,627</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4,382</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9,684</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11,969</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7,837</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39,496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0"/>
                <w:szCs w:val="20"/>
                <w:color w:val="auto"/>
              </w:rPr>
            </w:pPr>
            <w:r>
              <w:rPr>
                <w:rFonts w:ascii="Arial" w:cs="Arial" w:eastAsia="Arial" w:hAnsi="Arial"/>
                <w:sz w:val="16"/>
                <w:szCs w:val="16"/>
                <w:b w:val="1"/>
                <w:bCs w:val="1"/>
                <w:color w:val="auto"/>
              </w:rPr>
              <w:t>Direct Vessel (Loss) Profit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(90)</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1,980</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1,740</w:t>
            </w:r>
          </w:p>
        </w:tc>
        <w:tc>
          <w:tcPr>
            <w:tcW w:w="26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2,465</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6,095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287</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402</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9,924</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4,638</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3,258</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4,345</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2,130</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14,371</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25,355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Gain on Asset Dispositions and Impairments</w:t>
            </w:r>
          </w:p>
        </w:tc>
        <w:tc>
          <w:tcPr>
            <w:tcW w:w="120" w:type="dxa"/>
            <w:vAlign w:val="bottom"/>
            <w:tcBorders>
              <w:bottom w:val="single" w:sz="8" w:color="CFF0FC"/>
            </w:tcBorders>
          </w:tcPr>
          <w:p>
            <w:pPr>
              <w:spacing w:after="0"/>
              <w:rPr>
                <w:sz w:val="17"/>
                <w:szCs w:val="17"/>
                <w:color w:val="auto"/>
              </w:rPr>
            </w:pPr>
          </w:p>
        </w:tc>
        <w:tc>
          <w:tcPr>
            <w:tcW w:w="9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960" w:type="dxa"/>
            <w:vAlign w:val="bottom"/>
            <w:tcBorders>
              <w:bottom w:val="single" w:sz="8" w:color="CFF0FC"/>
            </w:tcBorders>
          </w:tcPr>
          <w:p>
            <w:pPr>
              <w:spacing w:after="0"/>
              <w:rPr>
                <w:sz w:val="17"/>
                <w:szCs w:val="17"/>
                <w:color w:val="auto"/>
              </w:rPr>
            </w:pPr>
          </w:p>
        </w:tc>
        <w:tc>
          <w:tcPr>
            <w:tcW w:w="2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920" w:type="dxa"/>
            <w:vAlign w:val="bottom"/>
            <w:tcBorders>
              <w:bottom w:val="single" w:sz="8" w:color="CFF0FC"/>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2,139</w:t>
            </w:r>
          </w:p>
        </w:tc>
        <w:tc>
          <w:tcPr>
            <w:tcW w:w="14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(17,121)</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March 31, 2022</w:t>
            </w: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280,472</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241,607</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335,121</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149,673</w:t>
            </w:r>
          </w:p>
        </w:tc>
        <w:tc>
          <w:tcPr>
            <w:tcW w:w="2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1,006,873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(130,455)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(77,502)</w:t>
            </w: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(86,682)</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(21,805)</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(316,444)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150,017</w:t>
            </w:r>
          </w:p>
        </w:tc>
        <w:tc>
          <w:tcPr>
            <w:tcW w:w="20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164,105</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248,439</w:t>
            </w:r>
          </w:p>
        </w:tc>
        <w:tc>
          <w:tcPr>
            <w:tcW w:w="2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127,868</w:t>
            </w:r>
          </w:p>
        </w:tc>
        <w:tc>
          <w:tcPr>
            <w:tcW w:w="26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690,429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5"/>
                <w:szCs w:val="25"/>
                <w:color w:val="auto"/>
                <w:vertAlign w:val="superscript"/>
              </w:rPr>
              <w:t>(1)</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6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173,269</w:t>
            </w:r>
          </w:p>
        </w:tc>
        <w:tc>
          <w:tcPr>
            <w:tcW w:w="20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181,526</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254,749</w:t>
            </w: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208,711</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818,255</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740" w:hanging="368"/>
        <w:spacing w:after="0"/>
        <w:tabs>
          <w:tab w:leader="none" w:pos="740" w:val="left"/>
        </w:tabs>
        <w:numPr>
          <w:ilvl w:val="0"/>
          <w:numId w:val="23"/>
        </w:numPr>
        <w:rPr>
          <w:rFonts w:ascii="Arial" w:cs="Arial" w:eastAsia="Arial" w:hAnsi="Arial"/>
          <w:sz w:val="29"/>
          <w:szCs w:val="29"/>
          <w:color w:val="auto"/>
          <w:vertAlign w:val="superscript"/>
        </w:rPr>
      </w:pPr>
      <w:r>
        <w:rPr>
          <w:rFonts w:ascii="Arial" w:cs="Arial" w:eastAsia="Arial" w:hAnsi="Arial"/>
          <w:sz w:val="14"/>
          <w:szCs w:val="14"/>
          <w:color w:val="auto"/>
        </w:rPr>
        <w:t>Total assets by region does not include corporate assets of $84.4 million as of March 31, 2022</w:t>
      </w:r>
      <w:r>
        <w:rPr>
          <w:rFonts w:ascii="Arial" w:cs="Arial" w:eastAsia="Arial" w:hAnsi="Arial"/>
          <w:sz w:val="17"/>
          <w:szCs w:val="17"/>
          <w:color w:val="auto"/>
        </w:rPr>
        <w: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United</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States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Africa</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(primarily</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and Europe,</w:t>
            </w:r>
          </w:p>
        </w:tc>
        <w:tc>
          <w:tcPr>
            <w:tcW w:w="1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Middle</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6"/>
              </w:rPr>
              <w:t>Gulf of</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Continuing</w:t>
            </w:r>
          </w:p>
        </w:tc>
        <w:tc>
          <w:tcPr>
            <w:tcW w:w="140" w:type="dxa"/>
            <w:vAlign w:val="bottom"/>
          </w:tcPr>
          <w:p>
            <w:pPr>
              <w:spacing w:after="0"/>
              <w:rPr>
                <w:sz w:val="17"/>
                <w:szCs w:val="17"/>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East</w:t>
            </w:r>
          </w:p>
        </w:tc>
        <w:tc>
          <w:tcPr>
            <w:tcW w:w="160" w:type="dxa"/>
            <w:vAlign w:val="bottom"/>
          </w:tcPr>
          <w:p>
            <w:pPr>
              <w:spacing w:after="0"/>
              <w:rPr>
                <w:sz w:val="17"/>
                <w:szCs w:val="17"/>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6"/>
                <w:szCs w:val="16"/>
                <w:b w:val="1"/>
                <w:bCs w:val="1"/>
                <w:color w:val="auto"/>
              </w:rPr>
              <w:t>Latin</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Mexico)</w:t>
            </w:r>
          </w:p>
        </w:tc>
        <w:tc>
          <w:tcPr>
            <w:tcW w:w="80" w:type="dxa"/>
            <w:vAlign w:val="bottom"/>
          </w:tcPr>
          <w:p>
            <w:pPr>
              <w:spacing w:after="0"/>
              <w:rPr>
                <w:sz w:val="18"/>
                <w:szCs w:val="18"/>
                <w:color w:val="auto"/>
              </w:rPr>
            </w:pPr>
          </w:p>
        </w:tc>
        <w:tc>
          <w:tcPr>
            <w:tcW w:w="1340" w:type="dxa"/>
            <w:vAlign w:val="bottom"/>
            <w:gridSpan w:val="3"/>
          </w:tcPr>
          <w:p>
            <w:pPr>
              <w:jc w:val="center"/>
              <w:ind w:right="300"/>
              <w:spacing w:after="0" w:line="217" w:lineRule="exact"/>
              <w:rPr>
                <w:sz w:val="20"/>
                <w:szCs w:val="20"/>
                <w:color w:val="auto"/>
              </w:rPr>
            </w:pPr>
            <w:r>
              <w:rPr>
                <w:rFonts w:ascii="Arial" w:cs="Arial" w:eastAsia="Arial" w:hAnsi="Arial"/>
                <w:sz w:val="16"/>
                <w:szCs w:val="16"/>
                <w:b w:val="1"/>
                <w:bCs w:val="1"/>
                <w:color w:val="auto"/>
                <w:w w:val="89"/>
              </w:rPr>
              <w:t>Operations</w:t>
            </w:r>
            <w:r>
              <w:rPr>
                <w:rFonts w:ascii="Arial" w:cs="Arial" w:eastAsia="Arial" w:hAnsi="Arial"/>
                <w:sz w:val="22"/>
                <w:szCs w:val="22"/>
                <w:b w:val="1"/>
                <w:bCs w:val="1"/>
                <w:color w:val="auto"/>
                <w:w w:val="89"/>
                <w:vertAlign w:val="superscript"/>
              </w:rPr>
              <w:t>(2)</w:t>
            </w:r>
          </w:p>
        </w:tc>
        <w:tc>
          <w:tcPr>
            <w:tcW w:w="14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and Asia</w:t>
            </w:r>
          </w:p>
        </w:tc>
        <w:tc>
          <w:tcPr>
            <w:tcW w:w="16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America</w:t>
            </w:r>
          </w:p>
        </w:tc>
        <w:tc>
          <w:tcPr>
            <w:tcW w:w="22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For the Three Months Ended March 31, 2021</w:t>
            </w:r>
          </w:p>
        </w:tc>
        <w:tc>
          <w:tcPr>
            <w:tcW w:w="1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right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Time Charter Statistics: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Average Rates Per Day</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15,910</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11,356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9,308</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14,751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11,323</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Fleet Utilization</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68%</w:t>
            </w:r>
          </w:p>
        </w:tc>
        <w:tc>
          <w:tcPr>
            <w:tcW w:w="1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73%</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Fleet Available Days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1,518</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1,852</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779</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5,505</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20"/>
                <w:szCs w:val="20"/>
                <w:color w:val="auto"/>
              </w:rPr>
            </w:pPr>
            <w:r>
              <w:rPr>
                <w:rFonts w:ascii="Arial" w:cs="Arial" w:eastAsia="Arial" w:hAnsi="Arial"/>
                <w:sz w:val="16"/>
                <w:szCs w:val="16"/>
                <w:color w:val="auto"/>
              </w:rPr>
              <w:t>Operating Revenues: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1,489</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12,575</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9,724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34,290</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(269)</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2,764</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10,233</w:t>
            </w:r>
          </w:p>
        </w:tc>
        <w:tc>
          <w:tcPr>
            <w:tcW w:w="28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12,935</w:t>
            </w:r>
          </w:p>
        </w:tc>
        <w:tc>
          <w:tcPr>
            <w:tcW w:w="26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10,580</w:t>
            </w:r>
          </w:p>
        </w:tc>
        <w:tc>
          <w:tcPr>
            <w:tcW w:w="260" w:type="dxa"/>
            <w:vAlign w:val="bottom"/>
            <w:tcBorders>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36,512</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Direct Costs and Expenses:</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Operating: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Personnel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1,744</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5,208</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13,418</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Repairs and maintenance</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Drydocking</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(28)</w:t>
            </w: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2,217</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500"/>
              <w:spacing w:after="0"/>
              <w:rPr>
                <w:sz w:val="20"/>
                <w:szCs w:val="20"/>
                <w:color w:val="auto"/>
              </w:rPr>
            </w:pPr>
            <w:r>
              <w:rPr>
                <w:rFonts w:ascii="Arial" w:cs="Arial" w:eastAsia="Arial" w:hAnsi="Arial"/>
                <w:sz w:val="16"/>
                <w:szCs w:val="16"/>
                <w:color w:val="auto"/>
              </w:rPr>
              <w:t>Insurance and loss reserves</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Fuel, lubes and supplies</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w:t>
            </w: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2,202</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Other</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2,672</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4,076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6,299</w:t>
            </w:r>
          </w:p>
        </w:tc>
        <w:tc>
          <w:tcPr>
            <w:tcW w:w="2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9,582</w:t>
            </w: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6,350</w:t>
            </w: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26,307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680" w:type="dxa"/>
            <w:vAlign w:val="bottom"/>
          </w:tcPr>
          <w:p>
            <w:pPr>
              <w:spacing w:after="0"/>
              <w:rPr>
                <w:sz w:val="20"/>
                <w:szCs w:val="20"/>
                <w:color w:val="auto"/>
              </w:rPr>
            </w:pPr>
            <w:r>
              <w:rPr>
                <w:rFonts w:ascii="Arial" w:cs="Arial" w:eastAsia="Arial" w:hAnsi="Arial"/>
                <w:sz w:val="16"/>
                <w:szCs w:val="16"/>
                <w:b w:val="1"/>
                <w:bCs w:val="1"/>
                <w:color w:val="auto"/>
              </w:rPr>
              <w:t>Direct Vessel (Loss) Profit,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(1,312)</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3,934</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3,353</w:t>
            </w:r>
          </w:p>
        </w:tc>
        <w:tc>
          <w:tcPr>
            <w:tcW w:w="26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4,230</w:t>
            </w:r>
          </w:p>
        </w:tc>
        <w:tc>
          <w:tcPr>
            <w:tcW w:w="260" w:type="dxa"/>
            <w:vAlign w:val="bottom"/>
          </w:tcPr>
          <w:p>
            <w:pPr>
              <w:spacing w:after="0"/>
              <w:rPr>
                <w:sz w:val="21"/>
                <w:szCs w:val="21"/>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10,205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Costs and Expenses:</w:t>
            </w:r>
          </w:p>
        </w:tc>
        <w:tc>
          <w:tcPr>
            <w:tcW w:w="1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Lease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664</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356</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Administrative and general</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8,611</w:t>
            </w: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CFF0FC"/>
            </w:tcBorders>
          </w:tcPr>
          <w:p>
            <w:pPr>
              <w:spacing w:after="0"/>
              <w:rPr>
                <w:sz w:val="18"/>
                <w:szCs w:val="18"/>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4,164</w:t>
            </w:r>
          </w:p>
        </w:tc>
        <w:tc>
          <w:tcPr>
            <w:tcW w:w="2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3,307</w:t>
            </w:r>
          </w:p>
        </w:tc>
        <w:tc>
          <w:tcPr>
            <w:tcW w:w="2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4,710</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2,617</w:t>
            </w: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14,798</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24,487</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80" w:type="dxa"/>
            <w:vAlign w:val="bottom"/>
          </w:tcPr>
          <w:p>
            <w:pPr>
              <w:spacing w:after="0"/>
              <w:rPr>
                <w:sz w:val="20"/>
                <w:szCs w:val="20"/>
                <w:color w:val="auto"/>
              </w:rPr>
            </w:pPr>
            <w:r>
              <w:rPr>
                <w:rFonts w:ascii="Arial" w:cs="Arial" w:eastAsia="Arial" w:hAnsi="Arial"/>
                <w:sz w:val="16"/>
                <w:szCs w:val="16"/>
                <w:color w:val="auto"/>
              </w:rPr>
              <w:t>Loss on Asset Dispositions and Impairments</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(2,273)</w:t>
            </w:r>
          </w:p>
        </w:tc>
        <w:tc>
          <w:tcPr>
            <w:tcW w:w="0" w:type="dxa"/>
            <w:vAlign w:val="bottom"/>
          </w:tcPr>
          <w:p>
            <w:pPr>
              <w:spacing w:after="0"/>
              <w:rPr>
                <w:sz w:val="1"/>
                <w:szCs w:val="1"/>
                <w:color w:val="auto"/>
              </w:rPr>
            </w:pPr>
          </w:p>
        </w:tc>
      </w:tr>
      <w:tr>
        <w:trPr>
          <w:trHeight w:val="20"/>
        </w:trPr>
        <w:tc>
          <w:tcPr>
            <w:tcW w:w="46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Operating Loss, for Continuing Operations</w:t>
            </w:r>
          </w:p>
        </w:tc>
        <w:tc>
          <w:tcPr>
            <w:tcW w:w="12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8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(16,555)</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March 31, 2021</w:t>
            </w:r>
          </w:p>
        </w:tc>
        <w:tc>
          <w:tcPr>
            <w:tcW w:w="12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8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214,575</w:t>
            </w:r>
          </w:p>
        </w:tc>
        <w:tc>
          <w:tcPr>
            <w:tcW w:w="2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240,032</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374,979</w:t>
            </w:r>
          </w:p>
        </w:tc>
        <w:tc>
          <w:tcPr>
            <w:tcW w:w="26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170,844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1,000,430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(128,841)</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(68,254)</w:t>
            </w:r>
          </w:p>
        </w:tc>
        <w:tc>
          <w:tcPr>
            <w:tcW w:w="14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(76,675)</w:t>
            </w: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(24,022)</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(297,792)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85,734</w:t>
            </w:r>
          </w:p>
        </w:tc>
        <w:tc>
          <w:tcPr>
            <w:tcW w:w="2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171,778</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298,304</w:t>
            </w:r>
          </w:p>
        </w:tc>
        <w:tc>
          <w:tcPr>
            <w:tcW w:w="2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146,822</w:t>
            </w:r>
          </w:p>
        </w:tc>
        <w:tc>
          <w:tcPr>
            <w:tcW w:w="26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702,638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vMerge w:val="restart"/>
            <w:shd w:val="clear" w:color="auto" w:fill="CFF0FC"/>
          </w:tcPr>
          <w:p>
            <w:pPr>
              <w:spacing w:after="0" w:line="220" w:lineRule="exact"/>
              <w:rPr>
                <w:sz w:val="20"/>
                <w:szCs w:val="20"/>
                <w:color w:val="auto"/>
              </w:rPr>
            </w:pPr>
            <w:r>
              <w:rPr>
                <w:rFonts w:ascii="Arial" w:cs="Arial" w:eastAsia="Arial" w:hAnsi="Arial"/>
                <w:sz w:val="15"/>
                <w:szCs w:val="15"/>
                <w:color w:val="auto"/>
              </w:rPr>
              <w:t xml:space="preserve">Total Assets </w:t>
            </w:r>
            <w:r>
              <w:rPr>
                <w:rFonts w:ascii="Arial" w:cs="Arial" w:eastAsia="Arial" w:hAnsi="Arial"/>
                <w:sz w:val="25"/>
                <w:szCs w:val="25"/>
                <w:color w:val="auto"/>
                <w:vertAlign w:val="superscript"/>
              </w:rPr>
              <w:t>(1)</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680" w:type="dxa"/>
            <w:vAlign w:val="bottom"/>
            <w:vMerge w:val="continue"/>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125,479</w:t>
            </w:r>
          </w:p>
        </w:tc>
        <w:tc>
          <w:tcPr>
            <w:tcW w:w="200" w:type="dxa"/>
            <w:vAlign w:val="bottom"/>
            <w:shd w:val="clear" w:color="auto" w:fill="CFF0FC"/>
          </w:tcPr>
          <w:p>
            <w:pPr>
              <w:spacing w:after="0"/>
              <w:rPr>
                <w:sz w:val="17"/>
                <w:szCs w:val="17"/>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189,370</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301,381</w:t>
            </w:r>
          </w:p>
        </w:tc>
        <w:tc>
          <w:tcPr>
            <w:tcW w:w="260" w:type="dxa"/>
            <w:vAlign w:val="bottom"/>
            <w:tcBorders>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215,408</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831,638</w:t>
            </w: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460" w:hanging="371"/>
        <w:spacing w:after="0"/>
        <w:tabs>
          <w:tab w:leader="none" w:pos="460" w:val="left"/>
        </w:tabs>
        <w:numPr>
          <w:ilvl w:val="0"/>
          <w:numId w:val="24"/>
        </w:numPr>
        <w:rPr>
          <w:rFonts w:ascii="Arial" w:cs="Arial" w:eastAsia="Arial" w:hAnsi="Arial"/>
          <w:sz w:val="29"/>
          <w:szCs w:val="29"/>
          <w:color w:val="auto"/>
          <w:vertAlign w:val="superscript"/>
        </w:rPr>
      </w:pPr>
      <w:r>
        <w:rPr>
          <w:rFonts w:ascii="Arial" w:cs="Arial" w:eastAsia="Arial" w:hAnsi="Arial"/>
          <w:sz w:val="14"/>
          <w:szCs w:val="14"/>
          <w:color w:val="auto"/>
        </w:rPr>
        <w:t>Total assets by region does not include corporate assets of $142.2 million as of March 31, 2021</w:t>
      </w:r>
      <w:r>
        <w:rPr>
          <w:rFonts w:ascii="Arial" w:cs="Arial" w:eastAsia="Arial" w:hAnsi="Arial"/>
          <w:sz w:val="17"/>
          <w:szCs w:val="17"/>
          <w:color w:val="auto"/>
        </w:rPr>
        <w:t>.</w:t>
      </w:r>
    </w:p>
    <w:p>
      <w:pPr>
        <w:spacing w:after="0" w:line="6" w:lineRule="exact"/>
        <w:rPr>
          <w:rFonts w:ascii="Arial" w:cs="Arial" w:eastAsia="Arial" w:hAnsi="Arial"/>
          <w:sz w:val="29"/>
          <w:szCs w:val="29"/>
          <w:color w:val="auto"/>
          <w:vertAlign w:val="superscript"/>
        </w:rPr>
      </w:pPr>
    </w:p>
    <w:p>
      <w:pPr>
        <w:jc w:val="both"/>
        <w:ind w:left="460" w:hanging="371"/>
        <w:spacing w:after="0" w:line="232" w:lineRule="auto"/>
        <w:tabs>
          <w:tab w:leader="none" w:pos="4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 prior periods Africa and Europe were reported as separate segments. Due to the sale of Windcat Workboats, the Company’s European operations are no longer analyzed by the chief operating decision maker on a standalone basis but rather are analyzed as part of the Africa and Europe segment. As a result, for purposes of segment reporting European operations are now analyzed with Africa and reported as a consolidated segment.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7" w:right="339" w:bottom="1440" w:gutter="0" w:footer="0" w:header="0"/>
        </w:sectPr>
      </w:pPr>
    </w:p>
    <w:bookmarkStart w:id="29" w:name="page30"/>
    <w:bookmarkEnd w:id="29"/>
    <w:p>
      <w:pPr>
        <w:spacing w:after="0" w:line="250" w:lineRule="auto"/>
        <w:rPr>
          <w:sz w:val="20"/>
          <w:szCs w:val="20"/>
          <w:color w:val="auto"/>
        </w:rPr>
      </w:pPr>
      <w:r>
        <w:rPr>
          <w:rFonts w:ascii="Arial" w:cs="Arial" w:eastAsia="Arial" w:hAnsi="Arial"/>
          <w:sz w:val="22"/>
          <w:szCs w:val="22"/>
          <w:color w:val="auto"/>
        </w:rPr>
        <w:t>For additional information, the following tables summarize the world-wide operating results and property and equipment for each of the Company’s vessel classes for the periods indicated (in thousands, except statistics):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Anchor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2"/>
              </w:rPr>
              <w:t>handling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towing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line="162" w:lineRule="exact"/>
              <w:rPr>
                <w:sz w:val="20"/>
                <w:szCs w:val="20"/>
                <w:color w:val="auto"/>
              </w:rPr>
            </w:pPr>
            <w:r>
              <w:rPr>
                <w:rFonts w:ascii="Arial" w:cs="Arial" w:eastAsia="Arial" w:hAnsi="Arial"/>
                <w:sz w:val="15"/>
                <w:szCs w:val="15"/>
                <w:b w:val="1"/>
                <w:bCs w:val="1"/>
                <w:color w:val="auto"/>
              </w:rPr>
              <w:t>Fast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Other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supply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6"/>
              </w:rPr>
              <w:t>support</w:t>
            </w: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5"/>
              </w:rPr>
              <w:t>Supply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1"/>
              </w:rPr>
              <w:t>Specialty</w:t>
            </w:r>
          </w:p>
        </w:tc>
        <w:tc>
          <w:tcPr>
            <w:tcW w:w="10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4"/>
              </w:rPr>
              <w:t>Liftboats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activity</w:t>
            </w:r>
          </w:p>
        </w:tc>
        <w:tc>
          <w:tcPr>
            <w:tcW w:w="14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340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Three Months Ended March 31, 2022</w:t>
            </w: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8,908</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8,621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12,188</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22,416</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11,312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66%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80%</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72%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49%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70%</w:t>
            </w: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2,160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1,800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5,400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rPr>
                <w:sz w:val="20"/>
                <w:szCs w:val="20"/>
                <w:color w:val="auto"/>
              </w:rPr>
            </w:pPr>
            <w:r>
              <w:rPr>
                <w:rFonts w:ascii="Arial" w:cs="Arial" w:eastAsia="Arial" w:hAnsi="Arial"/>
                <w:sz w:val="15"/>
                <w:szCs w:val="15"/>
                <w:color w:val="auto"/>
              </w:rPr>
              <w:t>Operating Revenues: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3,188</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14,900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15,823</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8,830</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42,741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618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618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(160)</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(254)</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1,463</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1,139</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3,028</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14,646</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16,485</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10,293</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1,139</w:t>
            </w:r>
          </w:p>
        </w:tc>
        <w:tc>
          <w:tcPr>
            <w:tcW w:w="26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45,591</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1,136</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5,070</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8,193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4,035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18,435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1,800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3,701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1,012</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(15)</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6,791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(7)</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1,277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1,302</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2,401</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4,973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(137)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428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1,215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(582)</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1,186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1,544</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1,434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605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3,729</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500"/>
              <w:spacing w:after="0"/>
              <w:rPr>
                <w:sz w:val="20"/>
                <w:szCs w:val="20"/>
                <w:color w:val="auto"/>
              </w:rPr>
            </w:pPr>
            <w:r>
              <w:rPr>
                <w:rFonts w:ascii="Arial" w:cs="Arial" w:eastAsia="Arial" w:hAnsi="Arial"/>
                <w:sz w:val="15"/>
                <w:szCs w:val="15"/>
                <w:color w:val="auto"/>
              </w:rPr>
              <w:t>Other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439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1,941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1,348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644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4,382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Other Costs and Expenses:</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1,868</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11,892</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16,406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16</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9,912</w:t>
            </w: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line="169" w:lineRule="exact"/>
              <w:rPr>
                <w:sz w:val="20"/>
                <w:szCs w:val="20"/>
                <w:color w:val="auto"/>
              </w:rPr>
            </w:pPr>
            <w:r>
              <w:rPr>
                <w:rFonts w:ascii="Arial" w:cs="Arial" w:eastAsia="Arial" w:hAnsi="Arial"/>
                <w:sz w:val="15"/>
                <w:szCs w:val="15"/>
                <w:color w:val="auto"/>
              </w:rPr>
              <w:t>(598)</w:t>
            </w: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39,496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400" w:type="dxa"/>
            <w:vAlign w:val="bottom"/>
            <w:tcBorders>
              <w:top w:val="single" w:sz="8" w:color="CFF0FC"/>
            </w:tcBorders>
            <w:vMerge w:val="continue"/>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449</w:t>
            </w:r>
          </w:p>
        </w:tc>
        <w:tc>
          <w:tcPr>
            <w:tcW w:w="20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291</w:t>
            </w:r>
          </w:p>
        </w:tc>
        <w:tc>
          <w:tcPr>
            <w:tcW w:w="200" w:type="dxa"/>
            <w:vAlign w:val="bottom"/>
          </w:tcPr>
          <w:p>
            <w:pPr>
              <w:spacing w:after="0"/>
              <w:rPr>
                <w:sz w:val="15"/>
                <w:szCs w:val="15"/>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320</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1,060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9,924</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494</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4,945</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3,786</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4,964</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182</w:t>
            </w:r>
          </w:p>
        </w:tc>
        <w:tc>
          <w:tcPr>
            <w:tcW w:w="2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14,371</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25,355</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tcBorders>
              <w:bottom w:val="single" w:sz="8" w:color="CFF0FC"/>
            </w:tcBorders>
          </w:tcPr>
          <w:p>
            <w:pPr>
              <w:spacing w:after="0" w:line="169" w:lineRule="exact"/>
              <w:rPr>
                <w:sz w:val="20"/>
                <w:szCs w:val="20"/>
                <w:color w:val="auto"/>
              </w:rPr>
            </w:pPr>
            <w:r>
              <w:rPr>
                <w:rFonts w:ascii="Arial" w:cs="Arial" w:eastAsia="Arial" w:hAnsi="Arial"/>
                <w:sz w:val="15"/>
                <w:szCs w:val="15"/>
                <w:color w:val="auto"/>
              </w:rPr>
              <w:t>Gain on Asset Dispositions and Impairments</w:t>
            </w:r>
          </w:p>
        </w:tc>
        <w:tc>
          <w:tcPr>
            <w:tcW w:w="1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70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76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74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2,139</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Operating Loss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(17,121)</w:t>
            </w: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March 31, 2022</w:t>
            </w: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50,189</w:t>
            </w:r>
          </w:p>
        </w:tc>
        <w:tc>
          <w:tcPr>
            <w:tcW w:w="2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361,785</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282,305</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3,163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290,529</w:t>
            </w:r>
          </w:p>
        </w:tc>
        <w:tc>
          <w:tcPr>
            <w:tcW w:w="1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18,902</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1,006,873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(34,251)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(121,714)</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(24,441)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(3,138)</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(114,480)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(18,420)</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(316,444)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15,938</w:t>
            </w:r>
          </w:p>
        </w:tc>
        <w:tc>
          <w:tcPr>
            <w:tcW w:w="20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240,071</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257,864</w:t>
            </w:r>
          </w:p>
        </w:tc>
        <w:tc>
          <w:tcPr>
            <w:tcW w:w="20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176,049</w:t>
            </w:r>
          </w:p>
        </w:tc>
        <w:tc>
          <w:tcPr>
            <w:tcW w:w="18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482</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690,429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1"/>
              </w:rPr>
              <w:t>Anchor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20"/>
              <w:spacing w:after="0" w:line="162" w:lineRule="exact"/>
              <w:rPr>
                <w:sz w:val="20"/>
                <w:szCs w:val="20"/>
                <w:color w:val="auto"/>
              </w:rPr>
            </w:pPr>
            <w:r>
              <w:rPr>
                <w:rFonts w:ascii="Arial" w:cs="Arial" w:eastAsia="Arial" w:hAnsi="Arial"/>
                <w:sz w:val="15"/>
                <w:szCs w:val="15"/>
                <w:b w:val="1"/>
                <w:bCs w:val="1"/>
                <w:color w:val="auto"/>
                <w:w w:val="92"/>
              </w:rPr>
              <w:t>handling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300"/>
              <w:spacing w:after="0" w:line="162" w:lineRule="exact"/>
              <w:rPr>
                <w:sz w:val="20"/>
                <w:szCs w:val="20"/>
                <w:color w:val="auto"/>
              </w:rPr>
            </w:pPr>
            <w:r>
              <w:rPr>
                <w:rFonts w:ascii="Arial" w:cs="Arial" w:eastAsia="Arial" w:hAnsi="Arial"/>
                <w:sz w:val="15"/>
                <w:szCs w:val="15"/>
                <w:b w:val="1"/>
                <w:bCs w:val="1"/>
                <w:color w:val="auto"/>
                <w:w w:val="90"/>
              </w:rPr>
              <w:t>towing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line="162" w:lineRule="exact"/>
              <w:rPr>
                <w:sz w:val="20"/>
                <w:szCs w:val="20"/>
                <w:color w:val="auto"/>
              </w:rPr>
            </w:pPr>
            <w:r>
              <w:rPr>
                <w:rFonts w:ascii="Arial" w:cs="Arial" w:eastAsia="Arial" w:hAnsi="Arial"/>
                <w:sz w:val="15"/>
                <w:szCs w:val="15"/>
                <w:b w:val="1"/>
                <w:bCs w:val="1"/>
                <w:color w:val="auto"/>
              </w:rPr>
              <w:t>Fast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00"/>
              <w:spacing w:after="0" w:line="162" w:lineRule="exact"/>
              <w:rPr>
                <w:sz w:val="20"/>
                <w:szCs w:val="20"/>
                <w:color w:val="auto"/>
              </w:rPr>
            </w:pPr>
            <w:r>
              <w:rPr>
                <w:rFonts w:ascii="Arial" w:cs="Arial" w:eastAsia="Arial" w:hAnsi="Arial"/>
                <w:sz w:val="15"/>
                <w:szCs w:val="15"/>
                <w:b w:val="1"/>
                <w:bCs w:val="1"/>
                <w:color w:val="auto"/>
              </w:rPr>
              <w:t>Other</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supply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w w:val="96"/>
              </w:rPr>
              <w:t>support</w:t>
            </w: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5"/>
              </w:rPr>
              <w:t>Supply</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5"/>
                <w:szCs w:val="15"/>
                <w:b w:val="1"/>
                <w:bCs w:val="1"/>
                <w:color w:val="auto"/>
                <w:w w:val="91"/>
              </w:rPr>
              <w:t>Specialty</w:t>
            </w:r>
          </w:p>
        </w:tc>
        <w:tc>
          <w:tcPr>
            <w:tcW w:w="100" w:type="dxa"/>
            <w:vAlign w:val="bottom"/>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w w:val="94"/>
              </w:rPr>
              <w:t>Liftboats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activity</w:t>
            </w:r>
          </w:p>
        </w:tc>
        <w:tc>
          <w:tcPr>
            <w:tcW w:w="14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69"/>
        </w:trPr>
        <w:tc>
          <w:tcPr>
            <w:tcW w:w="3400" w:type="dxa"/>
            <w:vAlign w:val="bottom"/>
            <w:tcBorders>
              <w:top w:val="single" w:sz="8" w:color="CFF0FC"/>
            </w:tcBorders>
            <w:shd w:val="clear" w:color="auto" w:fill="CFF0FC"/>
          </w:tcPr>
          <w:p>
            <w:pPr>
              <w:spacing w:after="0" w:line="169" w:lineRule="exact"/>
              <w:rPr>
                <w:sz w:val="20"/>
                <w:szCs w:val="20"/>
                <w:color w:val="auto"/>
              </w:rPr>
            </w:pPr>
            <w:r>
              <w:rPr>
                <w:rFonts w:ascii="Arial" w:cs="Arial" w:eastAsia="Arial" w:hAnsi="Arial"/>
                <w:sz w:val="15"/>
                <w:szCs w:val="15"/>
                <w:b w:val="1"/>
                <w:bCs w:val="1"/>
                <w:color w:val="auto"/>
              </w:rPr>
              <w:t>For the Three Months Ended March 31, 2021</w:t>
            </w: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rPr>
                <w:sz w:val="20"/>
                <w:szCs w:val="20"/>
                <w:color w:val="auto"/>
              </w:rPr>
            </w:pPr>
            <w:r>
              <w:rPr>
                <w:rFonts w:ascii="Arial" w:cs="Arial" w:eastAsia="Arial" w:hAnsi="Arial"/>
                <w:sz w:val="15"/>
                <w:szCs w:val="15"/>
                <w:color w:val="auto"/>
              </w:rPr>
              <w:t>Time Charter Statistics: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Average Rates Per Day</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7,778</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7,888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12,110</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1,890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26,792</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11,323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60"/>
              <w:spacing w:after="0"/>
              <w:rPr>
                <w:sz w:val="20"/>
                <w:szCs w:val="20"/>
                <w:color w:val="auto"/>
              </w:rPr>
            </w:pPr>
            <w:r>
              <w:rPr>
                <w:rFonts w:ascii="Arial" w:cs="Arial" w:eastAsia="Arial" w:hAnsi="Arial"/>
                <w:sz w:val="15"/>
                <w:szCs w:val="15"/>
                <w:color w:val="auto"/>
              </w:rPr>
              <w:t>Fleet Utilization</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61%</w:t>
            </w:r>
          </w:p>
        </w:tc>
        <w:tc>
          <w:tcPr>
            <w:tcW w:w="14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29%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5"/>
                <w:szCs w:val="15"/>
                <w:color w:val="auto"/>
              </w:rPr>
              <w:t>55%</w:t>
            </w:r>
          </w:p>
        </w:tc>
        <w:tc>
          <w:tcPr>
            <w:tcW w:w="0" w:type="dxa"/>
            <w:vAlign w:val="bottom"/>
          </w:tcPr>
          <w:p>
            <w:pPr>
              <w:spacing w:after="0"/>
              <w:rPr>
                <w:sz w:val="1"/>
                <w:szCs w:val="1"/>
                <w:color w:val="auto"/>
              </w:rPr>
            </w:pPr>
          </w:p>
        </w:tc>
      </w:tr>
      <w:tr>
        <w:trPr>
          <w:trHeight w:val="175"/>
        </w:trPr>
        <w:tc>
          <w:tcPr>
            <w:tcW w:w="34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Fleet Available Days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2,207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1,350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5,505</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rPr>
                <w:sz w:val="20"/>
                <w:szCs w:val="20"/>
                <w:color w:val="auto"/>
              </w:rPr>
            </w:pPr>
            <w:r>
              <w:rPr>
                <w:rFonts w:ascii="Arial" w:cs="Arial" w:eastAsia="Arial" w:hAnsi="Arial"/>
                <w:sz w:val="15"/>
                <w:szCs w:val="15"/>
                <w:color w:val="auto"/>
              </w:rPr>
              <w:t>Operating Revenues: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Time charter</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2,801</w:t>
            </w:r>
          </w:p>
        </w:tc>
        <w:tc>
          <w:tcPr>
            <w:tcW w:w="20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10,657</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10,082</w:t>
            </w:r>
          </w:p>
        </w:tc>
        <w:tc>
          <w:tcPr>
            <w:tcW w:w="20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170</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10,580</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w:t>
            </w: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34,290</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260"/>
              <w:spacing w:after="0"/>
              <w:rPr>
                <w:sz w:val="20"/>
                <w:szCs w:val="20"/>
                <w:color w:val="auto"/>
              </w:rPr>
            </w:pPr>
            <w:r>
              <w:rPr>
                <w:rFonts w:ascii="Arial" w:cs="Arial" w:eastAsia="Arial" w:hAnsi="Arial"/>
                <w:sz w:val="15"/>
                <w:szCs w:val="15"/>
                <w:color w:val="auto"/>
              </w:rPr>
              <w:t>Bareboat charter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729</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729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Other marine services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(130)</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(218)</w:t>
            </w: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346</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797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686</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1,493</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2,671</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11,168</w:t>
            </w:r>
          </w:p>
        </w:tc>
        <w:tc>
          <w:tcPr>
            <w:tcW w:w="28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10,428</w:t>
            </w:r>
          </w:p>
        </w:tc>
        <w:tc>
          <w:tcPr>
            <w:tcW w:w="20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182</w:t>
            </w:r>
          </w:p>
        </w:tc>
        <w:tc>
          <w:tcPr>
            <w:tcW w:w="280" w:type="dxa"/>
            <w:vAlign w:val="bottom"/>
            <w:tcBorders>
              <w:bottom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11,377</w:t>
            </w:r>
          </w:p>
        </w:tc>
        <w:tc>
          <w:tcPr>
            <w:tcW w:w="18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686</w:t>
            </w:r>
          </w:p>
        </w:tc>
        <w:tc>
          <w:tcPr>
            <w:tcW w:w="260" w:type="dxa"/>
            <w:vAlign w:val="bottom"/>
            <w:tcBorders>
              <w:bottom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36,512</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Direct Costs and Expenses:</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60"/>
              <w:spacing w:after="0"/>
              <w:rPr>
                <w:sz w:val="20"/>
                <w:szCs w:val="20"/>
                <w:color w:val="auto"/>
              </w:rPr>
            </w:pPr>
            <w:r>
              <w:rPr>
                <w:rFonts w:ascii="Arial" w:cs="Arial" w:eastAsia="Arial" w:hAnsi="Arial"/>
                <w:sz w:val="15"/>
                <w:szCs w:val="15"/>
                <w:color w:val="auto"/>
              </w:rPr>
              <w:t>Operating: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Personnel</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984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4,041</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4,158</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89</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3,806</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13,418</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500"/>
              <w:spacing w:after="0"/>
              <w:rPr>
                <w:sz w:val="20"/>
                <w:szCs w:val="20"/>
                <w:color w:val="auto"/>
              </w:rPr>
            </w:pPr>
            <w:r>
              <w:rPr>
                <w:rFonts w:ascii="Arial" w:cs="Arial" w:eastAsia="Arial" w:hAnsi="Arial"/>
                <w:sz w:val="15"/>
                <w:szCs w:val="15"/>
                <w:color w:val="auto"/>
              </w:rPr>
              <w:t>Repairs and maintenance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241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1,535</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1,135</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894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3,840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Drydocking</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54</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1,178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110</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875</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2,217</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500"/>
              <w:spacing w:after="0"/>
              <w:rPr>
                <w:sz w:val="20"/>
                <w:szCs w:val="20"/>
                <w:color w:val="auto"/>
              </w:rPr>
            </w:pPr>
            <w:r>
              <w:rPr>
                <w:rFonts w:ascii="Arial" w:cs="Arial" w:eastAsia="Arial" w:hAnsi="Arial"/>
                <w:sz w:val="15"/>
                <w:szCs w:val="15"/>
                <w:color w:val="auto"/>
              </w:rPr>
              <w:t>Insurance and loss reserves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466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474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719</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1,958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500"/>
              <w:spacing w:after="0"/>
              <w:rPr>
                <w:sz w:val="20"/>
                <w:szCs w:val="20"/>
                <w:color w:val="auto"/>
              </w:rPr>
            </w:pPr>
            <w:r>
              <w:rPr>
                <w:rFonts w:ascii="Arial" w:cs="Arial" w:eastAsia="Arial" w:hAnsi="Arial"/>
                <w:sz w:val="15"/>
                <w:szCs w:val="15"/>
                <w:color w:val="auto"/>
              </w:rPr>
              <w:t>Fuel, lubes and supplies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139</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726</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1,003</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w:t>
            </w: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320</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2,202</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Pr>
          <w:p>
            <w:pPr>
              <w:ind w:left="500"/>
              <w:spacing w:after="0"/>
              <w:rPr>
                <w:sz w:val="20"/>
                <w:szCs w:val="20"/>
                <w:color w:val="auto"/>
              </w:rPr>
            </w:pPr>
            <w:r>
              <w:rPr>
                <w:rFonts w:ascii="Arial" w:cs="Arial" w:eastAsia="Arial" w:hAnsi="Arial"/>
                <w:sz w:val="15"/>
                <w:szCs w:val="15"/>
                <w:color w:val="auto"/>
              </w:rPr>
              <w:t>Other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270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1,141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880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26</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677</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(322)</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2,672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400" w:type="dxa"/>
            <w:vAlign w:val="bottom"/>
            <w:tcBorders>
              <w:top w:val="single" w:sz="8" w:color="CFF0FC"/>
              <w:bottom w:val="single" w:sz="8" w:color="CFF0FC"/>
            </w:tcBorders>
            <w:vMerge w:val="restart"/>
            <w:shd w:val="clear" w:color="auto" w:fill="CFF0FC"/>
          </w:tcPr>
          <w:p>
            <w:pPr>
              <w:spacing w:after="0"/>
              <w:rPr>
                <w:sz w:val="20"/>
                <w:szCs w:val="20"/>
                <w:color w:val="auto"/>
              </w:rPr>
            </w:pPr>
            <w:r>
              <w:rPr>
                <w:rFonts w:ascii="Arial" w:cs="Arial" w:eastAsia="Arial" w:hAnsi="Arial"/>
                <w:sz w:val="15"/>
                <w:szCs w:val="15"/>
                <w:color w:val="auto"/>
              </w:rPr>
              <w:t>Other Costs and Expenses:</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1,882</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9,087</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7,760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135</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7,291</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152</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CFF0FC"/>
            </w:tcBorders>
            <w:shd w:val="clear" w:color="auto" w:fill="CFF0FC"/>
          </w:tcPr>
          <w:p>
            <w:pPr>
              <w:spacing w:after="0"/>
              <w:rPr>
                <w:sz w:val="18"/>
                <w:szCs w:val="18"/>
                <w:color w:val="auto"/>
              </w:rPr>
            </w:pPr>
          </w:p>
        </w:tc>
        <w:tc>
          <w:tcPr>
            <w:tcW w:w="720" w:type="dxa"/>
            <w:vAlign w:val="bottom"/>
            <w:tcBorders>
              <w:top w:val="single" w:sz="8" w:color="auto"/>
              <w:bottom w:val="single" w:sz="8" w:color="CFF0FC"/>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26,307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400" w:type="dxa"/>
            <w:vAlign w:val="bottom"/>
            <w:tcBorders>
              <w:top w:val="single" w:sz="8" w:color="CFF0FC"/>
            </w:tcBorders>
            <w:vMerge w:val="continue"/>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400" w:type="dxa"/>
            <w:vAlign w:val="bottom"/>
          </w:tcPr>
          <w:p>
            <w:pPr>
              <w:ind w:left="260"/>
              <w:spacing w:after="0"/>
              <w:rPr>
                <w:sz w:val="20"/>
                <w:szCs w:val="20"/>
                <w:color w:val="auto"/>
              </w:rPr>
            </w:pPr>
            <w:r>
              <w:rPr>
                <w:rFonts w:ascii="Arial" w:cs="Arial" w:eastAsia="Arial" w:hAnsi="Arial"/>
                <w:sz w:val="15"/>
                <w:szCs w:val="15"/>
                <w:color w:val="auto"/>
              </w:rPr>
              <w:t>Lease expense</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400</w:t>
            </w:r>
          </w:p>
        </w:tc>
        <w:tc>
          <w:tcPr>
            <w:tcW w:w="20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352</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12</w:t>
            </w:r>
          </w:p>
        </w:tc>
        <w:tc>
          <w:tcPr>
            <w:tcW w:w="180" w:type="dxa"/>
            <w:vAlign w:val="bottom"/>
          </w:tcPr>
          <w:p>
            <w:pPr>
              <w:spacing w:after="0"/>
              <w:rPr>
                <w:sz w:val="15"/>
                <w:szCs w:val="15"/>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314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1,078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Administrative and general</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8,611</w:t>
            </w: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40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Depreciation and amortization</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494</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2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5,096</w:t>
            </w:r>
          </w:p>
        </w:tc>
        <w:tc>
          <w:tcPr>
            <w:tcW w:w="28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70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2,977</w:t>
            </w:r>
          </w:p>
        </w:tc>
        <w:tc>
          <w:tcPr>
            <w:tcW w:w="20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CFF0FC"/>
            </w:tcBorders>
            <w:gridSpan w:val="2"/>
          </w:tcPr>
          <w:p>
            <w:pPr>
              <w:jc w:val="right"/>
              <w:ind w:right="28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FF0FC"/>
            </w:tcBorders>
          </w:tcPr>
          <w:p>
            <w:pPr>
              <w:spacing w:after="0"/>
              <w:rPr>
                <w:sz w:val="15"/>
                <w:szCs w:val="15"/>
                <w:color w:val="auto"/>
              </w:rPr>
            </w:pPr>
          </w:p>
        </w:tc>
        <w:tc>
          <w:tcPr>
            <w:tcW w:w="76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5,659</w:t>
            </w:r>
          </w:p>
        </w:tc>
        <w:tc>
          <w:tcPr>
            <w:tcW w:w="18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740" w:type="dxa"/>
            <w:vAlign w:val="bottom"/>
            <w:tcBorders>
              <w:bottom w:val="single" w:sz="8" w:color="CFF0FC"/>
            </w:tcBorders>
          </w:tcPr>
          <w:p>
            <w:pPr>
              <w:jc w:val="right"/>
              <w:spacing w:after="0"/>
              <w:rPr>
                <w:sz w:val="20"/>
                <w:szCs w:val="20"/>
                <w:color w:val="auto"/>
              </w:rPr>
            </w:pPr>
            <w:r>
              <w:rPr>
                <w:rFonts w:ascii="Arial" w:cs="Arial" w:eastAsia="Arial" w:hAnsi="Arial"/>
                <w:sz w:val="15"/>
                <w:szCs w:val="15"/>
                <w:color w:val="auto"/>
              </w:rPr>
              <w:t>572</w:t>
            </w:r>
          </w:p>
        </w:tc>
        <w:tc>
          <w:tcPr>
            <w:tcW w:w="26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14,798</w:t>
            </w:r>
          </w:p>
        </w:tc>
        <w:tc>
          <w:tcPr>
            <w:tcW w:w="14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24,487</w:t>
            </w: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0" w:type="dxa"/>
            <w:vAlign w:val="bottom"/>
          </w:tcPr>
          <w:p>
            <w:pPr>
              <w:spacing w:after="0" w:line="169" w:lineRule="exact"/>
              <w:rPr>
                <w:sz w:val="20"/>
                <w:szCs w:val="20"/>
                <w:color w:val="auto"/>
              </w:rPr>
            </w:pPr>
            <w:r>
              <w:rPr>
                <w:rFonts w:ascii="Arial" w:cs="Arial" w:eastAsia="Arial" w:hAnsi="Arial"/>
                <w:sz w:val="15"/>
                <w:szCs w:val="15"/>
                <w:color w:val="auto"/>
              </w:rPr>
              <w:t>Loss on Asset Dispositions and Impairments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(2,273)</w:t>
            </w:r>
          </w:p>
        </w:tc>
        <w:tc>
          <w:tcPr>
            <w:tcW w:w="0" w:type="dxa"/>
            <w:vAlign w:val="bottom"/>
          </w:tcPr>
          <w:p>
            <w:pPr>
              <w:spacing w:after="0"/>
              <w:rPr>
                <w:sz w:val="1"/>
                <w:szCs w:val="1"/>
                <w:color w:val="auto"/>
              </w:rPr>
            </w:pPr>
          </w:p>
        </w:tc>
      </w:tr>
      <w:tr>
        <w:trPr>
          <w:trHeight w:val="20"/>
        </w:trPr>
        <w:tc>
          <w:tcPr>
            <w:tcW w:w="3400" w:type="dxa"/>
            <w:vAlign w:val="bottom"/>
            <w:vMerge w:val="restart"/>
            <w:shd w:val="clear" w:color="auto" w:fill="CFF0FC"/>
          </w:tcPr>
          <w:p>
            <w:pPr>
              <w:spacing w:after="0"/>
              <w:rPr>
                <w:sz w:val="20"/>
                <w:szCs w:val="20"/>
                <w:color w:val="auto"/>
              </w:rPr>
            </w:pPr>
            <w:r>
              <w:rPr>
                <w:rFonts w:ascii="Arial" w:cs="Arial" w:eastAsia="Arial" w:hAnsi="Arial"/>
                <w:sz w:val="15"/>
                <w:szCs w:val="15"/>
                <w:color w:val="auto"/>
              </w:rPr>
              <w:t>Operating Loss, for Continuing Operations</w:t>
            </w: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7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100"/>
              <w:spacing w:after="0" w:line="169" w:lineRule="exact"/>
              <w:rPr>
                <w:sz w:val="20"/>
                <w:szCs w:val="20"/>
                <w:color w:val="auto"/>
              </w:rPr>
            </w:pPr>
            <w:r>
              <w:rPr>
                <w:rFonts w:ascii="Arial" w:cs="Arial" w:eastAsia="Arial" w:hAnsi="Arial"/>
                <w:sz w:val="15"/>
                <w:szCs w:val="15"/>
                <w:color w:val="auto"/>
              </w:rPr>
              <w:t>(16,555)</w:t>
            </w:r>
          </w:p>
        </w:tc>
        <w:tc>
          <w:tcPr>
            <w:tcW w:w="0" w:type="dxa"/>
            <w:vAlign w:val="bottom"/>
          </w:tcPr>
          <w:p>
            <w:pPr>
              <w:spacing w:after="0"/>
              <w:rPr>
                <w:sz w:val="1"/>
                <w:szCs w:val="1"/>
                <w:color w:val="auto"/>
              </w:rPr>
            </w:pPr>
          </w:p>
        </w:tc>
      </w:tr>
      <w:tr>
        <w:trPr>
          <w:trHeight w:val="20"/>
        </w:trPr>
        <w:tc>
          <w:tcPr>
            <w:tcW w:w="34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of March 31, 2021</w:t>
            </w: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34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60"/>
              <w:spacing w:after="0"/>
              <w:rPr>
                <w:sz w:val="20"/>
                <w:szCs w:val="20"/>
                <w:color w:val="auto"/>
              </w:rPr>
            </w:pPr>
            <w:r>
              <w:rPr>
                <w:rFonts w:ascii="Arial" w:cs="Arial" w:eastAsia="Arial" w:hAnsi="Arial"/>
                <w:sz w:val="16"/>
                <w:szCs w:val="16"/>
                <w:color w:val="auto"/>
              </w:rPr>
              <w:t>Historical cost</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50,189</w:t>
            </w:r>
          </w:p>
        </w:tc>
        <w:tc>
          <w:tcPr>
            <w:tcW w:w="2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372,805</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229,124</w:t>
            </w:r>
          </w:p>
        </w:tc>
        <w:tc>
          <w:tcPr>
            <w:tcW w:w="20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3,163</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321,750</w:t>
            </w:r>
          </w:p>
        </w:tc>
        <w:tc>
          <w:tcPr>
            <w:tcW w:w="1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23,399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1,000,430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depreciation</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(32,273)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(108,850)</w:t>
            </w: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(11,416)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(3,138)</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(123,022)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(19,093)</w:t>
            </w: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(297,792)</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40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17,916</w:t>
            </w:r>
          </w:p>
        </w:tc>
        <w:tc>
          <w:tcPr>
            <w:tcW w:w="20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263,955</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217,708</w:t>
            </w:r>
          </w:p>
        </w:tc>
        <w:tc>
          <w:tcPr>
            <w:tcW w:w="20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198,728</w:t>
            </w:r>
          </w:p>
        </w:tc>
        <w:tc>
          <w:tcPr>
            <w:tcW w:w="18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4,306</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702,638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Fleet Counts. </w:t>
      </w:r>
      <w:r>
        <w:rPr>
          <w:rFonts w:ascii="Arial" w:cs="Arial" w:eastAsia="Arial" w:hAnsi="Arial"/>
          <w:sz w:val="22"/>
          <w:szCs w:val="22"/>
          <w:color w:val="auto"/>
        </w:rPr>
        <w:t>The Company’s fleet count as of March 31, 2022 and December 31, 2021 was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ind w:left="240"/>
              <w:spacing w:after="0"/>
              <w:rPr>
                <w:sz w:val="20"/>
                <w:szCs w:val="20"/>
                <w:color w:val="auto"/>
              </w:rPr>
            </w:pPr>
            <w:r>
              <w:rPr>
                <w:rFonts w:ascii="Arial" w:cs="Arial" w:eastAsia="Arial" w:hAnsi="Arial"/>
                <w:sz w:val="16"/>
                <w:szCs w:val="16"/>
                <w:b w:val="1"/>
                <w:bCs w:val="1"/>
                <w:color w:val="auto"/>
              </w:rPr>
              <w:t>Owned</w:t>
            </w:r>
          </w:p>
        </w:tc>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Joint Ventured</w:t>
            </w: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Leased-in</w:t>
            </w: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Managed</w:t>
            </w:r>
          </w:p>
        </w:tc>
        <w:tc>
          <w:tcPr>
            <w:tcW w:w="112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r>
      <w:tr>
        <w:trPr>
          <w:trHeight w:val="213"/>
        </w:trPr>
        <w:tc>
          <w:tcPr>
            <w:tcW w:w="1300" w:type="dxa"/>
            <w:vAlign w:val="bottom"/>
            <w:tcBorders>
              <w:top w:val="single" w:sz="8" w:color="CFF0FC"/>
              <w:bottom w:val="single" w:sz="8" w:color="auto"/>
            </w:tcBorders>
            <w:shd w:val="clear" w:color="auto" w:fill="CFF0FC"/>
          </w:tcPr>
          <w:p>
            <w:pPr>
              <w:spacing w:after="0"/>
              <w:rPr>
                <w:sz w:val="18"/>
                <w:szCs w:val="18"/>
                <w:color w:val="auto"/>
              </w:rPr>
            </w:pPr>
          </w:p>
        </w:tc>
        <w:tc>
          <w:tcPr>
            <w:tcW w:w="3780" w:type="dxa"/>
            <w:vAlign w:val="bottom"/>
            <w:tcBorders>
              <w:top w:val="single" w:sz="8" w:color="CFF0FC"/>
              <w:bottom w:val="single" w:sz="8" w:color="auto"/>
            </w:tcBorders>
            <w:shd w:val="clear" w:color="auto" w:fill="CFF0FC"/>
          </w:tcPr>
          <w:p>
            <w:pPr>
              <w:ind w:left="700"/>
              <w:spacing w:after="0"/>
              <w:rPr>
                <w:sz w:val="20"/>
                <w:szCs w:val="20"/>
                <w:color w:val="auto"/>
              </w:rPr>
            </w:pPr>
            <w:r>
              <w:rPr>
                <w:rFonts w:ascii="Arial" w:cs="Arial" w:eastAsia="Arial" w:hAnsi="Arial"/>
                <w:sz w:val="16"/>
                <w:szCs w:val="16"/>
                <w:b w:val="1"/>
                <w:bCs w:val="1"/>
                <w:color w:val="auto"/>
              </w:rPr>
              <w:t>March 31, 2022</w:t>
            </w:r>
          </w:p>
        </w:tc>
        <w:tc>
          <w:tcPr>
            <w:tcW w:w="1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1300" w:type="dxa"/>
            <w:vAlign w:val="bottom"/>
          </w:tcPr>
          <w:p>
            <w:pPr>
              <w:spacing w:after="0"/>
              <w:rPr>
                <w:sz w:val="20"/>
                <w:szCs w:val="20"/>
                <w:color w:val="auto"/>
              </w:rPr>
            </w:pPr>
            <w:r>
              <w:rPr>
                <w:rFonts w:ascii="Arial" w:cs="Arial" w:eastAsia="Arial" w:hAnsi="Arial"/>
                <w:sz w:val="16"/>
                <w:szCs w:val="16"/>
                <w:color w:val="auto"/>
              </w:rPr>
              <w:t>AHTS</w:t>
            </w:r>
          </w:p>
        </w:tc>
        <w:tc>
          <w:tcPr>
            <w:tcW w:w="490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r>
      <w:tr>
        <w:trPr>
          <w:trHeight w:val="219"/>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FSV</w:t>
            </w:r>
          </w:p>
        </w:tc>
        <w:tc>
          <w:tcPr>
            <w:tcW w:w="4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9"/>
                <w:szCs w:val="19"/>
                <w:color w:val="auto"/>
              </w:rPr>
            </w:pPr>
          </w:p>
        </w:tc>
      </w:tr>
      <w:tr>
        <w:trPr>
          <w:trHeight w:val="213"/>
        </w:trPr>
        <w:tc>
          <w:tcPr>
            <w:tcW w:w="1300" w:type="dxa"/>
            <w:vAlign w:val="bottom"/>
          </w:tcPr>
          <w:p>
            <w:pPr>
              <w:spacing w:after="0"/>
              <w:rPr>
                <w:sz w:val="20"/>
                <w:szCs w:val="20"/>
                <w:color w:val="auto"/>
              </w:rPr>
            </w:pPr>
            <w:r>
              <w:rPr>
                <w:rFonts w:ascii="Arial" w:cs="Arial" w:eastAsia="Arial" w:hAnsi="Arial"/>
                <w:sz w:val="16"/>
                <w:szCs w:val="16"/>
                <w:color w:val="auto"/>
              </w:rPr>
              <w:t>Supply</w:t>
            </w:r>
          </w:p>
        </w:tc>
        <w:tc>
          <w:tcPr>
            <w:tcW w:w="4900" w:type="dxa"/>
            <w:vAlign w:val="bottom"/>
            <w:gridSpan w:val="3"/>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r>
      <w:tr>
        <w:trPr>
          <w:trHeight w:val="219"/>
        </w:trPr>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Specialty</w:t>
            </w:r>
          </w:p>
        </w:tc>
        <w:tc>
          <w:tcPr>
            <w:tcW w:w="4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9"/>
                <w:szCs w:val="19"/>
                <w:color w:val="auto"/>
              </w:rPr>
            </w:pPr>
          </w:p>
        </w:tc>
      </w:tr>
      <w:tr>
        <w:trPr>
          <w:trHeight w:val="213"/>
        </w:trPr>
        <w:tc>
          <w:tcPr>
            <w:tcW w:w="1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Liftboats</w:t>
            </w:r>
          </w:p>
        </w:tc>
        <w:tc>
          <w:tcPr>
            <w:tcW w:w="3900" w:type="dxa"/>
            <w:vAlign w:val="bottom"/>
            <w:tcBorders>
              <w:bottom w:val="single" w:sz="8" w:color="CFF0FC"/>
            </w:tcBorders>
            <w:gridSpan w:val="2"/>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00" w:type="dxa"/>
            <w:vAlign w:val="bottom"/>
            <w:tcBorders>
              <w:bottom w:val="single" w:sz="8" w:color="CFF0FC"/>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FF0FC"/>
            </w:tcBorders>
          </w:tcPr>
          <w:p>
            <w:pPr>
              <w:spacing w:after="0"/>
              <w:rPr>
                <w:sz w:val="18"/>
                <w:szCs w:val="18"/>
                <w:color w:val="auto"/>
              </w:rPr>
            </w:pPr>
          </w:p>
        </w:tc>
      </w:tr>
      <w:tr>
        <w:trPr>
          <w:trHeight w:val="209"/>
        </w:trPr>
        <w:tc>
          <w:tcPr>
            <w:tcW w:w="1300" w:type="dxa"/>
            <w:vAlign w:val="bottom"/>
            <w:shd w:val="clear" w:color="auto" w:fill="CFF0FC"/>
          </w:tcPr>
          <w:p>
            <w:pPr>
              <w:spacing w:after="0"/>
              <w:rPr>
                <w:sz w:val="18"/>
                <w:szCs w:val="18"/>
                <w:color w:val="auto"/>
              </w:rPr>
            </w:pPr>
          </w:p>
        </w:tc>
        <w:tc>
          <w:tcPr>
            <w:tcW w:w="4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FF0FC"/>
          </w:tcPr>
          <w:p>
            <w:pPr>
              <w:spacing w:after="0"/>
              <w:rPr>
                <w:sz w:val="18"/>
                <w:szCs w:val="18"/>
                <w:color w:val="auto"/>
              </w:rPr>
            </w:pPr>
          </w:p>
        </w:tc>
      </w:tr>
      <w:tr>
        <w:trPr>
          <w:trHeight w:val="20"/>
        </w:trPr>
        <w:tc>
          <w:tcPr>
            <w:tcW w:w="1300" w:type="dxa"/>
            <w:vAlign w:val="bottom"/>
            <w:tcBorders>
              <w:top w:val="single" w:sz="8" w:color="CFF0FC"/>
            </w:tcBorders>
          </w:tcPr>
          <w:p>
            <w:pPr>
              <w:spacing w:after="0" w:line="20" w:lineRule="exact"/>
              <w:rPr>
                <w:sz w:val="1"/>
                <w:szCs w:val="1"/>
                <w:color w:val="auto"/>
              </w:rPr>
            </w:pPr>
          </w:p>
        </w:tc>
        <w:tc>
          <w:tcPr>
            <w:tcW w:w="37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4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tcPr>
          <w:p>
            <w:pPr>
              <w:ind w:left="540"/>
              <w:spacing w:after="0"/>
              <w:rPr>
                <w:sz w:val="20"/>
                <w:szCs w:val="20"/>
                <w:color w:val="auto"/>
              </w:rPr>
            </w:pPr>
            <w:r>
              <w:rPr>
                <w:rFonts w:ascii="Arial" w:cs="Arial" w:eastAsia="Arial" w:hAnsi="Arial"/>
                <w:sz w:val="16"/>
                <w:szCs w:val="16"/>
                <w:b w:val="1"/>
                <w:bCs w:val="1"/>
                <w:color w:val="auto"/>
              </w:rPr>
              <w:t>December 31, 2021</w:t>
            </w:r>
          </w:p>
        </w:tc>
        <w:tc>
          <w:tcPr>
            <w:tcW w:w="1320" w:type="dxa"/>
            <w:vAlign w:val="bottom"/>
            <w:tcBorders>
              <w:bottom w:val="single" w:sz="8" w:color="CFF0FC"/>
            </w:tcBorders>
            <w:gridSpan w:val="3"/>
          </w:tcPr>
          <w:p>
            <w:pPr>
              <w:spacing w:after="0"/>
              <w:rPr>
                <w:sz w:val="18"/>
                <w:szCs w:val="18"/>
                <w:color w:val="auto"/>
              </w:rPr>
            </w:pPr>
          </w:p>
        </w:tc>
        <w:tc>
          <w:tcPr>
            <w:tcW w:w="10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r>
      <w:tr>
        <w:trPr>
          <w:trHeight w:val="212"/>
        </w:trPr>
        <w:tc>
          <w:tcPr>
            <w:tcW w:w="1340" w:type="dxa"/>
            <w:vAlign w:val="bottom"/>
            <w:shd w:val="clear" w:color="auto" w:fill="CFF0FC"/>
          </w:tcPr>
          <w:p>
            <w:pPr>
              <w:spacing w:after="0"/>
              <w:rPr>
                <w:sz w:val="20"/>
                <w:szCs w:val="20"/>
                <w:color w:val="auto"/>
              </w:rPr>
            </w:pPr>
            <w:r>
              <w:rPr>
                <w:rFonts w:ascii="Arial" w:cs="Arial" w:eastAsia="Arial" w:hAnsi="Arial"/>
                <w:sz w:val="16"/>
                <w:szCs w:val="16"/>
                <w:color w:val="auto"/>
              </w:rPr>
              <w:t>AHTS</w:t>
            </w:r>
          </w:p>
        </w:tc>
        <w:tc>
          <w:tcPr>
            <w:tcW w:w="48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8"/>
                <w:szCs w:val="18"/>
                <w:color w:val="auto"/>
              </w:rPr>
            </w:pPr>
          </w:p>
        </w:tc>
      </w:tr>
      <w:tr>
        <w:trPr>
          <w:trHeight w:val="213"/>
        </w:trPr>
        <w:tc>
          <w:tcPr>
            <w:tcW w:w="1340" w:type="dxa"/>
            <w:vAlign w:val="bottom"/>
          </w:tcPr>
          <w:p>
            <w:pPr>
              <w:spacing w:after="0"/>
              <w:rPr>
                <w:sz w:val="20"/>
                <w:szCs w:val="20"/>
                <w:color w:val="auto"/>
              </w:rPr>
            </w:pPr>
            <w:r>
              <w:rPr>
                <w:rFonts w:ascii="Arial" w:cs="Arial" w:eastAsia="Arial" w:hAnsi="Arial"/>
                <w:sz w:val="16"/>
                <w:szCs w:val="16"/>
                <w:color w:val="auto"/>
              </w:rPr>
              <w:t>FSV</w:t>
            </w:r>
          </w:p>
        </w:tc>
        <w:tc>
          <w:tcPr>
            <w:tcW w:w="4860" w:type="dxa"/>
            <w:vAlign w:val="bottom"/>
            <w:gridSpan w:val="3"/>
          </w:tcPr>
          <w:p>
            <w:pPr>
              <w:jc w:val="right"/>
              <w:spacing w:after="0"/>
              <w:rPr>
                <w:sz w:val="20"/>
                <w:szCs w:val="20"/>
                <w:color w:val="auto"/>
              </w:rPr>
            </w:pPr>
            <w:r>
              <w:rPr>
                <w:rFonts w:ascii="Arial" w:cs="Arial" w:eastAsia="Arial" w:hAnsi="Arial"/>
                <w:sz w:val="16"/>
                <w:szCs w:val="16"/>
                <w:color w:val="auto"/>
              </w:rPr>
              <w:t>23</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r>
      <w:tr>
        <w:trPr>
          <w:trHeight w:val="219"/>
        </w:trPr>
        <w:tc>
          <w:tcPr>
            <w:tcW w:w="1340" w:type="dxa"/>
            <w:vAlign w:val="bottom"/>
            <w:shd w:val="clear" w:color="auto" w:fill="CFF0FC"/>
          </w:tcPr>
          <w:p>
            <w:pPr>
              <w:spacing w:after="0"/>
              <w:rPr>
                <w:sz w:val="20"/>
                <w:szCs w:val="20"/>
                <w:color w:val="auto"/>
              </w:rPr>
            </w:pPr>
            <w:r>
              <w:rPr>
                <w:rFonts w:ascii="Arial" w:cs="Arial" w:eastAsia="Arial" w:hAnsi="Arial"/>
                <w:sz w:val="16"/>
                <w:szCs w:val="16"/>
                <w:color w:val="auto"/>
              </w:rPr>
              <w:t>Supply</w:t>
            </w:r>
          </w:p>
        </w:tc>
        <w:tc>
          <w:tcPr>
            <w:tcW w:w="48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19"/>
                <w:szCs w:val="19"/>
                <w:color w:val="auto"/>
              </w:rPr>
            </w:pPr>
          </w:p>
        </w:tc>
      </w:tr>
      <w:tr>
        <w:trPr>
          <w:trHeight w:val="216"/>
        </w:trPr>
        <w:tc>
          <w:tcPr>
            <w:tcW w:w="1340" w:type="dxa"/>
            <w:vAlign w:val="bottom"/>
          </w:tcPr>
          <w:p>
            <w:pPr>
              <w:spacing w:after="0" w:line="216" w:lineRule="exact"/>
              <w:rPr>
                <w:sz w:val="20"/>
                <w:szCs w:val="20"/>
                <w:color w:val="auto"/>
              </w:rPr>
            </w:pPr>
            <w:r>
              <w:rPr>
                <w:rFonts w:ascii="Arial" w:cs="Arial" w:eastAsia="Arial" w:hAnsi="Arial"/>
                <w:sz w:val="15"/>
                <w:szCs w:val="15"/>
                <w:color w:val="auto"/>
              </w:rPr>
              <w:t xml:space="preserve">Specialty </w:t>
            </w:r>
            <w:r>
              <w:rPr>
                <w:rFonts w:ascii="Arial" w:cs="Arial" w:eastAsia="Arial" w:hAnsi="Arial"/>
                <w:sz w:val="25"/>
                <w:szCs w:val="25"/>
                <w:color w:val="auto"/>
                <w:vertAlign w:val="superscript"/>
              </w:rPr>
              <w:t>(1)</w:t>
            </w:r>
          </w:p>
        </w:tc>
        <w:tc>
          <w:tcPr>
            <w:tcW w:w="486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r>
      <w:tr>
        <w:trPr>
          <w:trHeight w:val="216"/>
        </w:trPr>
        <w:tc>
          <w:tcPr>
            <w:tcW w:w="134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Liftboats </w:t>
            </w:r>
            <w:r>
              <w:rPr>
                <w:rFonts w:ascii="Arial" w:cs="Arial" w:eastAsia="Arial" w:hAnsi="Arial"/>
                <w:sz w:val="25"/>
                <w:szCs w:val="25"/>
                <w:color w:val="auto"/>
                <w:vertAlign w:val="superscript"/>
              </w:rPr>
              <w:t>(2)</w:t>
            </w:r>
          </w:p>
        </w:tc>
        <w:tc>
          <w:tcPr>
            <w:tcW w:w="3860" w:type="dxa"/>
            <w:vAlign w:val="bottom"/>
            <w:gridSpan w:val="2"/>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00" w:type="dxa"/>
            <w:vAlign w:val="bottom"/>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8"/>
                <w:szCs w:val="18"/>
                <w:color w:val="auto"/>
              </w:rPr>
            </w:pPr>
          </w:p>
        </w:tc>
      </w:tr>
      <w:tr>
        <w:trPr>
          <w:trHeight w:val="206"/>
        </w:trPr>
        <w:tc>
          <w:tcPr>
            <w:tcW w:w="1340" w:type="dxa"/>
            <w:vAlign w:val="bottom"/>
          </w:tcPr>
          <w:p>
            <w:pPr>
              <w:spacing w:after="0"/>
              <w:rPr>
                <w:sz w:val="17"/>
                <w:szCs w:val="17"/>
                <w:color w:val="auto"/>
              </w:rPr>
            </w:pPr>
          </w:p>
        </w:tc>
        <w:tc>
          <w:tcPr>
            <w:tcW w:w="4860" w:type="dxa"/>
            <w:vAlign w:val="bottom"/>
            <w:gridSpan w:val="3"/>
          </w:tcPr>
          <w:p>
            <w:pPr>
              <w:jc w:val="right"/>
              <w:spacing w:after="0"/>
              <w:rPr>
                <w:sz w:val="20"/>
                <w:szCs w:val="20"/>
                <w:color w:val="auto"/>
              </w:rPr>
            </w:pPr>
            <w:r>
              <w:rPr>
                <w:rFonts w:ascii="Arial" w:cs="Arial" w:eastAsia="Arial" w:hAnsi="Arial"/>
                <w:sz w:val="16"/>
                <w:szCs w:val="16"/>
                <w:color w:val="auto"/>
              </w:rPr>
              <w:t>57</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740" w:hanging="368"/>
        <w:spacing w:after="0"/>
        <w:tabs>
          <w:tab w:leader="none" w:pos="7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One owned vessel classified as a Crew Transfer Continuing Operations as of December 31, 2020 was reclassified as a specialty vessel as of January 12, 2021.</w:t>
      </w:r>
    </w:p>
    <w:p>
      <w:pPr>
        <w:spacing w:after="0" w:line="68" w:lineRule="exact"/>
        <w:rPr>
          <w:rFonts w:ascii="Arial" w:cs="Arial" w:eastAsia="Arial" w:hAnsi="Arial"/>
          <w:sz w:val="14"/>
          <w:szCs w:val="14"/>
          <w:color w:val="auto"/>
        </w:rPr>
      </w:pPr>
    </w:p>
    <w:p>
      <w:pPr>
        <w:ind w:left="740" w:hanging="368"/>
        <w:spacing w:after="0"/>
        <w:tabs>
          <w:tab w:leader="none" w:pos="7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 the second quarter of 2021, the Company removed from service four liftboats. Removed from service vessels are not counted in active fleet count.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1" w:name="page32"/>
    <w:bookmarkEnd w:id="31"/>
    <w:p>
      <w:pPr>
        <w:spacing w:after="0"/>
        <w:rPr>
          <w:sz w:val="20"/>
          <w:szCs w:val="20"/>
          <w:color w:val="auto"/>
        </w:rPr>
      </w:pPr>
      <w:r>
        <w:rPr>
          <w:rFonts w:ascii="Arial" w:cs="Arial" w:eastAsia="Arial" w:hAnsi="Arial"/>
          <w:sz w:val="22"/>
          <w:szCs w:val="22"/>
          <w:b w:val="1"/>
          <w:bCs w:val="1"/>
          <w:color w:val="auto"/>
        </w:rPr>
        <w:t>Operating Income (Loss)</w:t>
      </w:r>
    </w:p>
    <w:p>
      <w:pPr>
        <w:spacing w:after="0" w:line="172"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21"/>
          <w:szCs w:val="21"/>
          <w:b w:val="1"/>
          <w:bCs w:val="1"/>
          <w:i w:val="1"/>
          <w:iCs w:val="1"/>
          <w:color w:val="auto"/>
        </w:rPr>
        <w:t xml:space="preserve">United States, primarily Gulf of Mexico. </w:t>
      </w:r>
      <w:r>
        <w:rPr>
          <w:rFonts w:ascii="Arial" w:cs="Arial" w:eastAsia="Arial" w:hAnsi="Arial"/>
          <w:sz w:val="21"/>
          <w:szCs w:val="21"/>
          <w:color w:val="auto"/>
        </w:rPr>
        <w:t>For the three months ended March 31, 2022 and 2021 the Company’s time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charter statistics and direct vessel profit (loss) in the United States was as follows (in thousands, except statistics):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6"/>
                <w:szCs w:val="16"/>
                <w:b w:val="1"/>
                <w:bCs w:val="1"/>
                <w:color w:val="auto"/>
              </w:rPr>
              <w:t>For the Three Months Ended March 31,</w:t>
            </w:r>
          </w:p>
        </w:tc>
        <w:tc>
          <w:tcPr>
            <w:tcW w:w="6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FF0FC"/>
            </w:tcBorders>
          </w:tcPr>
          <w:p>
            <w:pPr>
              <w:spacing w:after="0"/>
              <w:rPr>
                <w:sz w:val="18"/>
                <w:szCs w:val="18"/>
                <w:color w:val="auto"/>
              </w:rPr>
            </w:pPr>
          </w:p>
        </w:tc>
        <w:tc>
          <w:tcPr>
            <w:tcW w:w="174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7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30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Arial" w:cs="Arial" w:eastAsia="Arial" w:hAnsi="Arial"/>
                <w:sz w:val="16"/>
                <w:szCs w:val="16"/>
                <w:color w:val="auto"/>
              </w:rPr>
              <w:t>FSV</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10,836</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14,789</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18,100</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16,284</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15,595</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15,910</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Utilization:</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3740" w:type="dxa"/>
            <w:vAlign w:val="bottom"/>
          </w:tcPr>
          <w:p>
            <w:pPr>
              <w:ind w:left="500"/>
              <w:spacing w:after="0"/>
              <w:rPr>
                <w:sz w:val="20"/>
                <w:szCs w:val="20"/>
                <w:color w:val="auto"/>
              </w:rPr>
            </w:pPr>
            <w:r>
              <w:rPr>
                <w:rFonts w:ascii="Arial" w:cs="Arial" w:eastAsia="Arial" w:hAnsi="Arial"/>
                <w:sz w:val="16"/>
                <w:szCs w:val="16"/>
                <w:color w:val="auto"/>
              </w:rPr>
              <w:t>FSV</w:t>
            </w:r>
          </w:p>
        </w:tc>
        <w:tc>
          <w:tcPr>
            <w:tcW w:w="1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36%</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62%</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37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40%</w:t>
            </w: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38%</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Arial" w:cs="Arial" w:eastAsia="Arial" w:hAnsi="Arial"/>
                <w:sz w:val="16"/>
                <w:szCs w:val="16"/>
                <w:color w:val="auto"/>
              </w:rPr>
              <w:t>FSV</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317</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Liftboats</w:t>
            </w:r>
          </w:p>
        </w:tc>
        <w:tc>
          <w:tcPr>
            <w:tcW w:w="174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280" w:type="dxa"/>
            <w:vAlign w:val="bottom"/>
            <w:tcBorders>
              <w:bottom w:val="single" w:sz="8" w:color="CFF0FC"/>
            </w:tcBorders>
          </w:tcPr>
          <w:p>
            <w:pPr>
              <w:spacing w:after="0"/>
              <w:rPr>
                <w:sz w:val="18"/>
                <w:szCs w:val="18"/>
                <w:color w:val="auto"/>
              </w:rPr>
            </w:pPr>
          </w:p>
        </w:tc>
        <w:tc>
          <w:tcPr>
            <w:tcW w:w="70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w:t>
            </w:r>
          </w:p>
        </w:tc>
        <w:tc>
          <w:tcPr>
            <w:tcW w:w="300" w:type="dxa"/>
            <w:vAlign w:val="bottom"/>
            <w:tcBorders>
              <w:bottom w:val="single" w:sz="8" w:color="CFF0FC"/>
            </w:tcBorders>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7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1,314</w:t>
            </w:r>
          </w:p>
        </w:tc>
        <w:tc>
          <w:tcPr>
            <w:tcW w:w="28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1,518</w:t>
            </w:r>
          </w:p>
        </w:tc>
        <w:tc>
          <w:tcPr>
            <w:tcW w:w="3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Operating revenues:</w:t>
            </w:r>
          </w:p>
        </w:tc>
        <w:tc>
          <w:tcPr>
            <w:tcW w:w="1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230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7,864</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79%</w:t>
            </w: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1,489</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Bareboat charter</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729</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7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2,052</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21%</w:t>
            </w: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9,916</w:t>
            </w:r>
          </w:p>
        </w:tc>
        <w:tc>
          <w:tcPr>
            <w:tcW w:w="2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100%</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2,764</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3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174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4,923</w:t>
            </w:r>
          </w:p>
        </w:tc>
        <w:tc>
          <w:tcPr>
            <w:tcW w:w="2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50%</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1,744</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1,101</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11%</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2,867</w:t>
            </w:r>
          </w:p>
        </w:tc>
        <w:tc>
          <w:tcPr>
            <w:tcW w:w="2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29%</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875</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527</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662</w:t>
            </w:r>
          </w:p>
        </w:tc>
        <w:tc>
          <w:tcPr>
            <w:tcW w:w="2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7%</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199</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3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7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2%</w:t>
            </w: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10,006</w:t>
            </w:r>
          </w:p>
        </w:tc>
        <w:tc>
          <w:tcPr>
            <w:tcW w:w="2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101%</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4,076</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Direct Vessel Profit (Loss)</w:t>
            </w:r>
          </w:p>
        </w:tc>
        <w:tc>
          <w:tcPr>
            <w:tcW w:w="17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vMerge w:val="continue"/>
            <w:shd w:val="clear" w:color="auto" w:fill="CFF0FC"/>
          </w:tcPr>
          <w:p>
            <w:pPr>
              <w:spacing w:after="0"/>
              <w:rPr>
                <w:sz w:val="18"/>
                <w:szCs w:val="18"/>
                <w:color w:val="auto"/>
              </w:rPr>
            </w:pPr>
          </w:p>
        </w:tc>
        <w:tc>
          <w:tcPr>
            <w:tcW w:w="230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(90)</w:t>
            </w: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w:t>
            </w: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(1,312)</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tcPr>
          <w:p>
            <w:pPr>
              <w:spacing w:after="0" w:line="20" w:lineRule="exact"/>
              <w:rPr>
                <w:sz w:val="1"/>
                <w:szCs w:val="1"/>
                <w:color w:val="auto"/>
              </w:rPr>
            </w:pPr>
          </w:p>
        </w:tc>
        <w:tc>
          <w:tcPr>
            <w:tcW w:w="174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212" w:lineRule="exact"/>
        <w:rPr>
          <w:sz w:val="20"/>
          <w:szCs w:val="20"/>
          <w:color w:val="auto"/>
        </w:rPr>
      </w:pPr>
    </w:p>
    <w:p>
      <w:pPr>
        <w:jc w:val="both"/>
        <w:ind w:firstLine="749"/>
        <w:spacing w:after="0" w:line="234"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$5.6 million higher in the Current Year Quarter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Year Quarter. Charter revenues were $2.1 million higher due to the repositioning of vessels between geographic regions, $1.9 million higher due to improved utilization of the core fleet and $1.6 million higher due to net fleet additions as a result of the Merger of OSV Partners I. Other marine services were $1.5 million higher primarily due to higher management fees and liftboat catering revenues. As of March 31, 2022, the Company had four of 15 owned and leased-in vessels (two AHTS vessels, one FSV, and one liftboat) cold-stacked in this region compared with 11 of 17 vessels (two AHTS vessels, two FSVs, and seven liftboats) as of March 31, 2021.</w:t>
      </w:r>
    </w:p>
    <w:p>
      <w:pPr>
        <w:spacing w:after="0" w:line="191"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i w:val="1"/>
          <w:iCs w:val="1"/>
          <w:color w:val="auto"/>
        </w:rPr>
        <w:t>Direct Operating Expenses</w:t>
      </w:r>
      <w:r>
        <w:rPr>
          <w:rFonts w:ascii="Arial" w:cs="Arial" w:eastAsia="Arial" w:hAnsi="Arial"/>
          <w:sz w:val="22"/>
          <w:szCs w:val="22"/>
          <w:color w:val="auto"/>
        </w:rPr>
        <w:t>. Direct operating expenses were $5.9 million higher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Direct operating expenses were $2.8 million higher for the core fleet primarily due to the timing of certain dry-docking and repair expenditures, $2.0 million higher due to net fleet additions, and $1.1 million higher due to the repositioning of vessels between geographic regions.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32" w:name="page33"/>
    <w:bookmarkEnd w:id="32"/>
    <w:p>
      <w:pPr>
        <w:jc w:val="both"/>
        <w:ind w:right="20" w:firstLine="749"/>
        <w:spacing w:after="0" w:line="328" w:lineRule="auto"/>
        <w:rPr>
          <w:sz w:val="20"/>
          <w:szCs w:val="20"/>
          <w:color w:val="auto"/>
        </w:rPr>
      </w:pPr>
      <w:r>
        <w:rPr>
          <w:rFonts w:ascii="Arial" w:cs="Arial" w:eastAsia="Arial" w:hAnsi="Arial"/>
          <w:sz w:val="19"/>
          <w:szCs w:val="19"/>
          <w:b w:val="1"/>
          <w:bCs w:val="1"/>
          <w:i w:val="1"/>
          <w:iCs w:val="1"/>
          <w:color w:val="auto"/>
        </w:rPr>
        <w:t xml:space="preserve">Africa and Europe, continuing operations. </w:t>
      </w:r>
      <w:r>
        <w:rPr>
          <w:rFonts w:ascii="Arial" w:cs="Arial" w:eastAsia="Arial" w:hAnsi="Arial"/>
          <w:sz w:val="19"/>
          <w:szCs w:val="19"/>
          <w:color w:val="auto"/>
        </w:rPr>
        <w:t>For the three months ended March 31, 2022 and 2021 the Company’s time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charter statistics and direct vessel profit in Africa and Europe was as follows (in thousands, except statistics):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7"/>
          </w:tcPr>
          <w:p>
            <w:pPr>
              <w:jc w:val="right"/>
              <w:ind w:right="640"/>
              <w:spacing w:after="0"/>
              <w:rPr>
                <w:sz w:val="20"/>
                <w:szCs w:val="20"/>
                <w:color w:val="auto"/>
              </w:rPr>
            </w:pPr>
            <w:r>
              <w:rPr>
                <w:rFonts w:ascii="Arial" w:cs="Arial" w:eastAsia="Arial" w:hAnsi="Arial"/>
                <w:sz w:val="16"/>
                <w:szCs w:val="16"/>
                <w:b w:val="1"/>
                <w:bCs w:val="1"/>
                <w:color w:val="auto"/>
              </w:rPr>
              <w:t>For the Three Months Ended March 31,</w:t>
            </w:r>
          </w:p>
        </w:tc>
        <w:tc>
          <w:tcPr>
            <w:tcW w:w="6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bottom w:val="single" w:sz="8" w:color="CFF0FC"/>
            </w:tcBorders>
          </w:tcPr>
          <w:p>
            <w:pPr>
              <w:spacing w:after="0"/>
              <w:rPr>
                <w:sz w:val="18"/>
                <w:szCs w:val="18"/>
                <w:color w:val="auto"/>
              </w:rPr>
            </w:pPr>
          </w:p>
        </w:tc>
        <w:tc>
          <w:tcPr>
            <w:tcW w:w="174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4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7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30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9,925</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8,408</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Arial" w:cs="Arial" w:eastAsia="Arial" w:hAnsi="Arial"/>
                <w:sz w:val="16"/>
                <w:szCs w:val="16"/>
                <w:color w:val="auto"/>
              </w:rPr>
              <w:t>FSV</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9,862</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8,998</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10,483</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35,000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10,006</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11,356</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Utilization:</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100%</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Arial" w:cs="Arial" w:eastAsia="Arial" w:hAnsi="Arial"/>
                <w:sz w:val="16"/>
                <w:szCs w:val="16"/>
                <w:color w:val="auto"/>
              </w:rPr>
              <w:t>FSV</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78%</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78%</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82%</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Arial" w:cs="Arial" w:eastAsia="Arial" w:hAnsi="Arial"/>
                <w:sz w:val="16"/>
                <w:szCs w:val="16"/>
                <w:color w:val="auto"/>
              </w:rPr>
              <w:t>FSV</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900</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816</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174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1,499</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70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1,356</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Operating revenues:</w:t>
            </w:r>
          </w:p>
        </w:tc>
        <w:tc>
          <w:tcPr>
            <w:tcW w:w="17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4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charter</w:t>
            </w:r>
          </w:p>
        </w:tc>
        <w:tc>
          <w:tcPr>
            <w:tcW w:w="2300" w:type="dxa"/>
            <w:vAlign w:val="bottom"/>
            <w:gridSpan w:val="2"/>
            <w:shd w:val="clear" w:color="auto" w:fill="CFF0FC"/>
          </w:tcPr>
          <w:p>
            <w:pPr>
              <w:jc w:val="right"/>
              <w:ind w:right="4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12,280</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105%</w:t>
            </w: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10,502</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Other marine services</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(616)</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(5%)</w:t>
            </w:r>
          </w:p>
        </w:tc>
        <w:tc>
          <w:tcPr>
            <w:tcW w:w="5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(269)</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11,664</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100%</w:t>
            </w: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10,233</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6"/>
        </w:trPr>
        <w:tc>
          <w:tcPr>
            <w:tcW w:w="3740" w:type="dxa"/>
            <w:vAlign w:val="bottom"/>
          </w:tcPr>
          <w:p>
            <w:pPr>
              <w:spacing w:after="0"/>
              <w:rPr>
                <w:sz w:val="20"/>
                <w:szCs w:val="20"/>
                <w:color w:val="auto"/>
              </w:rPr>
            </w:pPr>
            <w:r>
              <w:rPr>
                <w:rFonts w:ascii="Arial" w:cs="Arial" w:eastAsia="Arial" w:hAnsi="Arial"/>
                <w:sz w:val="16"/>
                <w:szCs w:val="16"/>
                <w:color w:val="auto"/>
              </w:rPr>
              <w:t>Direct operating expenses:</w:t>
            </w:r>
          </w:p>
        </w:tc>
        <w:tc>
          <w:tcPr>
            <w:tcW w:w="174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Personnel</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3,536</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30%</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3,220</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Repairs and maintenance</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1,579</w:t>
            </w:r>
          </w:p>
        </w:tc>
        <w:tc>
          <w:tcPr>
            <w:tcW w:w="2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14%</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1,191</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Drydocking</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1,144</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10%</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Insurance and loss reserves</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w:t>
            </w:r>
          </w:p>
        </w:tc>
        <w:tc>
          <w:tcPr>
            <w:tcW w:w="2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433</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3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Fuel, lubes and supplies</w:t>
            </w:r>
          </w:p>
        </w:tc>
        <w:tc>
          <w:tcPr>
            <w:tcW w:w="17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1,473</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13%</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3740" w:type="dxa"/>
            <w:vAlign w:val="bottom"/>
          </w:tcPr>
          <w:p>
            <w:pPr>
              <w:ind w:left="260"/>
              <w:spacing w:after="0"/>
              <w:rPr>
                <w:sz w:val="20"/>
                <w:szCs w:val="20"/>
                <w:color w:val="auto"/>
              </w:rPr>
            </w:pPr>
            <w:r>
              <w:rPr>
                <w:rFonts w:ascii="Arial" w:cs="Arial" w:eastAsia="Arial" w:hAnsi="Arial"/>
                <w:sz w:val="16"/>
                <w:szCs w:val="16"/>
                <w:color w:val="auto"/>
              </w:rPr>
              <w:t>Other</w:t>
            </w:r>
          </w:p>
        </w:tc>
        <w:tc>
          <w:tcPr>
            <w:tcW w:w="1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1,828</w:t>
            </w:r>
          </w:p>
        </w:tc>
        <w:tc>
          <w:tcPr>
            <w:tcW w:w="2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15%</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579</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7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9,684</w:t>
            </w:r>
          </w:p>
        </w:tc>
        <w:tc>
          <w:tcPr>
            <w:tcW w:w="2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83%</w:t>
            </w: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6,299</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6"/>
                <w:szCs w:val="16"/>
                <w:color w:val="auto"/>
              </w:rPr>
              <w:t>Direct Vessel Profit</w:t>
            </w:r>
          </w:p>
        </w:tc>
        <w:tc>
          <w:tcPr>
            <w:tcW w:w="17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vMerge w:val="continue"/>
          </w:tcPr>
          <w:p>
            <w:pPr>
              <w:spacing w:after="0"/>
              <w:rPr>
                <w:sz w:val="17"/>
                <w:szCs w:val="17"/>
                <w:color w:val="auto"/>
              </w:rPr>
            </w:pPr>
          </w:p>
        </w:tc>
        <w:tc>
          <w:tcPr>
            <w:tcW w:w="2300" w:type="dxa"/>
            <w:vAlign w:val="bottom"/>
            <w:gridSpan w:val="2"/>
          </w:tcPr>
          <w:p>
            <w:pPr>
              <w:jc w:val="right"/>
              <w:ind w:right="4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1,980</w:t>
            </w:r>
          </w:p>
        </w:tc>
        <w:tc>
          <w:tcPr>
            <w:tcW w:w="2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17%</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3,934</w:t>
            </w:r>
          </w:p>
        </w:tc>
        <w:tc>
          <w:tcPr>
            <w:tcW w:w="3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i w:val="1"/>
          <w:iCs w:val="1"/>
          <w:color w:val="auto"/>
        </w:rPr>
        <w:t xml:space="preserve">Operating Revenues. </w:t>
      </w:r>
      <w:r>
        <w:rPr>
          <w:rFonts w:ascii="Arial" w:cs="Arial" w:eastAsia="Arial" w:hAnsi="Arial"/>
          <w:sz w:val="21"/>
          <w:szCs w:val="21"/>
          <w:color w:val="auto"/>
        </w:rPr>
        <w:t>Charter revenues were $1.8 million higher in the Current Year Quarter compared with the Prior</w:t>
      </w:r>
      <w:r>
        <w:rPr>
          <w:rFonts w:ascii="Arial" w:cs="Arial" w:eastAsia="Arial" w:hAnsi="Arial"/>
          <w:sz w:val="21"/>
          <w:szCs w:val="21"/>
          <w:i w:val="1"/>
          <w:iCs w:val="1"/>
          <w:color w:val="auto"/>
        </w:rPr>
        <w:t xml:space="preserve"> </w:t>
      </w:r>
      <w:r>
        <w:rPr>
          <w:rFonts w:ascii="Arial" w:cs="Arial" w:eastAsia="Arial" w:hAnsi="Arial"/>
          <w:sz w:val="21"/>
          <w:szCs w:val="21"/>
          <w:color w:val="auto"/>
        </w:rPr>
        <w:t>Year Quarter. Charter revenues were $2.4 million higher due to the reactivation of vessels from cold-stacked status and $0.7 million higher for the core fleet. Charter revenues were $1.3 million lower due to the repositioning of vessels between geographic regions. Other marine services were $0.3 million lower primarily due to higher commission charges. As of March 31, 2022, the Company had no owned and leased-in vessels cold stacked in this region, compared with three of 15 owned and leased-in vessels (two FSVs and one PSV) cold-stacked in this region as of March 31, 2021.</w:t>
      </w:r>
    </w:p>
    <w:p>
      <w:pPr>
        <w:spacing w:after="0" w:line="150"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$3.4 million higher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primarily due to the reactivation of vessels from cold-stacked status, the repositioning of vessels between geographic regions and higher operating costs in West Africa.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1" w:right="339" w:bottom="1440" w:gutter="0" w:footer="0" w:header="0"/>
        </w:sectPr>
      </w:pPr>
    </w:p>
    <w:bookmarkStart w:id="33" w:name="page34"/>
    <w:bookmarkEnd w:id="33"/>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Middle East and Asia. </w:t>
      </w:r>
      <w:r>
        <w:rPr>
          <w:rFonts w:ascii="Arial" w:cs="Arial" w:eastAsia="Arial" w:hAnsi="Arial"/>
          <w:sz w:val="22"/>
          <w:szCs w:val="22"/>
          <w:color w:val="auto"/>
        </w:rPr>
        <w:t>For the three months ended March 31, 2022 and 2021 the Company’s time charter statistics and</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direct vessel profit in the Middle East and Asia was as follows (in thousands, except statistics):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100" w:type="dxa"/>
            <w:vAlign w:val="bottom"/>
            <w:gridSpan w:val="5"/>
          </w:tcPr>
          <w:p>
            <w:pPr>
              <w:ind w:left="700"/>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10"/>
        </w:trPr>
        <w:tc>
          <w:tcPr>
            <w:tcW w:w="3660" w:type="dxa"/>
            <w:vAlign w:val="bottom"/>
            <w:tcBorders>
              <w:bottom w:val="single" w:sz="8" w:color="CFF0FC"/>
            </w:tcBorders>
          </w:tcPr>
          <w:p>
            <w:pPr>
              <w:spacing w:after="0"/>
              <w:rPr>
                <w:sz w:val="18"/>
                <w:szCs w:val="18"/>
                <w:color w:val="auto"/>
              </w:rPr>
            </w:pPr>
          </w:p>
        </w:tc>
        <w:tc>
          <w:tcPr>
            <w:tcW w:w="1900" w:type="dxa"/>
            <w:vAlign w:val="bottom"/>
            <w:tcBorders>
              <w:bottom w:val="single" w:sz="8" w:color="CFF0FC"/>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top w:val="single" w:sz="8" w:color="auto"/>
              <w:bottom w:val="single" w:sz="8" w:color="CFF0FC"/>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940" w:type="dxa"/>
            <w:vAlign w:val="bottom"/>
            <w:tcBorders>
              <w:top w:val="single" w:sz="8" w:color="auto"/>
              <w:bottom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2021</w:t>
            </w:r>
          </w:p>
        </w:tc>
        <w:tc>
          <w:tcPr>
            <w:tcW w:w="320" w:type="dxa"/>
            <w:vAlign w:val="bottom"/>
            <w:tcBorders>
              <w:bottom w:val="single" w:sz="8" w:color="CFF0FC"/>
            </w:tcBorders>
          </w:tcPr>
          <w:p>
            <w:pPr>
              <w:spacing w:after="0"/>
              <w:rPr>
                <w:sz w:val="18"/>
                <w:szCs w:val="18"/>
                <w:color w:val="auto"/>
              </w:rPr>
            </w:pPr>
          </w:p>
        </w:tc>
      </w:tr>
      <w:tr>
        <w:trPr>
          <w:trHeight w:val="212"/>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19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r>
      <w:tr>
        <w:trPr>
          <w:trHeight w:val="213"/>
        </w:trPr>
        <w:tc>
          <w:tcPr>
            <w:tcW w:w="366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19"/>
        </w:trPr>
        <w:tc>
          <w:tcPr>
            <w:tcW w:w="3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248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192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rPr>
              <w:t>5,785</w:t>
            </w:r>
          </w:p>
        </w:tc>
        <w:tc>
          <w:tcPr>
            <w:tcW w:w="92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rPr>
              <w:t>5,889</w:t>
            </w:r>
          </w:p>
        </w:tc>
        <w:tc>
          <w:tcPr>
            <w:tcW w:w="320" w:type="dxa"/>
            <w:vAlign w:val="bottom"/>
            <w:shd w:val="clear" w:color="auto" w:fill="CFF0FC"/>
          </w:tcPr>
          <w:p>
            <w:pPr>
              <w:spacing w:after="0"/>
              <w:rPr>
                <w:sz w:val="19"/>
                <w:szCs w:val="19"/>
                <w:color w:val="auto"/>
              </w:rPr>
            </w:pPr>
          </w:p>
        </w:tc>
      </w:tr>
      <w:tr>
        <w:trPr>
          <w:trHeight w:val="213"/>
        </w:trPr>
        <w:tc>
          <w:tcPr>
            <w:tcW w:w="3660" w:type="dxa"/>
            <w:vAlign w:val="bottom"/>
          </w:tcPr>
          <w:p>
            <w:pPr>
              <w:ind w:left="500"/>
              <w:spacing w:after="0"/>
              <w:rPr>
                <w:sz w:val="20"/>
                <w:szCs w:val="20"/>
                <w:color w:val="auto"/>
              </w:rPr>
            </w:pPr>
            <w:r>
              <w:rPr>
                <w:rFonts w:ascii="Arial" w:cs="Arial" w:eastAsia="Arial" w:hAnsi="Arial"/>
                <w:sz w:val="16"/>
                <w:szCs w:val="16"/>
                <w:color w:val="auto"/>
              </w:rPr>
              <w:t>FSV</w:t>
            </w: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tcPr>
          <w:p>
            <w:pPr>
              <w:jc w:val="right"/>
              <w:ind w:right="899"/>
              <w:spacing w:after="0"/>
              <w:rPr>
                <w:sz w:val="20"/>
                <w:szCs w:val="20"/>
                <w:color w:val="auto"/>
              </w:rPr>
            </w:pPr>
            <w:r>
              <w:rPr>
                <w:rFonts w:ascii="Arial" w:cs="Arial" w:eastAsia="Arial" w:hAnsi="Arial"/>
                <w:sz w:val="16"/>
                <w:szCs w:val="16"/>
                <w:color w:val="auto"/>
              </w:rPr>
              <w:t>7,382</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40" w:type="dxa"/>
            <w:vAlign w:val="bottom"/>
          </w:tcPr>
          <w:p>
            <w:pPr>
              <w:jc w:val="right"/>
              <w:ind w:right="899"/>
              <w:spacing w:after="0"/>
              <w:rPr>
                <w:sz w:val="20"/>
                <w:szCs w:val="20"/>
                <w:color w:val="auto"/>
              </w:rPr>
            </w:pPr>
            <w:r>
              <w:rPr>
                <w:rFonts w:ascii="Arial" w:cs="Arial" w:eastAsia="Arial" w:hAnsi="Arial"/>
                <w:sz w:val="16"/>
                <w:szCs w:val="16"/>
                <w:color w:val="auto"/>
              </w:rPr>
              <w:t>6,973</w:t>
            </w:r>
          </w:p>
        </w:tc>
        <w:tc>
          <w:tcPr>
            <w:tcW w:w="320" w:type="dxa"/>
            <w:vAlign w:val="bottom"/>
          </w:tcPr>
          <w:p>
            <w:pPr>
              <w:spacing w:after="0"/>
              <w:rPr>
                <w:sz w:val="18"/>
                <w:szCs w:val="18"/>
                <w:color w:val="auto"/>
              </w:rPr>
            </w:pPr>
          </w:p>
        </w:tc>
      </w:tr>
      <w:tr>
        <w:trPr>
          <w:trHeight w:val="219"/>
        </w:trPr>
        <w:tc>
          <w:tcPr>
            <w:tcW w:w="3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rPr>
              <w:t>8,239</w:t>
            </w: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rPr>
              <w:t>8,078</w:t>
            </w:r>
          </w:p>
        </w:tc>
        <w:tc>
          <w:tcPr>
            <w:tcW w:w="320" w:type="dxa"/>
            <w:vAlign w:val="bottom"/>
            <w:shd w:val="clear" w:color="auto" w:fill="CFF0FC"/>
          </w:tcPr>
          <w:p>
            <w:pPr>
              <w:spacing w:after="0"/>
              <w:rPr>
                <w:sz w:val="19"/>
                <w:szCs w:val="19"/>
                <w:color w:val="auto"/>
              </w:rPr>
            </w:pPr>
          </w:p>
        </w:tc>
      </w:tr>
      <w:tr>
        <w:trPr>
          <w:trHeight w:val="213"/>
        </w:trPr>
        <w:tc>
          <w:tcPr>
            <w:tcW w:w="366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tcPr>
          <w:p>
            <w:pPr>
              <w:jc w:val="right"/>
              <w:ind w:right="899"/>
              <w:spacing w:after="0"/>
              <w:rPr>
                <w:sz w:val="20"/>
                <w:szCs w:val="20"/>
                <w:color w:val="auto"/>
              </w:rPr>
            </w:pPr>
            <w:r>
              <w:rPr>
                <w:rFonts w:ascii="Arial" w:cs="Arial" w:eastAsia="Arial" w:hAnsi="Arial"/>
                <w:sz w:val="16"/>
                <w:szCs w:val="16"/>
                <w:color w:val="auto"/>
              </w:rPr>
              <w:t>29,000</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40" w:type="dxa"/>
            <w:vAlign w:val="bottom"/>
          </w:tcPr>
          <w:p>
            <w:pPr>
              <w:jc w:val="right"/>
              <w:ind w:right="899"/>
              <w:spacing w:after="0"/>
              <w:rPr>
                <w:sz w:val="20"/>
                <w:szCs w:val="20"/>
                <w:color w:val="auto"/>
              </w:rPr>
            </w:pPr>
            <w:r>
              <w:rPr>
                <w:rFonts w:ascii="Arial" w:cs="Arial" w:eastAsia="Arial" w:hAnsi="Arial"/>
                <w:sz w:val="16"/>
                <w:szCs w:val="16"/>
                <w:color w:val="auto"/>
              </w:rPr>
              <w:t>25,213</w:t>
            </w:r>
          </w:p>
        </w:tc>
        <w:tc>
          <w:tcPr>
            <w:tcW w:w="320" w:type="dxa"/>
            <w:vAlign w:val="bottom"/>
          </w:tcPr>
          <w:p>
            <w:pPr>
              <w:spacing w:after="0"/>
              <w:rPr>
                <w:sz w:val="18"/>
                <w:szCs w:val="18"/>
                <w:color w:val="auto"/>
              </w:rPr>
            </w:pPr>
          </w:p>
        </w:tc>
      </w:tr>
      <w:tr>
        <w:trPr>
          <w:trHeight w:val="219"/>
        </w:trPr>
        <w:tc>
          <w:tcPr>
            <w:tcW w:w="36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Specialty</w:t>
            </w:r>
          </w:p>
        </w:tc>
        <w:tc>
          <w:tcPr>
            <w:tcW w:w="19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92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899"/>
              <w:spacing w:after="0"/>
              <w:rPr>
                <w:sz w:val="20"/>
                <w:szCs w:val="20"/>
                <w:color w:val="auto"/>
              </w:rPr>
            </w:pPr>
            <w:r>
              <w:rPr>
                <w:rFonts w:ascii="Arial" w:cs="Arial" w:eastAsia="Arial" w:hAnsi="Arial"/>
                <w:sz w:val="16"/>
                <w:szCs w:val="16"/>
                <w:color w:val="auto"/>
              </w:rPr>
              <w:t>1,890</w:t>
            </w:r>
          </w:p>
        </w:tc>
        <w:tc>
          <w:tcPr>
            <w:tcW w:w="320" w:type="dxa"/>
            <w:vAlign w:val="bottom"/>
            <w:shd w:val="clear" w:color="auto" w:fill="CFF0FC"/>
          </w:tcPr>
          <w:p>
            <w:pPr>
              <w:spacing w:after="0"/>
              <w:rPr>
                <w:sz w:val="19"/>
                <w:szCs w:val="19"/>
                <w:color w:val="auto"/>
              </w:rPr>
            </w:pPr>
          </w:p>
        </w:tc>
      </w:tr>
      <w:tr>
        <w:trPr>
          <w:trHeight w:val="210"/>
        </w:trPr>
        <w:tc>
          <w:tcPr>
            <w:tcW w:w="3660" w:type="dxa"/>
            <w:vAlign w:val="bottom"/>
          </w:tcPr>
          <w:p>
            <w:pPr>
              <w:ind w:left="500"/>
              <w:spacing w:after="0"/>
              <w:rPr>
                <w:sz w:val="20"/>
                <w:szCs w:val="20"/>
                <w:color w:val="auto"/>
              </w:rPr>
            </w:pPr>
            <w:r>
              <w:rPr>
                <w:rFonts w:ascii="Arial" w:cs="Arial" w:eastAsia="Arial" w:hAnsi="Arial"/>
                <w:sz w:val="16"/>
                <w:szCs w:val="16"/>
                <w:color w:val="auto"/>
              </w:rPr>
              <w:t>Overall</w:t>
            </w:r>
          </w:p>
        </w:tc>
        <w:tc>
          <w:tcPr>
            <w:tcW w:w="1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tcPr>
          <w:p>
            <w:pPr>
              <w:jc w:val="right"/>
              <w:ind w:right="899"/>
              <w:spacing w:after="0"/>
              <w:rPr>
                <w:sz w:val="20"/>
                <w:szCs w:val="20"/>
                <w:color w:val="auto"/>
              </w:rPr>
            </w:pPr>
            <w:r>
              <w:rPr>
                <w:rFonts w:ascii="Arial" w:cs="Arial" w:eastAsia="Arial" w:hAnsi="Arial"/>
                <w:sz w:val="16"/>
                <w:szCs w:val="16"/>
                <w:color w:val="auto"/>
              </w:rPr>
              <w:t>9,882</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40" w:type="dxa"/>
            <w:vAlign w:val="bottom"/>
          </w:tcPr>
          <w:p>
            <w:pPr>
              <w:jc w:val="right"/>
              <w:ind w:right="899"/>
              <w:spacing w:after="0"/>
              <w:rPr>
                <w:sz w:val="20"/>
                <w:szCs w:val="20"/>
                <w:color w:val="auto"/>
              </w:rPr>
            </w:pPr>
            <w:r>
              <w:rPr>
                <w:rFonts w:ascii="Arial" w:cs="Arial" w:eastAsia="Arial" w:hAnsi="Arial"/>
                <w:sz w:val="16"/>
                <w:szCs w:val="16"/>
                <w:color w:val="auto"/>
              </w:rPr>
              <w:t>9,308</w:t>
            </w:r>
          </w:p>
        </w:tc>
        <w:tc>
          <w:tcPr>
            <w:tcW w:w="320" w:type="dxa"/>
            <w:vAlign w:val="bottom"/>
          </w:tcPr>
          <w:p>
            <w:pPr>
              <w:spacing w:after="0"/>
              <w:rPr>
                <w:sz w:val="18"/>
                <w:szCs w:val="18"/>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5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494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r>
      <w:tr>
        <w:trPr>
          <w:trHeight w:val="213"/>
        </w:trPr>
        <w:tc>
          <w:tcPr>
            <w:tcW w:w="4500" w:type="dxa"/>
            <w:vAlign w:val="bottom"/>
          </w:tcPr>
          <w:p>
            <w:pPr>
              <w:ind w:left="500"/>
              <w:spacing w:after="0"/>
              <w:rPr>
                <w:sz w:val="20"/>
                <w:szCs w:val="20"/>
                <w:color w:val="auto"/>
              </w:rPr>
            </w:pPr>
            <w:r>
              <w:rPr>
                <w:rFonts w:ascii="Arial" w:cs="Arial" w:eastAsia="Arial" w:hAnsi="Arial"/>
                <w:sz w:val="16"/>
                <w:szCs w:val="16"/>
                <w:color w:val="auto"/>
              </w:rPr>
              <w:t>AHTS</w:t>
            </w:r>
          </w:p>
        </w:tc>
        <w:tc>
          <w:tcPr>
            <w:tcW w:w="4940" w:type="dxa"/>
            <w:vAlign w:val="bottom"/>
          </w:tcPr>
          <w:p>
            <w:pPr>
              <w:jc w:val="right"/>
              <w:ind w:right="1159"/>
              <w:spacing w:after="0"/>
              <w:rPr>
                <w:sz w:val="20"/>
                <w:szCs w:val="20"/>
                <w:color w:val="auto"/>
              </w:rPr>
            </w:pPr>
            <w:r>
              <w:rPr>
                <w:rFonts w:ascii="Arial" w:cs="Arial" w:eastAsia="Arial" w:hAnsi="Arial"/>
                <w:sz w:val="16"/>
                <w:szCs w:val="16"/>
                <w:color w:val="auto"/>
              </w:rPr>
              <w:t>98%</w:t>
            </w:r>
          </w:p>
        </w:tc>
        <w:tc>
          <w:tcPr>
            <w:tcW w:w="1800" w:type="dxa"/>
            <w:vAlign w:val="bottom"/>
          </w:tcPr>
          <w:p>
            <w:pPr>
              <w:jc w:val="right"/>
              <w:ind w:right="99"/>
              <w:spacing w:after="0"/>
              <w:rPr>
                <w:sz w:val="20"/>
                <w:szCs w:val="20"/>
                <w:color w:val="auto"/>
              </w:rPr>
            </w:pPr>
            <w:r>
              <w:rPr>
                <w:rFonts w:ascii="Arial" w:cs="Arial" w:eastAsia="Arial" w:hAnsi="Arial"/>
                <w:sz w:val="16"/>
                <w:szCs w:val="16"/>
                <w:color w:val="auto"/>
              </w:rPr>
              <w:t>100%</w:t>
            </w:r>
          </w:p>
        </w:tc>
      </w:tr>
      <w:tr>
        <w:trPr>
          <w:trHeight w:val="219"/>
        </w:trPr>
        <w:tc>
          <w:tcPr>
            <w:tcW w:w="45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494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94%</w:t>
            </w:r>
          </w:p>
        </w:tc>
        <w:tc>
          <w:tcPr>
            <w:tcW w:w="18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68%</w:t>
            </w:r>
          </w:p>
        </w:tc>
      </w:tr>
      <w:tr>
        <w:trPr>
          <w:trHeight w:val="213"/>
        </w:trPr>
        <w:tc>
          <w:tcPr>
            <w:tcW w:w="4500" w:type="dxa"/>
            <w:vAlign w:val="bottom"/>
          </w:tcPr>
          <w:p>
            <w:pPr>
              <w:ind w:left="500"/>
              <w:spacing w:after="0"/>
              <w:rPr>
                <w:sz w:val="20"/>
                <w:szCs w:val="20"/>
                <w:color w:val="auto"/>
              </w:rPr>
            </w:pPr>
            <w:r>
              <w:rPr>
                <w:rFonts w:ascii="Arial" w:cs="Arial" w:eastAsia="Arial" w:hAnsi="Arial"/>
                <w:sz w:val="16"/>
                <w:szCs w:val="16"/>
                <w:color w:val="auto"/>
              </w:rPr>
              <w:t>Supply</w:t>
            </w:r>
          </w:p>
        </w:tc>
        <w:tc>
          <w:tcPr>
            <w:tcW w:w="4940" w:type="dxa"/>
            <w:vAlign w:val="bottom"/>
          </w:tcPr>
          <w:p>
            <w:pPr>
              <w:jc w:val="right"/>
              <w:ind w:right="1159"/>
              <w:spacing w:after="0"/>
              <w:rPr>
                <w:sz w:val="20"/>
                <w:szCs w:val="20"/>
                <w:color w:val="auto"/>
              </w:rPr>
            </w:pPr>
            <w:r>
              <w:rPr>
                <w:rFonts w:ascii="Arial" w:cs="Arial" w:eastAsia="Arial" w:hAnsi="Arial"/>
                <w:sz w:val="16"/>
                <w:szCs w:val="16"/>
                <w:color w:val="auto"/>
              </w:rPr>
              <w:t>60%</w:t>
            </w:r>
          </w:p>
        </w:tc>
        <w:tc>
          <w:tcPr>
            <w:tcW w:w="1800" w:type="dxa"/>
            <w:vAlign w:val="bottom"/>
          </w:tcPr>
          <w:p>
            <w:pPr>
              <w:jc w:val="right"/>
              <w:ind w:right="99"/>
              <w:spacing w:after="0"/>
              <w:rPr>
                <w:sz w:val="20"/>
                <w:szCs w:val="20"/>
                <w:color w:val="auto"/>
              </w:rPr>
            </w:pPr>
            <w:r>
              <w:rPr>
                <w:rFonts w:ascii="Arial" w:cs="Arial" w:eastAsia="Arial" w:hAnsi="Arial"/>
                <w:sz w:val="16"/>
                <w:szCs w:val="16"/>
                <w:color w:val="auto"/>
              </w:rPr>
              <w:t>65%</w:t>
            </w:r>
          </w:p>
        </w:tc>
      </w:tr>
      <w:tr>
        <w:trPr>
          <w:trHeight w:val="219"/>
        </w:trPr>
        <w:tc>
          <w:tcPr>
            <w:tcW w:w="45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494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84%</w:t>
            </w:r>
          </w:p>
        </w:tc>
        <w:tc>
          <w:tcPr>
            <w:tcW w:w="18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100%</w:t>
            </w:r>
          </w:p>
        </w:tc>
      </w:tr>
      <w:tr>
        <w:trPr>
          <w:trHeight w:val="213"/>
        </w:trPr>
        <w:tc>
          <w:tcPr>
            <w:tcW w:w="4500" w:type="dxa"/>
            <w:vAlign w:val="bottom"/>
          </w:tcPr>
          <w:p>
            <w:pPr>
              <w:ind w:left="500"/>
              <w:spacing w:after="0"/>
              <w:rPr>
                <w:sz w:val="20"/>
                <w:szCs w:val="20"/>
                <w:color w:val="auto"/>
              </w:rPr>
            </w:pPr>
            <w:r>
              <w:rPr>
                <w:rFonts w:ascii="Arial" w:cs="Arial" w:eastAsia="Arial" w:hAnsi="Arial"/>
                <w:sz w:val="16"/>
                <w:szCs w:val="16"/>
                <w:color w:val="auto"/>
              </w:rPr>
              <w:t>Specialty</w:t>
            </w:r>
          </w:p>
        </w:tc>
        <w:tc>
          <w:tcPr>
            <w:tcW w:w="4940" w:type="dxa"/>
            <w:vAlign w:val="bottom"/>
          </w:tcPr>
          <w:p>
            <w:pPr>
              <w:jc w:val="right"/>
              <w:ind w:right="1159"/>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99"/>
              <w:spacing w:after="0"/>
              <w:rPr>
                <w:sz w:val="20"/>
                <w:szCs w:val="20"/>
                <w:color w:val="auto"/>
              </w:rPr>
            </w:pPr>
            <w:r>
              <w:rPr>
                <w:rFonts w:ascii="Arial" w:cs="Arial" w:eastAsia="Arial" w:hAnsi="Arial"/>
                <w:sz w:val="16"/>
                <w:szCs w:val="16"/>
                <w:color w:val="auto"/>
              </w:rPr>
              <w:t>100%</w:t>
            </w:r>
          </w:p>
        </w:tc>
      </w:tr>
      <w:tr>
        <w:trPr>
          <w:trHeight w:val="219"/>
        </w:trPr>
        <w:tc>
          <w:tcPr>
            <w:tcW w:w="45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494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77%</w:t>
            </w:r>
          </w:p>
        </w:tc>
        <w:tc>
          <w:tcPr>
            <w:tcW w:w="18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73%</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AHTS</w:t>
            </w:r>
          </w:p>
        </w:tc>
        <w:tc>
          <w:tcPr>
            <w:tcW w:w="17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500"/>
              <w:spacing w:after="0"/>
              <w:rPr>
                <w:sz w:val="20"/>
                <w:szCs w:val="20"/>
                <w:color w:val="auto"/>
              </w:rPr>
            </w:pPr>
            <w:r>
              <w:rPr>
                <w:rFonts w:ascii="Arial" w:cs="Arial" w:eastAsia="Arial" w:hAnsi="Arial"/>
                <w:sz w:val="16"/>
                <w:szCs w:val="16"/>
                <w:color w:val="auto"/>
              </w:rPr>
              <w:t>FSV</w:t>
            </w: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810</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894</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17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599</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180</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180</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Specialty</w:t>
            </w:r>
          </w:p>
        </w:tc>
        <w:tc>
          <w:tcPr>
            <w:tcW w:w="178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37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1780" w:type="dxa"/>
            <w:vAlign w:val="bottom"/>
            <w:tcBorders>
              <w:bottom w:val="single" w:sz="8" w:color="CFF0FC"/>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w:t>
            </w:r>
          </w:p>
        </w:tc>
        <w:tc>
          <w:tcPr>
            <w:tcW w:w="28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1,852</w:t>
            </w:r>
          </w:p>
        </w:tc>
        <w:tc>
          <w:tcPr>
            <w:tcW w:w="280" w:type="dxa"/>
            <w:vAlign w:val="bottom"/>
            <w:tcBorders>
              <w:bottom w:val="single" w:sz="8" w:color="CFF0FC"/>
            </w:tcBorders>
          </w:tcPr>
          <w:p>
            <w:pPr>
              <w:spacing w:after="0"/>
              <w:rPr>
                <w:sz w:val="21"/>
                <w:szCs w:val="21"/>
                <w:color w:val="auto"/>
              </w:rPr>
            </w:pPr>
          </w:p>
        </w:tc>
        <w:tc>
          <w:tcPr>
            <w:tcW w:w="70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378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17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236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13,660</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100%</w:t>
            </w:r>
          </w:p>
        </w:tc>
        <w:tc>
          <w:tcPr>
            <w:tcW w:w="680" w:type="dxa"/>
            <w:vAlign w:val="bottom"/>
            <w:gridSpan w:val="2"/>
          </w:tcPr>
          <w:p>
            <w:pPr>
              <w:jc w:val="right"/>
              <w:ind w:right="5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12,575</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marine services</w:t>
            </w:r>
          </w:p>
        </w:tc>
        <w:tc>
          <w:tcPr>
            <w:tcW w:w="17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360</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13,709</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12,935</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Direct operating expenses:</w:t>
            </w:r>
          </w:p>
        </w:tc>
        <w:tc>
          <w:tcPr>
            <w:tcW w:w="178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80" w:type="dxa"/>
            <w:vAlign w:val="bottom"/>
          </w:tcPr>
          <w:p>
            <w:pPr>
              <w:ind w:left="260"/>
              <w:spacing w:after="0"/>
              <w:rPr>
                <w:sz w:val="20"/>
                <w:szCs w:val="20"/>
                <w:color w:val="auto"/>
              </w:rPr>
            </w:pPr>
            <w:r>
              <w:rPr>
                <w:rFonts w:ascii="Arial" w:cs="Arial" w:eastAsia="Arial" w:hAnsi="Arial"/>
                <w:sz w:val="16"/>
                <w:szCs w:val="16"/>
                <w:color w:val="auto"/>
              </w:rPr>
              <w:t>Personnel</w:t>
            </w: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6,031</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5,208</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9"/>
        </w:trPr>
        <w:tc>
          <w:tcPr>
            <w:tcW w:w="3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Repairs and maintenance</w:t>
            </w:r>
          </w:p>
        </w:tc>
        <w:tc>
          <w:tcPr>
            <w:tcW w:w="17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1,832</w:t>
            </w: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903</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3780" w:type="dxa"/>
            <w:vAlign w:val="bottom"/>
          </w:tcPr>
          <w:p>
            <w:pPr>
              <w:ind w:left="260"/>
              <w:spacing w:after="0"/>
              <w:rPr>
                <w:sz w:val="20"/>
                <w:szCs w:val="20"/>
                <w:color w:val="auto"/>
              </w:rPr>
            </w:pPr>
            <w:r>
              <w:rPr>
                <w:rFonts w:ascii="Arial" w:cs="Arial" w:eastAsia="Arial" w:hAnsi="Arial"/>
                <w:sz w:val="16"/>
                <w:szCs w:val="16"/>
                <w:color w:val="auto"/>
              </w:rPr>
              <w:t>Drydocking</w:t>
            </w: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962</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1,066</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3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Insurance and loss reserves</w:t>
            </w:r>
          </w:p>
        </w:tc>
        <w:tc>
          <w:tcPr>
            <w:tcW w:w="17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w:t>
            </w:r>
          </w:p>
        </w:tc>
        <w:tc>
          <w:tcPr>
            <w:tcW w:w="2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3780" w:type="dxa"/>
            <w:vAlign w:val="bottom"/>
          </w:tcPr>
          <w:p>
            <w:pPr>
              <w:ind w:left="260"/>
              <w:spacing w:after="0"/>
              <w:rPr>
                <w:sz w:val="20"/>
                <w:szCs w:val="20"/>
                <w:color w:val="auto"/>
              </w:rPr>
            </w:pPr>
            <w:r>
              <w:rPr>
                <w:rFonts w:ascii="Arial" w:cs="Arial" w:eastAsia="Arial" w:hAnsi="Arial"/>
                <w:sz w:val="16"/>
                <w:szCs w:val="16"/>
                <w:color w:val="auto"/>
              </w:rPr>
              <w:t>Fuel, lubes and supplies</w:t>
            </w: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1,010</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559</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17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1,627</w:t>
            </w:r>
          </w:p>
        </w:tc>
        <w:tc>
          <w:tcPr>
            <w:tcW w:w="2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1,144</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11,969</w:t>
            </w: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9,582</w:t>
            </w:r>
          </w:p>
        </w:tc>
        <w:tc>
          <w:tcPr>
            <w:tcW w:w="2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Direct Vessel Profit</w:t>
            </w:r>
          </w:p>
        </w:tc>
        <w:tc>
          <w:tcPr>
            <w:tcW w:w="178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80" w:type="dxa"/>
            <w:vAlign w:val="bottom"/>
            <w:vMerge w:val="continue"/>
            <w:shd w:val="clear" w:color="auto" w:fill="CFF0FC"/>
          </w:tcPr>
          <w:p>
            <w:pPr>
              <w:spacing w:after="0"/>
              <w:rPr>
                <w:sz w:val="18"/>
                <w:szCs w:val="18"/>
                <w:color w:val="auto"/>
              </w:rPr>
            </w:pPr>
          </w:p>
        </w:tc>
        <w:tc>
          <w:tcPr>
            <w:tcW w:w="236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1,740</w:t>
            </w:r>
          </w:p>
        </w:tc>
        <w:tc>
          <w:tcPr>
            <w:tcW w:w="2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13%</w:t>
            </w:r>
          </w:p>
        </w:tc>
        <w:tc>
          <w:tcPr>
            <w:tcW w:w="680" w:type="dxa"/>
            <w:vAlign w:val="bottom"/>
            <w:gridSpan w:val="2"/>
            <w:shd w:val="clear" w:color="auto" w:fill="CFF0FC"/>
          </w:tcPr>
          <w:p>
            <w:pPr>
              <w:jc w:val="right"/>
              <w:ind w:right="5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3,353</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$1.1 million higher in the Current Year Quarter compared with the Prior</w:t>
      </w:r>
      <w:r>
        <w:rPr>
          <w:rFonts w:ascii="Arial" w:cs="Arial" w:eastAsia="Arial" w:hAnsi="Arial"/>
          <w:sz w:val="22"/>
          <w:szCs w:val="22"/>
          <w:i w:val="1"/>
          <w:iCs w:val="1"/>
          <w:color w:val="auto"/>
        </w:rPr>
        <w:t xml:space="preserve"> </w:t>
      </w:r>
      <w:r>
        <w:rPr>
          <w:rFonts w:ascii="Arial" w:cs="Arial" w:eastAsia="Arial" w:hAnsi="Arial"/>
          <w:sz w:val="22"/>
          <w:szCs w:val="22"/>
          <w:color w:val="auto"/>
        </w:rPr>
        <w:t>Year Quarter. Charter revenues were $0.7 million higher due to the repositioning of vessels between geographic regions and $0.4 million higher due to net fleet additions as a result of the Merger of OSV Partners I. Other marine services were $0.3 million lower primarily due to lower management fee revenues. As of March 31, 2022, the Company had one of 20 owned and leased-in vessels (one specialty) cold-stacked in this region compared with two of 20 owned and leased-in vessels (one FSV and one supply) as of March 31, 2021.</w:t>
      </w:r>
    </w:p>
    <w:p>
      <w:pPr>
        <w:spacing w:after="0" w:line="161"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$2.4 million higher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Direct operating expenses were $1.5 million higher due to net fleet additions and $0.9 million higher due to the repositioning of vessels between geographic regions.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34" w:name="page35"/>
    <w:bookmarkEnd w:id="34"/>
    <w:p>
      <w:pPr>
        <w:ind w:left="760"/>
        <w:spacing w:after="0"/>
        <w:rPr>
          <w:sz w:val="20"/>
          <w:szCs w:val="20"/>
          <w:color w:val="auto"/>
        </w:rPr>
      </w:pPr>
      <w:r>
        <w:rPr>
          <w:rFonts w:ascii="Arial" w:cs="Arial" w:eastAsia="Arial" w:hAnsi="Arial"/>
          <w:sz w:val="19"/>
          <w:szCs w:val="19"/>
          <w:b w:val="1"/>
          <w:bCs w:val="1"/>
          <w:i w:val="1"/>
          <w:iCs w:val="1"/>
          <w:color w:val="auto"/>
        </w:rPr>
        <w:t xml:space="preserve">Latin America (Brazil, Mexico, Central and South America). </w:t>
      </w:r>
      <w:r>
        <w:rPr>
          <w:rFonts w:ascii="Arial" w:cs="Arial" w:eastAsia="Arial" w:hAnsi="Arial"/>
          <w:sz w:val="19"/>
          <w:szCs w:val="19"/>
          <w:color w:val="auto"/>
        </w:rPr>
        <w:t>For the three months ended March 31, 2022 and 2021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Company’s time charter statistics and direct vessel profit in Latin America was as follows (in thousands, except statistics):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6"/>
                <w:szCs w:val="16"/>
                <w:b w:val="1"/>
                <w:bCs w:val="1"/>
                <w:color w:val="auto"/>
              </w:rPr>
              <w:t>For the Three Months Ended March 31,</w:t>
            </w:r>
          </w:p>
        </w:tc>
        <w:tc>
          <w:tcPr>
            <w:tcW w:w="6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Time Charter Statistics:</w:t>
            </w: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20" w:type="dxa"/>
            <w:vAlign w:val="bottom"/>
          </w:tcPr>
          <w:p>
            <w:pPr>
              <w:ind w:left="260"/>
              <w:spacing w:after="0"/>
              <w:rPr>
                <w:sz w:val="20"/>
                <w:szCs w:val="20"/>
                <w:color w:val="auto"/>
              </w:rPr>
            </w:pPr>
            <w:r>
              <w:rPr>
                <w:rFonts w:ascii="Arial" w:cs="Arial" w:eastAsia="Arial" w:hAnsi="Arial"/>
                <w:sz w:val="16"/>
                <w:szCs w:val="16"/>
                <w:color w:val="auto"/>
              </w:rPr>
              <w:t>Rates Per Day Worked:</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7,786</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7,576</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tcPr>
          <w:p>
            <w:pPr>
              <w:ind w:left="500"/>
              <w:spacing w:after="0"/>
              <w:rPr>
                <w:sz w:val="20"/>
                <w:szCs w:val="20"/>
                <w:color w:val="auto"/>
              </w:rPr>
            </w:pPr>
            <w:r>
              <w:rPr>
                <w:rFonts w:ascii="Arial" w:cs="Arial" w:eastAsia="Arial" w:hAnsi="Arial"/>
                <w:sz w:val="16"/>
                <w:szCs w:val="16"/>
                <w:color w:val="auto"/>
              </w:rPr>
              <w:t>Supply</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15,225</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15,600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35,150</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41,957</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tcPr>
          <w:p>
            <w:pPr>
              <w:ind w:left="500"/>
              <w:spacing w:after="0"/>
              <w:rPr>
                <w:sz w:val="20"/>
                <w:szCs w:val="20"/>
                <w:color w:val="auto"/>
              </w:rPr>
            </w:pPr>
            <w:r>
              <w:rPr>
                <w:rFonts w:ascii="Arial" w:cs="Arial" w:eastAsia="Arial" w:hAnsi="Arial"/>
                <w:sz w:val="16"/>
                <w:szCs w:val="16"/>
                <w:color w:val="auto"/>
              </w:rPr>
              <w:t>Overall</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13,450</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14,751</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Utilization:</w:t>
            </w: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tcPr>
          <w:p>
            <w:pPr>
              <w:ind w:left="500"/>
              <w:spacing w:after="0"/>
              <w:rPr>
                <w:sz w:val="20"/>
                <w:szCs w:val="20"/>
                <w:color w:val="auto"/>
              </w:rPr>
            </w:pPr>
            <w:r>
              <w:rPr>
                <w:rFonts w:ascii="Arial" w:cs="Arial" w:eastAsia="Arial" w:hAnsi="Arial"/>
                <w:sz w:val="16"/>
                <w:szCs w:val="16"/>
                <w:color w:val="auto"/>
              </w:rPr>
              <w:t>FSV</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93%</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Supply</w:t>
            </w: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87%</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3"/>
        </w:trPr>
        <w:tc>
          <w:tcPr>
            <w:tcW w:w="5520" w:type="dxa"/>
            <w:vAlign w:val="bottom"/>
          </w:tcPr>
          <w:p>
            <w:pPr>
              <w:ind w:left="500"/>
              <w:spacing w:after="0"/>
              <w:rPr>
                <w:sz w:val="20"/>
                <w:szCs w:val="20"/>
                <w:color w:val="auto"/>
              </w:rPr>
            </w:pPr>
            <w:r>
              <w:rPr>
                <w:rFonts w:ascii="Arial" w:cs="Arial" w:eastAsia="Arial" w:hAnsi="Arial"/>
                <w:sz w:val="16"/>
                <w:szCs w:val="16"/>
                <w:color w:val="auto"/>
              </w:rPr>
              <w:t>Liftboats</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8%</w:t>
            </w: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Overall</w:t>
            </w: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85%</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13"/>
        </w:trPr>
        <w:tc>
          <w:tcPr>
            <w:tcW w:w="5520" w:type="dxa"/>
            <w:vAlign w:val="bottom"/>
          </w:tcPr>
          <w:p>
            <w:pPr>
              <w:ind w:left="260"/>
              <w:spacing w:after="0"/>
              <w:rPr>
                <w:sz w:val="20"/>
                <w:szCs w:val="20"/>
                <w:color w:val="auto"/>
              </w:rPr>
            </w:pPr>
            <w:r>
              <w:rPr>
                <w:rFonts w:ascii="Arial" w:cs="Arial" w:eastAsia="Arial" w:hAnsi="Arial"/>
                <w:sz w:val="16"/>
                <w:szCs w:val="16"/>
                <w:color w:val="auto"/>
              </w:rPr>
              <w:t>Available Days:</w:t>
            </w: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FSV</w:t>
            </w: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20" w:type="dxa"/>
            <w:vAlign w:val="bottom"/>
          </w:tcPr>
          <w:p>
            <w:pPr>
              <w:ind w:left="500"/>
              <w:spacing w:after="0"/>
              <w:rPr>
                <w:sz w:val="20"/>
                <w:szCs w:val="20"/>
                <w:color w:val="auto"/>
              </w:rPr>
            </w:pPr>
            <w:r>
              <w:rPr>
                <w:rFonts w:ascii="Arial" w:cs="Arial" w:eastAsia="Arial" w:hAnsi="Arial"/>
                <w:sz w:val="16"/>
                <w:szCs w:val="16"/>
                <w:color w:val="auto"/>
              </w:rPr>
              <w:t>Supply</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571</w:t>
            </w: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540</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Liftboats</w:t>
            </w:r>
          </w:p>
        </w:tc>
        <w:tc>
          <w:tcPr>
            <w:tcW w:w="5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52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Overall</w:t>
            </w:r>
          </w:p>
        </w:tc>
        <w:tc>
          <w:tcPr>
            <w:tcW w:w="5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w:t>
            </w:r>
          </w:p>
        </w:tc>
        <w:tc>
          <w:tcPr>
            <w:tcW w:w="28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w:t>
            </w:r>
          </w:p>
        </w:tc>
        <w:tc>
          <w:tcPr>
            <w:tcW w:w="300" w:type="dxa"/>
            <w:vAlign w:val="bottom"/>
            <w:tcBorders>
              <w:bottom w:val="single" w:sz="8" w:color="CFF0FC"/>
            </w:tcBorders>
          </w:tcPr>
          <w:p>
            <w:pPr>
              <w:spacing w:after="0"/>
              <w:rPr>
                <w:sz w:val="21"/>
                <w:szCs w:val="21"/>
                <w:color w:val="auto"/>
              </w:rPr>
            </w:pPr>
          </w:p>
        </w:tc>
        <w:tc>
          <w:tcPr>
            <w:tcW w:w="680" w:type="dxa"/>
            <w:vAlign w:val="bottom"/>
            <w:tcBorders>
              <w:bottom w:val="single" w:sz="8" w:color="CFF0FC"/>
            </w:tcBorders>
          </w:tcPr>
          <w:p>
            <w:pPr>
              <w:spacing w:after="0"/>
              <w:rPr>
                <w:sz w:val="21"/>
                <w:szCs w:val="21"/>
                <w:color w:val="auto"/>
              </w:rPr>
            </w:pPr>
          </w:p>
        </w:tc>
        <w:tc>
          <w:tcPr>
            <w:tcW w:w="3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520" w:type="dxa"/>
            <w:vAlign w:val="bottom"/>
            <w:shd w:val="clear" w:color="auto" w:fill="CFF0FC"/>
          </w:tcPr>
          <w:p>
            <w:pPr>
              <w:spacing w:after="0"/>
              <w:rPr>
                <w:sz w:val="20"/>
                <w:szCs w:val="20"/>
                <w:color w:val="auto"/>
              </w:rPr>
            </w:pPr>
            <w:r>
              <w:rPr>
                <w:rFonts w:ascii="Arial" w:cs="Arial" w:eastAsia="Arial" w:hAnsi="Arial"/>
                <w:sz w:val="16"/>
                <w:szCs w:val="16"/>
                <w:color w:val="auto"/>
              </w:rPr>
              <w:t>Operating revenues:</w:t>
            </w:r>
          </w:p>
        </w:tc>
        <w:tc>
          <w:tcPr>
            <w:tcW w:w="5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20" w:type="dxa"/>
            <w:vAlign w:val="bottom"/>
          </w:tcPr>
          <w:p>
            <w:pPr>
              <w:ind w:left="260"/>
              <w:spacing w:after="0"/>
              <w:rPr>
                <w:sz w:val="20"/>
                <w:szCs w:val="20"/>
                <w:color w:val="auto"/>
              </w:rPr>
            </w:pPr>
            <w:r>
              <w:rPr>
                <w:rFonts w:ascii="Arial" w:cs="Arial" w:eastAsia="Arial" w:hAnsi="Arial"/>
                <w:sz w:val="16"/>
                <w:szCs w:val="16"/>
                <w:color w:val="auto"/>
              </w:rPr>
              <w:t>Time charter</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8,937</w:t>
            </w: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87%</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9,724</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Bareboat charter</w:t>
            </w: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w:t>
            </w:r>
          </w:p>
        </w:tc>
        <w:tc>
          <w:tcPr>
            <w:tcW w:w="5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3"/>
        </w:trPr>
        <w:tc>
          <w:tcPr>
            <w:tcW w:w="5520" w:type="dxa"/>
            <w:vAlign w:val="bottom"/>
          </w:tcPr>
          <w:p>
            <w:pPr>
              <w:ind w:left="260"/>
              <w:spacing w:after="0"/>
              <w:rPr>
                <w:sz w:val="20"/>
                <w:szCs w:val="20"/>
                <w:color w:val="auto"/>
              </w:rPr>
            </w:pPr>
            <w:r>
              <w:rPr>
                <w:rFonts w:ascii="Arial" w:cs="Arial" w:eastAsia="Arial" w:hAnsi="Arial"/>
                <w:sz w:val="16"/>
                <w:szCs w:val="16"/>
                <w:color w:val="auto"/>
              </w:rPr>
              <w:t>Other marine services</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747</w:t>
            </w: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7%</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856</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5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10,302</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100%</w:t>
            </w: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10,580</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7"/>
        </w:trPr>
        <w:tc>
          <w:tcPr>
            <w:tcW w:w="5520" w:type="dxa"/>
            <w:vAlign w:val="bottom"/>
          </w:tcPr>
          <w:p>
            <w:pPr>
              <w:spacing w:after="0"/>
              <w:rPr>
                <w:sz w:val="20"/>
                <w:szCs w:val="20"/>
                <w:color w:val="auto"/>
              </w:rPr>
            </w:pPr>
            <w:r>
              <w:rPr>
                <w:rFonts w:ascii="Arial" w:cs="Arial" w:eastAsia="Arial" w:hAnsi="Arial"/>
                <w:sz w:val="16"/>
                <w:szCs w:val="16"/>
                <w:color w:val="auto"/>
              </w:rPr>
              <w:t>Direct operating expenses:</w:t>
            </w:r>
          </w:p>
        </w:tc>
        <w:tc>
          <w:tcPr>
            <w:tcW w:w="5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Personnel</w:t>
            </w: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3,945</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38%</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3,246</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3"/>
        </w:trPr>
        <w:tc>
          <w:tcPr>
            <w:tcW w:w="5520" w:type="dxa"/>
            <w:vAlign w:val="bottom"/>
          </w:tcPr>
          <w:p>
            <w:pPr>
              <w:ind w:left="260"/>
              <w:spacing w:after="0"/>
              <w:rPr>
                <w:sz w:val="20"/>
                <w:szCs w:val="20"/>
                <w:color w:val="auto"/>
              </w:rPr>
            </w:pPr>
            <w:r>
              <w:rPr>
                <w:rFonts w:ascii="Arial" w:cs="Arial" w:eastAsia="Arial" w:hAnsi="Arial"/>
                <w:sz w:val="16"/>
                <w:szCs w:val="16"/>
                <w:color w:val="auto"/>
              </w:rPr>
              <w:t>Repairs and maintenance</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2,279</w:t>
            </w: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22%</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1,092</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Drydocking</w:t>
            </w:r>
          </w:p>
        </w:tc>
        <w:tc>
          <w:tcPr>
            <w:tcW w:w="5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w:t>
            </w:r>
          </w:p>
        </w:tc>
        <w:tc>
          <w:tcPr>
            <w:tcW w:w="5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(28)</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3"/>
        </w:trPr>
        <w:tc>
          <w:tcPr>
            <w:tcW w:w="5520" w:type="dxa"/>
            <w:vAlign w:val="bottom"/>
          </w:tcPr>
          <w:p>
            <w:pPr>
              <w:ind w:left="260"/>
              <w:spacing w:after="0"/>
              <w:rPr>
                <w:sz w:val="20"/>
                <w:szCs w:val="20"/>
                <w:color w:val="auto"/>
              </w:rPr>
            </w:pPr>
            <w:r>
              <w:rPr>
                <w:rFonts w:ascii="Arial" w:cs="Arial" w:eastAsia="Arial" w:hAnsi="Arial"/>
                <w:sz w:val="16"/>
                <w:szCs w:val="16"/>
                <w:color w:val="auto"/>
              </w:rPr>
              <w:t>Insurance and loss reserves</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326</w:t>
            </w: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3%</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296</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9"/>
        </w:trPr>
        <w:tc>
          <w:tcPr>
            <w:tcW w:w="55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Fuel, lubes and supplies</w:t>
            </w: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w:t>
            </w:r>
          </w:p>
        </w:tc>
        <w:tc>
          <w:tcPr>
            <w:tcW w:w="5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872</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3"/>
        </w:trPr>
        <w:tc>
          <w:tcPr>
            <w:tcW w:w="5520" w:type="dxa"/>
            <w:vAlign w:val="bottom"/>
          </w:tcPr>
          <w:p>
            <w:pPr>
              <w:ind w:left="260"/>
              <w:spacing w:after="0"/>
              <w:rPr>
                <w:sz w:val="20"/>
                <w:szCs w:val="20"/>
                <w:color w:val="auto"/>
              </w:rPr>
            </w:pPr>
            <w:r>
              <w:rPr>
                <w:rFonts w:ascii="Arial" w:cs="Arial" w:eastAsia="Arial" w:hAnsi="Arial"/>
                <w:sz w:val="16"/>
                <w:szCs w:val="16"/>
                <w:color w:val="auto"/>
              </w:rPr>
              <w:t>Other</w:t>
            </w:r>
          </w:p>
        </w:tc>
        <w:tc>
          <w:tcPr>
            <w:tcW w:w="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703</w:t>
            </w:r>
          </w:p>
        </w:tc>
        <w:tc>
          <w:tcPr>
            <w:tcW w:w="2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7%</w:t>
            </w:r>
          </w:p>
        </w:tc>
        <w:tc>
          <w:tcPr>
            <w:tcW w:w="5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872</w:t>
            </w:r>
          </w:p>
        </w:tc>
        <w:tc>
          <w:tcPr>
            <w:tcW w:w="3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55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5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7,837</w:t>
            </w: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76%</w:t>
            </w:r>
          </w:p>
        </w:tc>
        <w:tc>
          <w:tcPr>
            <w:tcW w:w="5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6,350</w:t>
            </w: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6"/>
                <w:szCs w:val="16"/>
                <w:color w:val="auto"/>
              </w:rPr>
              <w:t>Direct Vessel Profit</w:t>
            </w: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520" w:type="dxa"/>
            <w:vAlign w:val="bottom"/>
            <w:vMerge w:val="continue"/>
          </w:tcPr>
          <w:p>
            <w:pPr>
              <w:spacing w:after="0"/>
              <w:rPr>
                <w:sz w:val="17"/>
                <w:szCs w:val="17"/>
                <w:color w:val="auto"/>
              </w:rPr>
            </w:pP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2,465</w:t>
            </w:r>
          </w:p>
        </w:tc>
        <w:tc>
          <w:tcPr>
            <w:tcW w:w="2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24%</w:t>
            </w:r>
          </w:p>
        </w:tc>
        <w:tc>
          <w:tcPr>
            <w:tcW w:w="580" w:type="dxa"/>
            <w:vAlign w:val="bottom"/>
          </w:tcPr>
          <w:p>
            <w:pPr>
              <w:jc w:val="right"/>
              <w:ind w:right="4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4,230</w:t>
            </w:r>
          </w:p>
        </w:tc>
        <w:tc>
          <w:tcPr>
            <w:tcW w:w="30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Current Year Quarter compared with Prior Year Quarter</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i w:val="1"/>
          <w:iCs w:val="1"/>
          <w:color w:val="auto"/>
        </w:rPr>
        <w:t xml:space="preserve">Operating Revenues. </w:t>
      </w:r>
      <w:r>
        <w:rPr>
          <w:rFonts w:ascii="Arial" w:cs="Arial" w:eastAsia="Arial" w:hAnsi="Arial"/>
          <w:sz w:val="22"/>
          <w:szCs w:val="22"/>
          <w:color w:val="auto"/>
        </w:rPr>
        <w:t>Charter revenues were $0.2 million lower in the Current Year Quarter compared with the Prior Year</w:t>
      </w:r>
      <w:r>
        <w:rPr>
          <w:rFonts w:ascii="Arial" w:cs="Arial" w:eastAsia="Arial" w:hAnsi="Arial"/>
          <w:sz w:val="22"/>
          <w:szCs w:val="22"/>
          <w:i w:val="1"/>
          <w:iCs w:val="1"/>
          <w:color w:val="auto"/>
        </w:rPr>
        <w:t xml:space="preserve"> </w:t>
      </w:r>
      <w:r>
        <w:rPr>
          <w:rFonts w:ascii="Arial" w:cs="Arial" w:eastAsia="Arial" w:hAnsi="Arial"/>
          <w:sz w:val="22"/>
          <w:szCs w:val="22"/>
          <w:color w:val="auto"/>
        </w:rPr>
        <w:t>Quarter, primarily due to the repositioning of vessels between geographic regions. As of March 31, 2022, the Company had no owned or leased-in vessels cold-stacked in this region.</w:t>
      </w:r>
    </w:p>
    <w:p>
      <w:pPr>
        <w:spacing w:after="0" w:line="146"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i w:val="1"/>
          <w:iCs w:val="1"/>
          <w:color w:val="auto"/>
        </w:rPr>
        <w:t xml:space="preserve">Direct Operating Expenses. </w:t>
      </w:r>
      <w:r>
        <w:rPr>
          <w:rFonts w:ascii="Arial" w:cs="Arial" w:eastAsia="Arial" w:hAnsi="Arial"/>
          <w:sz w:val="22"/>
          <w:szCs w:val="22"/>
          <w:color w:val="auto"/>
        </w:rPr>
        <w:t>Direct operating expenses were $1.5 million higher in the Current Year Quarter compared</w:t>
      </w:r>
      <w:r>
        <w:rPr>
          <w:rFonts w:ascii="Arial" w:cs="Arial" w:eastAsia="Arial" w:hAnsi="Arial"/>
          <w:sz w:val="22"/>
          <w:szCs w:val="22"/>
          <w:i w:val="1"/>
          <w:iCs w:val="1"/>
          <w:color w:val="auto"/>
        </w:rPr>
        <w:t xml:space="preserve"> </w:t>
      </w:r>
      <w:r>
        <w:rPr>
          <w:rFonts w:ascii="Arial" w:cs="Arial" w:eastAsia="Arial" w:hAnsi="Arial"/>
          <w:sz w:val="22"/>
          <w:szCs w:val="22"/>
          <w:color w:val="auto"/>
        </w:rPr>
        <w:t>with the Prior Year Quarter primarily due to the timing of certain repair and drydocking expenditures.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2"/>
          <w:szCs w:val="22"/>
          <w:b w:val="1"/>
          <w:bCs w:val="1"/>
          <w:u w:val="single" w:color="auto"/>
          <w:color w:val="auto"/>
        </w:rPr>
        <w:t>Other Operating Expenses</w:t>
      </w:r>
    </w:p>
    <w:p>
      <w:pPr>
        <w:spacing w:after="0" w:line="172" w:lineRule="exact"/>
        <w:rPr>
          <w:sz w:val="20"/>
          <w:szCs w:val="20"/>
          <w:color w:val="auto"/>
        </w:rPr>
      </w:pPr>
    </w:p>
    <w:p>
      <w:pPr>
        <w:jc w:val="both"/>
        <w:ind w:right="20" w:firstLine="749"/>
        <w:spacing w:after="0" w:line="250" w:lineRule="auto"/>
        <w:rPr>
          <w:sz w:val="20"/>
          <w:szCs w:val="20"/>
          <w:color w:val="auto"/>
        </w:rPr>
      </w:pPr>
      <w:r>
        <w:rPr>
          <w:rFonts w:ascii="Arial" w:cs="Arial" w:eastAsia="Arial" w:hAnsi="Arial"/>
          <w:sz w:val="22"/>
          <w:szCs w:val="22"/>
          <w:b w:val="1"/>
          <w:bCs w:val="1"/>
          <w:i w:val="1"/>
          <w:iCs w:val="1"/>
          <w:color w:val="auto"/>
        </w:rPr>
        <w:t xml:space="preserve">Lease Expense. </w:t>
      </w:r>
      <w:r>
        <w:rPr>
          <w:rFonts w:ascii="Arial" w:cs="Arial" w:eastAsia="Arial" w:hAnsi="Arial"/>
          <w:sz w:val="22"/>
          <w:szCs w:val="22"/>
          <w:color w:val="auto"/>
        </w:rPr>
        <w:t>Leased-in equipment expense for the Current Year Quarter was essentially flat compared with the Prior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Year Quarter.</w:t>
      </w:r>
    </w:p>
    <w:p>
      <w:pPr>
        <w:spacing w:after="0" w:line="134"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b w:val="1"/>
          <w:bCs w:val="1"/>
          <w:i w:val="1"/>
          <w:iCs w:val="1"/>
          <w:color w:val="auto"/>
        </w:rPr>
        <w:t xml:space="preserve">Administrative and general. </w:t>
      </w:r>
      <w:r>
        <w:rPr>
          <w:rFonts w:ascii="Arial" w:cs="Arial" w:eastAsia="Arial" w:hAnsi="Arial"/>
          <w:sz w:val="19"/>
          <w:szCs w:val="19"/>
          <w:color w:val="auto"/>
        </w:rPr>
        <w:t>Administrative and general expenses for the Current Year Quarter were $1.3 million higher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compared to the Prior Year Quarter due to increases in salaries and benefits expenses in the Current Year Quarter.</w:t>
      </w:r>
    </w:p>
    <w:p>
      <w:pPr>
        <w:spacing w:after="0" w:line="7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Depreciation and amortization. </w:t>
      </w:r>
      <w:r>
        <w:rPr>
          <w:rFonts w:ascii="Arial" w:cs="Arial" w:eastAsia="Arial" w:hAnsi="Arial"/>
          <w:sz w:val="22"/>
          <w:szCs w:val="22"/>
          <w:color w:val="auto"/>
        </w:rPr>
        <w:t>Depreciation and amortization expense for the Current Year Quarter was $0.4 million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lower compared to the Prior Year Quarter, primarily due to net fleet changes.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3" w:right="339" w:bottom="1440" w:gutter="0" w:footer="0" w:header="0"/>
        </w:sectPr>
      </w:pPr>
    </w:p>
    <w:bookmarkStart w:id="35" w:name="page36"/>
    <w:bookmarkEnd w:id="35"/>
    <w:p>
      <w:pPr>
        <w:jc w:val="both"/>
        <w:ind w:firstLine="749"/>
        <w:spacing w:after="0" w:line="235" w:lineRule="auto"/>
        <w:rPr>
          <w:sz w:val="20"/>
          <w:szCs w:val="20"/>
          <w:color w:val="auto"/>
        </w:rPr>
      </w:pPr>
      <w:r>
        <w:rPr>
          <w:rFonts w:ascii="Arial" w:cs="Arial" w:eastAsia="Arial" w:hAnsi="Arial"/>
          <w:sz w:val="22"/>
          <w:szCs w:val="22"/>
          <w:b w:val="1"/>
          <w:bCs w:val="1"/>
          <w:i w:val="1"/>
          <w:iCs w:val="1"/>
          <w:color w:val="auto"/>
        </w:rPr>
        <w:t xml:space="preserve">Gains (Losses) on Asset Dispositions and Impairments, Net. </w:t>
      </w:r>
      <w:r>
        <w:rPr>
          <w:rFonts w:ascii="Arial" w:cs="Arial" w:eastAsia="Arial" w:hAnsi="Arial"/>
          <w:sz w:val="22"/>
          <w:szCs w:val="22"/>
          <w:color w:val="auto"/>
        </w:rPr>
        <w:t>During the Current Year Quarter, the Company sold one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lifeboat, which was previously removed from service, and office space for net cash proceeds of $5.3 million, after transaction costs, and a gain of $3.1 million. In addition, the Company recognized impairment charges of $0.9 million related to one FSV classified as held for sale as of March 31, 2022, which was included in the Africa and Europe segment with a carrying value of $2.3 million. During the Prior Year Quarter, the Company sold one PSV and two FSVs for cash proceeds of $1.6 million, resulting in losses of $2.4 million.</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Income (Expense), Net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For the periods ended March 31, the Company’s other income (expense) was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8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6"/>
                <w:szCs w:val="16"/>
                <w:b w:val="1"/>
                <w:bCs w:val="1"/>
                <w:color w:val="auto"/>
              </w:rPr>
              <w:t>Three Months Ended March 31,</w:t>
            </w:r>
          </w:p>
        </w:tc>
        <w:tc>
          <w:tcPr>
            <w:tcW w:w="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2021</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2"/>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252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r>
      <w:tr>
        <w:trPr>
          <w:trHeight w:val="213"/>
        </w:trPr>
        <w:tc>
          <w:tcPr>
            <w:tcW w:w="508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3540" w:type="dxa"/>
            <w:vAlign w:val="bottom"/>
            <w:gridSpan w:val="2"/>
          </w:tcPr>
          <w:p>
            <w:pPr>
              <w:jc w:val="right"/>
              <w:ind w:right="861"/>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29</w:t>
            </w:r>
          </w:p>
        </w:tc>
        <w:tc>
          <w:tcPr>
            <w:tcW w:w="160" w:type="dxa"/>
            <w:vAlign w:val="bottom"/>
          </w:tcPr>
          <w:p>
            <w:pPr>
              <w:spacing w:after="0"/>
              <w:rPr>
                <w:sz w:val="18"/>
                <w:szCs w:val="18"/>
                <w:color w:val="auto"/>
              </w:rPr>
            </w:pPr>
          </w:p>
        </w:tc>
        <w:tc>
          <w:tcPr>
            <w:tcW w:w="116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986</w:t>
            </w:r>
          </w:p>
        </w:tc>
        <w:tc>
          <w:tcPr>
            <w:tcW w:w="280" w:type="dxa"/>
            <w:vAlign w:val="bottom"/>
          </w:tcPr>
          <w:p>
            <w:pPr>
              <w:spacing w:after="0"/>
              <w:rPr>
                <w:sz w:val="18"/>
                <w:szCs w:val="18"/>
                <w:color w:val="auto"/>
              </w:rPr>
            </w:pPr>
          </w:p>
        </w:tc>
      </w:tr>
      <w:tr>
        <w:trPr>
          <w:trHeight w:val="219"/>
        </w:trPr>
        <w:tc>
          <w:tcPr>
            <w:tcW w:w="50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(6,627)</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(8,018)</w:t>
            </w:r>
          </w:p>
        </w:tc>
      </w:tr>
      <w:tr>
        <w:trPr>
          <w:trHeight w:val="213"/>
        </w:trPr>
        <w:tc>
          <w:tcPr>
            <w:tcW w:w="5080" w:type="dxa"/>
            <w:vAlign w:val="bottom"/>
          </w:tcPr>
          <w:p>
            <w:pPr>
              <w:ind w:left="260"/>
              <w:spacing w:after="0"/>
              <w:rPr>
                <w:sz w:val="20"/>
                <w:szCs w:val="20"/>
                <w:color w:val="auto"/>
              </w:rPr>
            </w:pPr>
            <w:r>
              <w:rPr>
                <w:rFonts w:ascii="Arial" w:cs="Arial" w:eastAsia="Arial" w:hAnsi="Arial"/>
                <w:sz w:val="16"/>
                <w:szCs w:val="16"/>
                <w:color w:val="auto"/>
              </w:rPr>
              <w:t>SEACOR Holdings guarantee fees</w:t>
            </w:r>
          </w:p>
        </w:tc>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(7)</w:t>
            </w:r>
          </w:p>
        </w:tc>
      </w:tr>
      <w:tr>
        <w:trPr>
          <w:trHeight w:val="219"/>
        </w:trPr>
        <w:tc>
          <w:tcPr>
            <w:tcW w:w="50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Derivative (losses) gains, net</w:t>
            </w:r>
          </w:p>
        </w:tc>
        <w:tc>
          <w:tcPr>
            <w:tcW w:w="25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280" w:type="dxa"/>
            <w:vAlign w:val="bottom"/>
            <w:shd w:val="clear" w:color="auto" w:fill="CFF0FC"/>
          </w:tcPr>
          <w:p>
            <w:pPr>
              <w:spacing w:after="0"/>
              <w:rPr>
                <w:sz w:val="19"/>
                <w:szCs w:val="19"/>
                <w:color w:val="auto"/>
              </w:rPr>
            </w:pPr>
          </w:p>
        </w:tc>
      </w:tr>
      <w:tr>
        <w:trPr>
          <w:trHeight w:val="213"/>
        </w:trPr>
        <w:tc>
          <w:tcPr>
            <w:tcW w:w="5080" w:type="dxa"/>
            <w:vAlign w:val="bottom"/>
          </w:tcPr>
          <w:p>
            <w:pPr>
              <w:ind w:left="260"/>
              <w:spacing w:after="0"/>
              <w:rPr>
                <w:sz w:val="20"/>
                <w:szCs w:val="20"/>
                <w:color w:val="auto"/>
              </w:rPr>
            </w:pPr>
            <w:r>
              <w:rPr>
                <w:rFonts w:ascii="Arial" w:cs="Arial" w:eastAsia="Arial" w:hAnsi="Arial"/>
                <w:sz w:val="16"/>
                <w:szCs w:val="16"/>
                <w:color w:val="auto"/>
              </w:rPr>
              <w:t>Foreign currency gains (losses), net</w:t>
            </w:r>
          </w:p>
        </w:tc>
        <w:tc>
          <w:tcPr>
            <w:tcW w:w="2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(466)</w:t>
            </w:r>
          </w:p>
        </w:tc>
      </w:tr>
      <w:tr>
        <w:trPr>
          <w:trHeight w:val="20"/>
        </w:trPr>
        <w:tc>
          <w:tcPr>
            <w:tcW w:w="5080" w:type="dxa"/>
            <w:vAlign w:val="bottom"/>
            <w:shd w:val="clear" w:color="auto" w:fill="CFF0FC"/>
          </w:tcPr>
          <w:p>
            <w:pPr>
              <w:spacing w:after="0" w:line="20" w:lineRule="exact"/>
              <w:rPr>
                <w:sz w:val="1"/>
                <w:szCs w:val="1"/>
                <w:color w:val="auto"/>
              </w:rPr>
            </w:pPr>
          </w:p>
        </w:tc>
        <w:tc>
          <w:tcPr>
            <w:tcW w:w="25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r>
      <w:tr>
        <w:trPr>
          <w:trHeight w:val="210"/>
        </w:trPr>
        <w:tc>
          <w:tcPr>
            <w:tcW w:w="5080" w:type="dxa"/>
            <w:vAlign w:val="bottom"/>
            <w:shd w:val="clear" w:color="auto" w:fill="CFF0FC"/>
          </w:tcPr>
          <w:p>
            <w:pPr>
              <w:spacing w:after="0"/>
              <w:rPr>
                <w:sz w:val="18"/>
                <w:szCs w:val="18"/>
                <w:color w:val="auto"/>
              </w:rPr>
            </w:pPr>
          </w:p>
        </w:tc>
        <w:tc>
          <w:tcPr>
            <w:tcW w:w="25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861"/>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(5,811)</w:t>
            </w:r>
          </w:p>
        </w:tc>
        <w:tc>
          <w:tcPr>
            <w:tcW w:w="1160" w:type="dxa"/>
            <w:vAlign w:val="bottom"/>
            <w:gridSpan w:val="2"/>
            <w:shd w:val="clear" w:color="auto" w:fill="CFF0FC"/>
          </w:tcPr>
          <w:p>
            <w:pPr>
              <w:jc w:val="right"/>
              <w:ind w:right="9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(7,150)</w:t>
            </w:r>
          </w:p>
        </w:tc>
      </w:tr>
      <w:tr>
        <w:trPr>
          <w:trHeight w:val="20"/>
        </w:trPr>
        <w:tc>
          <w:tcPr>
            <w:tcW w:w="5080" w:type="dxa"/>
            <w:vAlign w:val="bottom"/>
            <w:tcBorders>
              <w:top w:val="single" w:sz="8" w:color="CFF0FC"/>
            </w:tcBorders>
          </w:tcPr>
          <w:p>
            <w:pPr>
              <w:spacing w:after="0" w:line="20" w:lineRule="exact"/>
              <w:rPr>
                <w:sz w:val="1"/>
                <w:szCs w:val="1"/>
                <w:color w:val="auto"/>
              </w:rPr>
            </w:pPr>
          </w:p>
        </w:tc>
        <w:tc>
          <w:tcPr>
            <w:tcW w:w="25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r>
    </w:tbl>
    <w:p>
      <w:pPr>
        <w:spacing w:after="0" w:line="195"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b w:val="1"/>
          <w:bCs w:val="1"/>
          <w:i w:val="1"/>
          <w:iCs w:val="1"/>
          <w:color w:val="auto"/>
        </w:rPr>
        <w:t xml:space="preserve">Interest income. </w:t>
      </w:r>
      <w:r>
        <w:rPr>
          <w:rFonts w:ascii="Arial" w:cs="Arial" w:eastAsia="Arial" w:hAnsi="Arial"/>
          <w:sz w:val="19"/>
          <w:szCs w:val="19"/>
          <w:color w:val="auto"/>
        </w:rPr>
        <w:t>Interest income for the Current Year Quarter compared with the Prior Year Quarter decreased primarily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due to interest received from the IRS due to delays in the payment of the CARES Act refunds in the Prior Year Quarter.</w:t>
      </w:r>
    </w:p>
    <w:p>
      <w:pPr>
        <w:spacing w:after="0" w:line="13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b w:val="1"/>
          <w:bCs w:val="1"/>
          <w:i w:val="1"/>
          <w:iCs w:val="1"/>
          <w:color w:val="auto"/>
        </w:rPr>
        <w:t xml:space="preserve">Interest expense. </w:t>
      </w:r>
      <w:r>
        <w:rPr>
          <w:rFonts w:ascii="Arial" w:cs="Arial" w:eastAsia="Arial" w:hAnsi="Arial"/>
          <w:sz w:val="22"/>
          <w:szCs w:val="22"/>
          <w:color w:val="auto"/>
        </w:rPr>
        <w:t>Interest expense in the Current Year Quarter compared with the Prior Year Quarter was lower primarily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due to the repayment of the FGUSA Credit Facility and lower interest rates on floating rate debt. This decrease was offset by increases in interest associated with the Tarahumara Shipyard Financing following delivery of one PSV in 2021 and the debt assumed as a result of the Merger of OSV Partners I.</w:t>
      </w:r>
    </w:p>
    <w:p>
      <w:pPr>
        <w:spacing w:after="0" w:line="158"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b w:val="1"/>
          <w:bCs w:val="1"/>
          <w:i w:val="1"/>
          <w:iCs w:val="1"/>
          <w:color w:val="auto"/>
        </w:rPr>
        <w:t xml:space="preserve">Derivative (losses) gains, net. </w:t>
      </w:r>
      <w:r>
        <w:rPr>
          <w:rFonts w:ascii="Arial" w:cs="Arial" w:eastAsia="Arial" w:hAnsi="Arial"/>
          <w:sz w:val="19"/>
          <w:szCs w:val="19"/>
          <w:color w:val="auto"/>
        </w:rPr>
        <w:t>Net derivative (losses) gains during the Current Year Quarter compared to the Prior Year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Quarter decreased due to the Company not having any open forward currency exchange contracts since March 31, 2021.</w:t>
      </w:r>
    </w:p>
    <w:p>
      <w:pPr>
        <w:spacing w:after="0" w:line="6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Foreign currency gains (losses), net. </w:t>
      </w:r>
      <w:r>
        <w:rPr>
          <w:rFonts w:ascii="Arial" w:cs="Arial" w:eastAsia="Arial" w:hAnsi="Arial"/>
          <w:sz w:val="22"/>
          <w:szCs w:val="22"/>
          <w:color w:val="auto"/>
        </w:rPr>
        <w:t>Foreign currency gains for the Current Year Quarter compared to foreign currency</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losses for the Prior Year Quarter was primarily due to various changes in foreign currencies.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Income Tax Benefit</w:t>
      </w:r>
    </w:p>
    <w:p>
      <w:pPr>
        <w:spacing w:after="0" w:line="185" w:lineRule="exact"/>
        <w:rPr>
          <w:sz w:val="20"/>
          <w:szCs w:val="20"/>
          <w:color w:val="auto"/>
        </w:rPr>
      </w:pPr>
    </w:p>
    <w:p>
      <w:pPr>
        <w:jc w:val="both"/>
        <w:ind w:firstLine="749"/>
        <w:spacing w:after="0" w:line="328" w:lineRule="auto"/>
        <w:rPr>
          <w:sz w:val="20"/>
          <w:szCs w:val="20"/>
          <w:color w:val="auto"/>
        </w:rPr>
      </w:pPr>
      <w:r>
        <w:rPr>
          <w:rFonts w:ascii="Arial" w:cs="Arial" w:eastAsia="Arial" w:hAnsi="Arial"/>
          <w:sz w:val="19"/>
          <w:szCs w:val="19"/>
          <w:color w:val="auto"/>
        </w:rPr>
        <w:t>During the three months ended March 31, 2022, the Company’s effective income tax rate of 10.56% was primarily due to foreign taxes not creditable against U.S. income taxes and foreign losses for which there is no benefit in the U.S.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36" w:name="page37"/>
    <w:bookmarkEnd w:id="36"/>
    <w:p>
      <w:pPr>
        <w:spacing w:after="0"/>
        <w:rPr>
          <w:sz w:val="20"/>
          <w:szCs w:val="20"/>
          <w:color w:val="auto"/>
        </w:rPr>
      </w:pPr>
      <w:r>
        <w:rPr>
          <w:rFonts w:ascii="Arial" w:cs="Arial" w:eastAsia="Arial" w:hAnsi="Arial"/>
          <w:sz w:val="22"/>
          <w:szCs w:val="22"/>
          <w:b w:val="1"/>
          <w:bCs w:val="1"/>
          <w:color w:val="auto"/>
        </w:rPr>
        <w:t>Equity in Earnings of 50% or Less Owned Companies</w:t>
      </w:r>
    </w:p>
    <w:p>
      <w:pPr>
        <w:spacing w:after="0" w:line="185"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2"/>
          <w:szCs w:val="22"/>
          <w:color w:val="auto"/>
        </w:rPr>
        <w:t>Equity in earnings of 50% or less owned companies for the Current Year Quarter compared with the Prior Year Quarter were $1.6 million higher due to the following changes in equity earnings gains (losses) (in thousands):</w:t>
      </w:r>
    </w:p>
    <w:p>
      <w:pPr>
        <w:spacing w:after="0" w:line="1"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Three Months Ended March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Borders>
              <w:bottom w:val="single" w:sz="8" w:color="CFF0FC"/>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CFF0FC"/>
            </w:tcBorders>
          </w:tcPr>
          <w:p>
            <w:pPr>
              <w:spacing w:after="0"/>
              <w:rPr>
                <w:sz w:val="18"/>
                <w:szCs w:val="18"/>
                <w:color w:val="auto"/>
              </w:rPr>
            </w:pPr>
          </w:p>
        </w:tc>
      </w:tr>
      <w:tr>
        <w:trPr>
          <w:trHeight w:val="212"/>
        </w:trPr>
        <w:tc>
          <w:tcPr>
            <w:tcW w:w="8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MexMar</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4,233</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4,019</w:t>
            </w:r>
          </w:p>
        </w:tc>
        <w:tc>
          <w:tcPr>
            <w:tcW w:w="280" w:type="dxa"/>
            <w:vAlign w:val="bottom"/>
            <w:shd w:val="clear" w:color="auto" w:fill="CFF0FC"/>
          </w:tcPr>
          <w:p>
            <w:pPr>
              <w:spacing w:after="0"/>
              <w:rPr>
                <w:sz w:val="18"/>
                <w:szCs w:val="18"/>
                <w:color w:val="auto"/>
              </w:rPr>
            </w:pPr>
          </w:p>
        </w:tc>
      </w:tr>
      <w:tr>
        <w:trPr>
          <w:trHeight w:val="213"/>
        </w:trPr>
        <w:tc>
          <w:tcPr>
            <w:tcW w:w="8660" w:type="dxa"/>
            <w:vAlign w:val="bottom"/>
            <w:gridSpan w:val="2"/>
          </w:tcPr>
          <w:p>
            <w:pPr>
              <w:spacing w:after="0"/>
              <w:rPr>
                <w:sz w:val="20"/>
                <w:szCs w:val="20"/>
                <w:color w:val="auto"/>
              </w:rPr>
            </w:pPr>
            <w:r>
              <w:rPr>
                <w:rFonts w:ascii="Arial" w:cs="Arial" w:eastAsia="Arial" w:hAnsi="Arial"/>
                <w:sz w:val="16"/>
                <w:szCs w:val="16"/>
                <w:color w:val="auto"/>
              </w:rPr>
              <w:t>SEACOR Arabia</w:t>
            </w:r>
          </w:p>
        </w:tc>
        <w:tc>
          <w:tcPr>
            <w:tcW w:w="480" w:type="dxa"/>
            <w:vAlign w:val="bottom"/>
          </w:tcPr>
          <w:p>
            <w:pPr>
              <w:jc w:val="right"/>
              <w:spacing w:after="0"/>
              <w:rPr>
                <w:sz w:val="20"/>
                <w:szCs w:val="20"/>
                <w:color w:val="auto"/>
              </w:rPr>
            </w:pPr>
            <w:r>
              <w:rPr>
                <w:rFonts w:ascii="Arial" w:cs="Arial" w:eastAsia="Arial" w:hAnsi="Arial"/>
                <w:sz w:val="16"/>
                <w:szCs w:val="16"/>
                <w:color w:val="auto"/>
              </w:rPr>
              <w:t>511</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270</w:t>
            </w:r>
          </w:p>
        </w:tc>
        <w:tc>
          <w:tcPr>
            <w:tcW w:w="280" w:type="dxa"/>
            <w:vAlign w:val="bottom"/>
          </w:tcPr>
          <w:p>
            <w:pPr>
              <w:spacing w:after="0"/>
              <w:rPr>
                <w:sz w:val="18"/>
                <w:szCs w:val="18"/>
                <w:color w:val="auto"/>
              </w:rPr>
            </w:pPr>
          </w:p>
        </w:tc>
      </w:tr>
      <w:tr>
        <w:trPr>
          <w:trHeight w:val="219"/>
        </w:trPr>
        <w:tc>
          <w:tcPr>
            <w:tcW w:w="8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OSV Partners</w:t>
            </w: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(601)</w:t>
            </w:r>
          </w:p>
        </w:tc>
      </w:tr>
      <w:tr>
        <w:trPr>
          <w:trHeight w:val="213"/>
        </w:trPr>
        <w:tc>
          <w:tcPr>
            <w:tcW w:w="8660" w:type="dxa"/>
            <w:vAlign w:val="bottom"/>
            <w:gridSpan w:val="2"/>
          </w:tcPr>
          <w:p>
            <w:pPr>
              <w:spacing w:after="0"/>
              <w:rPr>
                <w:sz w:val="20"/>
                <w:szCs w:val="20"/>
                <w:color w:val="auto"/>
              </w:rPr>
            </w:pPr>
            <w:r>
              <w:rPr>
                <w:rFonts w:ascii="Arial" w:cs="Arial" w:eastAsia="Arial" w:hAnsi="Arial"/>
                <w:sz w:val="16"/>
                <w:szCs w:val="16"/>
                <w:color w:val="auto"/>
              </w:rPr>
              <w:t>Offshore Vessel Holdings</w:t>
            </w:r>
          </w:p>
        </w:tc>
        <w:tc>
          <w:tcPr>
            <w:tcW w:w="480" w:type="dxa"/>
            <w:vAlign w:val="bottom"/>
          </w:tcPr>
          <w:p>
            <w:pPr>
              <w:jc w:val="right"/>
              <w:spacing w:after="0"/>
              <w:rPr>
                <w:sz w:val="20"/>
                <w:szCs w:val="20"/>
                <w:color w:val="auto"/>
              </w:rPr>
            </w:pPr>
            <w:r>
              <w:rPr>
                <w:rFonts w:ascii="Arial" w:cs="Arial" w:eastAsia="Arial" w:hAnsi="Arial"/>
                <w:sz w:val="16"/>
                <w:szCs w:val="16"/>
                <w:color w:val="auto"/>
              </w:rPr>
              <w:t>615</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251</w:t>
            </w:r>
          </w:p>
        </w:tc>
        <w:tc>
          <w:tcPr>
            <w:tcW w:w="280" w:type="dxa"/>
            <w:vAlign w:val="bottom"/>
          </w:tcPr>
          <w:p>
            <w:pPr>
              <w:spacing w:after="0"/>
              <w:rPr>
                <w:sz w:val="18"/>
                <w:szCs w:val="18"/>
                <w:color w:val="auto"/>
              </w:rPr>
            </w:pPr>
          </w:p>
        </w:tc>
      </w:tr>
      <w:tr>
        <w:trPr>
          <w:trHeight w:val="216"/>
        </w:trPr>
        <w:tc>
          <w:tcPr>
            <w:tcW w:w="760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10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w:t>
            </w:r>
          </w:p>
        </w:tc>
        <w:tc>
          <w:tcPr>
            <w:tcW w:w="3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280" w:type="dxa"/>
            <w:vAlign w:val="bottom"/>
            <w:shd w:val="clear" w:color="auto" w:fill="CFF0FC"/>
          </w:tcPr>
          <w:p>
            <w:pPr>
              <w:spacing w:after="0"/>
              <w:rPr>
                <w:sz w:val="18"/>
                <w:szCs w:val="18"/>
                <w:color w:val="auto"/>
              </w:rPr>
            </w:pPr>
          </w:p>
        </w:tc>
      </w:tr>
      <w:tr>
        <w:trPr>
          <w:trHeight w:val="209"/>
        </w:trPr>
        <w:tc>
          <w:tcPr>
            <w:tcW w:w="8660" w:type="dxa"/>
            <w:vAlign w:val="bottom"/>
            <w:gridSpan w:val="2"/>
          </w:tcPr>
          <w:p>
            <w:pPr>
              <w:ind w:left="760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5,674</w:t>
            </w:r>
          </w:p>
        </w:tc>
        <w:tc>
          <w:tcPr>
            <w:tcW w:w="300" w:type="dxa"/>
            <w:vAlign w:val="bottom"/>
          </w:tcPr>
          <w:p>
            <w:pPr>
              <w:spacing w:after="0"/>
              <w:rPr>
                <w:sz w:val="18"/>
                <w:szCs w:val="18"/>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4,103</w:t>
            </w:r>
          </w:p>
        </w:tc>
        <w:tc>
          <w:tcPr>
            <w:tcW w:w="280" w:type="dxa"/>
            <w:vAlign w:val="bottom"/>
          </w:tcPr>
          <w:p>
            <w:pPr>
              <w:spacing w:after="0"/>
              <w:rPr>
                <w:sz w:val="18"/>
                <w:szCs w:val="18"/>
                <w:color w:val="auto"/>
              </w:rPr>
            </w:pPr>
          </w:p>
        </w:tc>
      </w:tr>
      <w:tr>
        <w:trPr>
          <w:trHeight w:val="20"/>
        </w:trPr>
        <w:tc>
          <w:tcPr>
            <w:tcW w:w="76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21"/>
          <w:szCs w:val="21"/>
          <w:b w:val="1"/>
          <w:bCs w:val="1"/>
          <w:i w:val="1"/>
          <w:iCs w:val="1"/>
          <w:color w:val="222222"/>
        </w:rPr>
        <w:t xml:space="preserve">OSV Partners. </w:t>
      </w:r>
      <w:r>
        <w:rPr>
          <w:rFonts w:ascii="Arial" w:cs="Arial" w:eastAsia="Arial" w:hAnsi="Arial"/>
          <w:sz w:val="21"/>
          <w:szCs w:val="21"/>
          <w:color w:val="222222"/>
        </w:rPr>
        <w:t>On December 31, 2021, SEACOR Marine, SEACOR Offshore OSV and OSV Partners I entered into the</w:t>
      </w:r>
      <w:r>
        <w:rPr>
          <w:rFonts w:ascii="Arial" w:cs="Arial" w:eastAsia="Arial" w:hAnsi="Arial"/>
          <w:sz w:val="21"/>
          <w:szCs w:val="21"/>
          <w:b w:val="1"/>
          <w:bCs w:val="1"/>
          <w:i w:val="1"/>
          <w:iCs w:val="1"/>
          <w:color w:val="222222"/>
        </w:rPr>
        <w:t xml:space="preserve"> </w:t>
      </w:r>
      <w:r>
        <w:rPr>
          <w:rFonts w:ascii="Arial" w:cs="Arial" w:eastAsia="Arial" w:hAnsi="Arial"/>
          <w:sz w:val="21"/>
          <w:szCs w:val="21"/>
          <w:color w:val="222222"/>
        </w:rPr>
        <w:t>Merger Agreement pursuant to which OSV Partners I merged with and into SEACOR Offshore OSV, with SEACOR Offshore OSV surviving the merger. As a result of the Merger, the five 201’, 1,900 tons deadweight capacity, PSVs owned by OSV Partners I are now 100% owned by the Company and no longer included as equity in earnings.</w:t>
      </w:r>
    </w:p>
    <w:p>
      <w:pPr>
        <w:spacing w:after="0" w:line="37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21"/>
          <w:szCs w:val="21"/>
          <w:b w:val="1"/>
          <w:bCs w:val="1"/>
          <w:i w:val="1"/>
          <w:iCs w:val="1"/>
          <w:color w:val="222222"/>
        </w:rPr>
        <w:t xml:space="preserve">MEXMAR Offshore. </w:t>
      </w:r>
      <w:r>
        <w:rPr>
          <w:rFonts w:ascii="Arial" w:cs="Arial" w:eastAsia="Arial" w:hAnsi="Arial"/>
          <w:sz w:val="21"/>
          <w:szCs w:val="21"/>
          <w:color w:val="222222"/>
        </w:rPr>
        <w:t>On December 9, 2021, the Company transferred its 49% interest in MEXMAR Offshore</w:t>
      </w:r>
      <w:r>
        <w:rPr>
          <w:rFonts w:ascii="Arial" w:cs="Arial" w:eastAsia="Arial" w:hAnsi="Arial"/>
          <w:sz w:val="21"/>
          <w:szCs w:val="21"/>
          <w:b w:val="1"/>
          <w:bCs w:val="1"/>
          <w:i w:val="1"/>
          <w:iCs w:val="1"/>
          <w:color w:val="222222"/>
        </w:rPr>
        <w:t xml:space="preserve"> </w:t>
      </w:r>
      <w:r>
        <w:rPr>
          <w:rFonts w:ascii="Arial" w:cs="Arial" w:eastAsia="Arial" w:hAnsi="Arial"/>
          <w:sz w:val="21"/>
          <w:szCs w:val="21"/>
          <w:color w:val="222222"/>
        </w:rPr>
        <w:t>International LLC (“MEXMAR Offshore”) to a subsidiary of CME for nominal consideration and a transaction fee of $0.2 million. As of December 31, 2021, the Company does not have any ownership interest in MEXMAR Offshore.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79"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General</w:t>
      </w:r>
    </w:p>
    <w:p>
      <w:pPr>
        <w:spacing w:after="0" w:line="172" w:lineRule="exact"/>
        <w:rPr>
          <w:sz w:val="20"/>
          <w:szCs w:val="20"/>
          <w:color w:val="auto"/>
        </w:rPr>
      </w:pPr>
    </w:p>
    <w:p>
      <w:pPr>
        <w:jc w:val="both"/>
        <w:ind w:firstLine="749"/>
        <w:spacing w:after="0" w:line="235" w:lineRule="auto"/>
        <w:rPr>
          <w:sz w:val="20"/>
          <w:szCs w:val="20"/>
          <w:color w:val="auto"/>
        </w:rPr>
      </w:pPr>
      <w:r>
        <w:rPr>
          <w:rFonts w:ascii="Arial" w:cs="Arial" w:eastAsia="Arial" w:hAnsi="Arial"/>
          <w:sz w:val="22"/>
          <w:szCs w:val="22"/>
          <w:color w:val="auto"/>
        </w:rPr>
        <w:t>The Company’s ongoing liquidity requirements arise primarily from working capital needs, capital commitments and its obligations to service outstanding debt and comply with covenants under its debt facilities. The Company may use its liquidity to fund capital expenditures, make acquisitions or to make other investments. Sources of liquidity are cash balances, construction reserve funds and cash flows from operations. From time to time, the Company may secure additional liquidity through asset sales or the issuance of debt, shares of Common Stock or common stock of its subsidiaries, preferred stock or a combination thereof.</w:t>
      </w:r>
    </w:p>
    <w:p>
      <w:pPr>
        <w:spacing w:after="0" w:line="147"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As of March 31, 2022, the Company had unfunded capital commitments of $1.1 million for miscellaneous vessel equipment payable during 2022 and 2023. The Company has indefinitely deferred an additional $9.4 million of orders with respect to one FSV that the Company had previously reported as unfunded capital commitments.</w:t>
      </w:r>
    </w:p>
    <w:p>
      <w:pPr>
        <w:spacing w:after="0" w:line="15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As of March 31, 2022, the Company had outstanding debt of $359.0 million, net of debt discount and issue costs. The Company’s contractual long-term debt maturities as of March 31, 2022, are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60" w:type="dxa"/>
            <w:vAlign w:val="bottom"/>
            <w:tcBorders>
              <w:bottom w:val="single" w:sz="8" w:color="CFF0FC"/>
            </w:tcBorders>
          </w:tcPr>
          <w:p>
            <w:pPr>
              <w:spacing w:after="0"/>
              <w:rPr>
                <w:sz w:val="18"/>
                <w:szCs w:val="18"/>
                <w:color w:val="auto"/>
              </w:rPr>
            </w:pPr>
          </w:p>
        </w:tc>
        <w:tc>
          <w:tcPr>
            <w:tcW w:w="38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Actual</w:t>
            </w:r>
          </w:p>
        </w:tc>
        <w:tc>
          <w:tcPr>
            <w:tcW w:w="100" w:type="dxa"/>
            <w:vAlign w:val="bottom"/>
            <w:tcBorders>
              <w:bottom w:val="single" w:sz="8" w:color="CFF0FC"/>
            </w:tcBorders>
          </w:tcPr>
          <w:p>
            <w:pPr>
              <w:spacing w:after="0"/>
              <w:rPr>
                <w:sz w:val="18"/>
                <w:szCs w:val="18"/>
                <w:color w:val="auto"/>
              </w:rPr>
            </w:pPr>
          </w:p>
        </w:tc>
      </w:tr>
      <w:tr>
        <w:trPr>
          <w:trHeight w:val="213"/>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Remainder 2022</w:t>
            </w:r>
          </w:p>
        </w:tc>
        <w:tc>
          <w:tcPr>
            <w:tcW w:w="41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24,254</w:t>
            </w:r>
          </w:p>
        </w:tc>
        <w:tc>
          <w:tcPr>
            <w:tcW w:w="100" w:type="dxa"/>
            <w:vAlign w:val="bottom"/>
            <w:shd w:val="clear" w:color="auto" w:fill="CFF0FC"/>
          </w:tcPr>
          <w:p>
            <w:pPr>
              <w:spacing w:after="0"/>
              <w:rPr>
                <w:sz w:val="18"/>
                <w:szCs w:val="18"/>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2023</w:t>
            </w:r>
          </w:p>
        </w:tc>
        <w:tc>
          <w:tcPr>
            <w:tcW w:w="3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252,247</w:t>
            </w:r>
          </w:p>
        </w:tc>
        <w:tc>
          <w:tcPr>
            <w:tcW w:w="100" w:type="dxa"/>
            <w:vAlign w:val="bottom"/>
          </w:tcPr>
          <w:p>
            <w:pPr>
              <w:spacing w:after="0"/>
              <w:rPr>
                <w:sz w:val="18"/>
                <w:szCs w:val="18"/>
                <w:color w:val="auto"/>
              </w:rPr>
            </w:pPr>
          </w:p>
        </w:tc>
      </w:tr>
      <w:tr>
        <w:trPr>
          <w:trHeight w:val="21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3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44,334</w:t>
            </w:r>
          </w:p>
        </w:tc>
        <w:tc>
          <w:tcPr>
            <w:tcW w:w="100" w:type="dxa"/>
            <w:vAlign w:val="bottom"/>
            <w:shd w:val="clear" w:color="auto" w:fill="CFF0FC"/>
          </w:tcPr>
          <w:p>
            <w:pPr>
              <w:spacing w:after="0"/>
              <w:rPr>
                <w:sz w:val="19"/>
                <w:szCs w:val="19"/>
                <w:color w:val="auto"/>
              </w:rPr>
            </w:pPr>
          </w:p>
        </w:tc>
      </w:tr>
      <w:tr>
        <w:trPr>
          <w:trHeight w:val="213"/>
        </w:trPr>
        <w:tc>
          <w:tcPr>
            <w:tcW w:w="5460" w:type="dxa"/>
            <w:vAlign w:val="bottom"/>
          </w:tcPr>
          <w:p>
            <w:pPr>
              <w:spacing w:after="0"/>
              <w:rPr>
                <w:sz w:val="20"/>
                <w:szCs w:val="20"/>
                <w:color w:val="auto"/>
              </w:rPr>
            </w:pPr>
            <w:r>
              <w:rPr>
                <w:rFonts w:ascii="Arial" w:cs="Arial" w:eastAsia="Arial" w:hAnsi="Arial"/>
                <w:sz w:val="16"/>
                <w:szCs w:val="16"/>
                <w:color w:val="auto"/>
              </w:rPr>
              <w:t>2025</w:t>
            </w:r>
          </w:p>
        </w:tc>
        <w:tc>
          <w:tcPr>
            <w:tcW w:w="3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12,629</w:t>
            </w:r>
          </w:p>
        </w:tc>
        <w:tc>
          <w:tcPr>
            <w:tcW w:w="100" w:type="dxa"/>
            <w:vAlign w:val="bottom"/>
          </w:tcPr>
          <w:p>
            <w:pPr>
              <w:spacing w:after="0"/>
              <w:rPr>
                <w:sz w:val="18"/>
                <w:szCs w:val="18"/>
                <w:color w:val="auto"/>
              </w:rPr>
            </w:pPr>
          </w:p>
        </w:tc>
      </w:tr>
      <w:tr>
        <w:trPr>
          <w:trHeight w:val="219"/>
        </w:trPr>
        <w:tc>
          <w:tcPr>
            <w:tcW w:w="5460" w:type="dxa"/>
            <w:vAlign w:val="bottom"/>
            <w:shd w:val="clear" w:color="auto" w:fill="CFF0FC"/>
          </w:tcPr>
          <w:p>
            <w:pPr>
              <w:spacing w:after="0"/>
              <w:rPr>
                <w:sz w:val="20"/>
                <w:szCs w:val="20"/>
                <w:color w:val="auto"/>
              </w:rPr>
            </w:pPr>
            <w:r>
              <w:rPr>
                <w:rFonts w:ascii="Arial" w:cs="Arial" w:eastAsia="Arial" w:hAnsi="Arial"/>
                <w:sz w:val="16"/>
                <w:szCs w:val="16"/>
                <w:color w:val="auto"/>
              </w:rPr>
              <w:t>2026</w:t>
            </w:r>
          </w:p>
        </w:tc>
        <w:tc>
          <w:tcPr>
            <w:tcW w:w="3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11,365</w:t>
            </w:r>
          </w:p>
        </w:tc>
        <w:tc>
          <w:tcPr>
            <w:tcW w:w="100" w:type="dxa"/>
            <w:vAlign w:val="bottom"/>
            <w:shd w:val="clear" w:color="auto" w:fill="CFF0FC"/>
          </w:tcPr>
          <w:p>
            <w:pPr>
              <w:spacing w:after="0"/>
              <w:rPr>
                <w:sz w:val="19"/>
                <w:szCs w:val="19"/>
                <w:color w:val="auto"/>
              </w:rPr>
            </w:pPr>
          </w:p>
        </w:tc>
      </w:tr>
      <w:tr>
        <w:trPr>
          <w:trHeight w:val="213"/>
        </w:trPr>
        <w:tc>
          <w:tcPr>
            <w:tcW w:w="54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Years subsequent to 2026</w:t>
            </w:r>
          </w:p>
        </w:tc>
        <w:tc>
          <w:tcPr>
            <w:tcW w:w="38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48,778</w:t>
            </w:r>
          </w:p>
        </w:tc>
        <w:tc>
          <w:tcPr>
            <w:tcW w:w="100" w:type="dxa"/>
            <w:vAlign w:val="bottom"/>
            <w:tcBorders>
              <w:bottom w:val="single" w:sz="8" w:color="CFF0FC"/>
            </w:tcBorders>
          </w:tcPr>
          <w:p>
            <w:pPr>
              <w:spacing w:after="0"/>
              <w:rPr>
                <w:sz w:val="18"/>
                <w:szCs w:val="18"/>
                <w:color w:val="auto"/>
              </w:rPr>
            </w:pPr>
          </w:p>
        </w:tc>
      </w:tr>
      <w:tr>
        <w:trPr>
          <w:trHeight w:val="210"/>
        </w:trPr>
        <w:tc>
          <w:tcPr>
            <w:tcW w:w="5460" w:type="dxa"/>
            <w:vAlign w:val="bottom"/>
            <w:shd w:val="clear" w:color="auto" w:fill="CFF0FC"/>
          </w:tcPr>
          <w:p>
            <w:pPr>
              <w:spacing w:after="0"/>
              <w:rPr>
                <w:sz w:val="18"/>
                <w:szCs w:val="18"/>
                <w:color w:val="auto"/>
              </w:rPr>
            </w:pPr>
          </w:p>
        </w:tc>
        <w:tc>
          <w:tcPr>
            <w:tcW w:w="41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393,607</w:t>
            </w:r>
          </w:p>
        </w:tc>
        <w:tc>
          <w:tcPr>
            <w:tcW w:w="100" w:type="dxa"/>
            <w:vAlign w:val="bottom"/>
            <w:shd w:val="clear" w:color="auto" w:fill="CFF0FC"/>
          </w:tcPr>
          <w:p>
            <w:pPr>
              <w:spacing w:after="0"/>
              <w:rPr>
                <w:sz w:val="18"/>
                <w:szCs w:val="18"/>
                <w:color w:val="auto"/>
              </w:rPr>
            </w:pPr>
          </w:p>
        </w:tc>
      </w:tr>
      <w:tr>
        <w:trPr>
          <w:trHeight w:val="20"/>
        </w:trPr>
        <w:tc>
          <w:tcPr>
            <w:tcW w:w="5460" w:type="dxa"/>
            <w:vAlign w:val="bottom"/>
            <w:tcBorders>
              <w:top w:val="single" w:sz="8" w:color="CFF0FC"/>
            </w:tcBorders>
          </w:tcPr>
          <w:p>
            <w:pPr>
              <w:spacing w:after="0" w:line="20" w:lineRule="exact"/>
              <w:rPr>
                <w:sz w:val="1"/>
                <w:szCs w:val="1"/>
                <w:color w:val="auto"/>
              </w:rPr>
            </w:pPr>
          </w:p>
        </w:tc>
        <w:tc>
          <w:tcPr>
            <w:tcW w:w="38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ind w:left="760"/>
        <w:spacing w:after="0"/>
        <w:rPr>
          <w:sz w:val="20"/>
          <w:szCs w:val="20"/>
          <w:color w:val="auto"/>
        </w:rPr>
      </w:pPr>
      <w:r>
        <w:rPr>
          <w:rFonts w:ascii="Arial" w:cs="Arial" w:eastAsia="Arial" w:hAnsi="Arial"/>
          <w:sz w:val="22"/>
          <w:szCs w:val="22"/>
          <w:b w:val="1"/>
          <w:bCs w:val="1"/>
          <w:color w:val="auto"/>
        </w:rPr>
        <w:t>Summary of Cash Flows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The following is a summary of the Company’s cash flows (in thousands) for the three months ended for the following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years: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6"/>
                <w:szCs w:val="16"/>
                <w:b w:val="1"/>
                <w:bCs w:val="1"/>
                <w:color w:val="auto"/>
              </w:rPr>
              <w:t>Three Months Ended March 31,</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provided by or (used in):</w:t>
            </w:r>
          </w:p>
        </w:tc>
        <w:tc>
          <w:tcPr>
            <w:tcW w:w="78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Operating Activities</w:t>
            </w:r>
          </w:p>
        </w:tc>
        <w:tc>
          <w:tcPr>
            <w:tcW w:w="180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436</w:t>
            </w:r>
          </w:p>
        </w:tc>
        <w:tc>
          <w:tcPr>
            <w:tcW w:w="180" w:type="dxa"/>
            <w:vAlign w:val="bottom"/>
          </w:tcPr>
          <w:p>
            <w:pPr>
              <w:spacing w:after="0"/>
              <w:rPr>
                <w:sz w:val="18"/>
                <w:szCs w:val="18"/>
                <w:color w:val="auto"/>
              </w:rPr>
            </w:pPr>
          </w:p>
        </w:tc>
        <w:tc>
          <w:tcPr>
            <w:tcW w:w="116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(3,373)</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Investing Activities</w:t>
            </w:r>
          </w:p>
        </w:tc>
        <w:tc>
          <w:tcPr>
            <w:tcW w:w="7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39,440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Financing Activities</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(7,210)</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(8,294)</w:t>
            </w:r>
          </w:p>
        </w:tc>
        <w:tc>
          <w:tcPr>
            <w:tcW w:w="0" w:type="dxa"/>
            <w:vAlign w:val="bottom"/>
          </w:tcPr>
          <w:p>
            <w:pPr>
              <w:spacing w:after="0"/>
              <w:rPr>
                <w:sz w:val="1"/>
                <w:szCs w:val="1"/>
                <w:color w:val="auto"/>
              </w:rPr>
            </w:pPr>
          </w:p>
        </w:tc>
      </w:tr>
      <w:tr>
        <w:trPr>
          <w:trHeight w:val="219"/>
        </w:trPr>
        <w:tc>
          <w:tcPr>
            <w:tcW w:w="6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Effects of Exchange Rate Changes on Cash, Restricted Cash and Cash Equivalents</w:t>
            </w:r>
          </w:p>
        </w:tc>
        <w:tc>
          <w:tcPr>
            <w:tcW w:w="7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60"/>
              <w:spacing w:after="0"/>
              <w:rPr>
                <w:sz w:val="20"/>
                <w:szCs w:val="20"/>
                <w:color w:val="auto"/>
              </w:rPr>
            </w:pPr>
            <w:r>
              <w:rPr>
                <w:rFonts w:ascii="Arial" w:cs="Arial" w:eastAsia="Arial" w:hAnsi="Arial"/>
                <w:sz w:val="16"/>
                <w:szCs w:val="16"/>
                <w:color w:val="auto"/>
              </w:rPr>
              <w:t>Net Increase in Cash, Restricted Cash and Cash Equivalents from Discontinued Operations</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Increase (Decrease) in Cash, Restricted Cash and Cash Equivalents</w:t>
            </w:r>
          </w:p>
        </w:tc>
        <w:tc>
          <w:tcPr>
            <w:tcW w:w="7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vMerge w:val="continue"/>
            <w:shd w:val="clear" w:color="auto" w:fill="CFF0FC"/>
          </w:tcPr>
          <w:p>
            <w:pPr>
              <w:spacing w:after="0"/>
              <w:rPr>
                <w:sz w:val="18"/>
                <w:szCs w:val="18"/>
                <w:color w:val="auto"/>
              </w:rPr>
            </w:pPr>
          </w:p>
        </w:tc>
        <w:tc>
          <w:tcPr>
            <w:tcW w:w="1800" w:type="dxa"/>
            <w:vAlign w:val="bottom"/>
            <w:gridSpan w:val="2"/>
            <w:shd w:val="clear" w:color="auto" w:fill="CFF0FC"/>
          </w:tcPr>
          <w:p>
            <w:pPr>
              <w:jc w:val="right"/>
              <w:ind w:right="859"/>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(1,309)</w:t>
            </w:r>
          </w:p>
        </w:tc>
        <w:tc>
          <w:tcPr>
            <w:tcW w:w="1160" w:type="dxa"/>
            <w:vAlign w:val="bottom"/>
            <w:gridSpan w:val="2"/>
            <w:shd w:val="clear" w:color="auto" w:fill="CFF0FC"/>
          </w:tcPr>
          <w:p>
            <w:pPr>
              <w:jc w:val="right"/>
              <w:ind w:right="960"/>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32,223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4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right="20" w:firstLine="749"/>
        <w:spacing w:after="0" w:line="297" w:lineRule="auto"/>
        <w:rPr>
          <w:sz w:val="20"/>
          <w:szCs w:val="20"/>
          <w:color w:val="auto"/>
        </w:rPr>
      </w:pPr>
      <w:r>
        <w:rPr>
          <w:rFonts w:ascii="Arial" w:cs="Arial" w:eastAsia="Arial" w:hAnsi="Arial"/>
          <w:sz w:val="19"/>
          <w:szCs w:val="19"/>
          <w:color w:val="auto"/>
        </w:rPr>
        <w:t>As of March 31, 2022, the Company held balances of cash, cash equivalents, restricted cash and construction reserve funds totaling $39.9 million compared to $71.8 million, of which $4.2 million was construction reserve funds held as cash. Additionally, the Company had $1.2 million available borrowing capacity under subsidiary credit facilities as of March 31, 2022.</w:t>
      </w:r>
    </w:p>
    <w:p>
      <w:pPr>
        <w:spacing w:after="0" w:line="101"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Operating Activities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Cash flows provided by continuing operating activities increased by $3.8 million in the Current Year Quarter compared with the Prior Year Quarter. The components of cash flows provided by and/or used in continuing operating activities during the Current Year Quarter and Prior Year Quarter were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8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72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top w:val="single" w:sz="8" w:color="auto"/>
              <w:bottom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FF0FC"/>
            </w:tcBorders>
          </w:tcPr>
          <w:p>
            <w:pPr>
              <w:spacing w:after="0"/>
              <w:rPr>
                <w:sz w:val="18"/>
                <w:szCs w:val="18"/>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DVP:</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United States, primarily Gulf of Mexico</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(90)</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(1,312)</w:t>
            </w: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Africa and Europe, Continuing Operations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3,934</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Middle East and Asia</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1,740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3,353</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Latin America</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4,230</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Operating, leased-in equipment</w:t>
            </w:r>
          </w:p>
        </w:tc>
        <w:tc>
          <w:tcPr>
            <w:tcW w:w="3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(543)</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(2,270)</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Administrative and general (excluding provisions for bad debts and amortization of share awards)</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(9,027)</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(7,476)</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SEACOR Holdings management and guarantee fees</w:t>
            </w:r>
          </w:p>
        </w:tc>
        <w:tc>
          <w:tcPr>
            <w:tcW w:w="34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(7)</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net (excluding non-cash losses)</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FF0FC"/>
          </w:tcPr>
          <w:p>
            <w:pPr>
              <w:spacing w:after="0"/>
              <w:rPr>
                <w:sz w:val="19"/>
                <w:szCs w:val="19"/>
                <w:color w:val="auto"/>
              </w:rPr>
            </w:pP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Dividends received from 50% or less owned companies</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w:t>
            </w:r>
          </w:p>
        </w:tc>
        <w:tc>
          <w:tcPr>
            <w:tcW w:w="28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r>
      <w:tr>
        <w:trPr>
          <w:trHeight w:val="213"/>
        </w:trPr>
        <w:tc>
          <w:tcPr>
            <w:tcW w:w="7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(2,750)</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621</w:t>
            </w:r>
          </w:p>
        </w:tc>
        <w:tc>
          <w:tcPr>
            <w:tcW w:w="120" w:type="dxa"/>
            <w:vAlign w:val="bottom"/>
            <w:shd w:val="clear" w:color="auto" w:fill="CFF0FC"/>
          </w:tcPr>
          <w:p>
            <w:pPr>
              <w:spacing w:after="0"/>
              <w:rPr>
                <w:sz w:val="18"/>
                <w:szCs w:val="18"/>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Changes in operating assets and liabilities before interest and income taxes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7,301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(11,458)</w:t>
            </w: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 vested</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(672)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(262)</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Cash settlements on derivative transactions, net</w:t>
            </w:r>
          </w:p>
        </w:tc>
        <w:tc>
          <w:tcPr>
            <w:tcW w:w="34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(373)</w:t>
            </w:r>
          </w:p>
        </w:tc>
        <w:tc>
          <w:tcPr>
            <w:tcW w:w="3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(919)</w:t>
            </w:r>
          </w:p>
        </w:tc>
      </w:tr>
      <w:tr>
        <w:trPr>
          <w:trHeight w:val="219"/>
        </w:trPr>
        <w:tc>
          <w:tcPr>
            <w:tcW w:w="772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Interest paid, excluding capitalized interest </w:t>
            </w:r>
            <w:r>
              <w:rPr>
                <w:rFonts w:ascii="Arial" w:cs="Arial" w:eastAsia="Arial" w:hAnsi="Arial"/>
                <w:sz w:val="25"/>
                <w:szCs w:val="25"/>
                <w:color w:val="auto"/>
                <w:vertAlign w:val="superscript"/>
              </w:rPr>
              <w:t>(1)</w:t>
            </w:r>
          </w:p>
        </w:tc>
        <w:tc>
          <w:tcPr>
            <w:tcW w:w="3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(3,099)</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(4,398)</w:t>
            </w: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Interest received</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986</w:t>
            </w:r>
          </w:p>
        </w:tc>
        <w:tc>
          <w:tcPr>
            <w:tcW w:w="120" w:type="dxa"/>
            <w:vAlign w:val="bottom"/>
          </w:tcPr>
          <w:p>
            <w:pPr>
              <w:spacing w:after="0"/>
              <w:rPr>
                <w:sz w:val="18"/>
                <w:szCs w:val="18"/>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Income taxes refunded, net</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12,057</w:t>
            </w:r>
          </w:p>
        </w:tc>
        <w:tc>
          <w:tcPr>
            <w:tcW w:w="120" w:type="dxa"/>
            <w:vAlign w:val="bottom"/>
            <w:shd w:val="clear" w:color="auto" w:fill="CFF0FC"/>
          </w:tcPr>
          <w:p>
            <w:pPr>
              <w:spacing w:after="0"/>
              <w:rPr>
                <w:sz w:val="19"/>
                <w:szCs w:val="19"/>
                <w:color w:val="auto"/>
              </w:rPr>
            </w:pPr>
          </w:p>
        </w:tc>
      </w:tr>
      <w:tr>
        <w:trPr>
          <w:trHeight w:val="207"/>
        </w:trPr>
        <w:tc>
          <w:tcPr>
            <w:tcW w:w="7720" w:type="dxa"/>
            <w:vAlign w:val="bottom"/>
          </w:tcPr>
          <w:p>
            <w:pPr>
              <w:spacing w:after="0"/>
              <w:rPr>
                <w:sz w:val="20"/>
                <w:szCs w:val="20"/>
                <w:color w:val="auto"/>
              </w:rPr>
            </w:pPr>
            <w:r>
              <w:rPr>
                <w:rFonts w:ascii="Arial" w:cs="Arial" w:eastAsia="Arial" w:hAnsi="Arial"/>
                <w:sz w:val="16"/>
                <w:szCs w:val="16"/>
                <w:color w:val="auto"/>
              </w:rPr>
              <w:t>Total cash flows provided by (used in) operating activities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436</w:t>
            </w:r>
          </w:p>
        </w:tc>
        <w:tc>
          <w:tcPr>
            <w:tcW w:w="280" w:type="dxa"/>
            <w:vAlign w:val="bottom"/>
          </w:tcPr>
          <w:p>
            <w:pPr>
              <w:spacing w:after="0"/>
              <w:rPr>
                <w:sz w:val="17"/>
                <w:szCs w:val="17"/>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(3,373)</w:t>
            </w:r>
          </w:p>
        </w:tc>
      </w:tr>
      <w:tr>
        <w:trPr>
          <w:trHeight w:val="20"/>
        </w:trPr>
        <w:tc>
          <w:tcPr>
            <w:tcW w:w="7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left="380" w:right="20" w:hanging="372"/>
        <w:spacing w:after="0" w:line="293" w:lineRule="auto"/>
        <w:tabs>
          <w:tab w:leader="none" w:pos="380" w:val="left"/>
        </w:tabs>
        <w:numPr>
          <w:ilvl w:val="0"/>
          <w:numId w:val="26"/>
        </w:numPr>
        <w:rPr>
          <w:rFonts w:ascii="Arial" w:cs="Arial" w:eastAsia="Arial" w:hAnsi="Arial"/>
          <w:sz w:val="15"/>
          <w:szCs w:val="15"/>
          <w:color w:val="auto"/>
        </w:rPr>
      </w:pPr>
      <w:r>
        <w:rPr>
          <w:rFonts w:ascii="Arial" w:cs="Arial" w:eastAsia="Arial" w:hAnsi="Arial"/>
          <w:sz w:val="16"/>
          <w:szCs w:val="16"/>
          <w:color w:val="auto"/>
        </w:rPr>
        <w:t>During the Current Year Quarter, the Company paid no capitalized interest. During the Prior Year Quarter, capitalized interest paid and included in purchases of property and equipment for continuing operations was $0.2 million.</w:t>
      </w:r>
    </w:p>
    <w:p>
      <w:pPr>
        <w:spacing w:after="0" w:line="133"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detailed discussion of the Company’s financial results for the reported periods, see “Consolidated Results of Operations” included above. Changes in operating assets and liabilities before interest and income taxes are the result of the Company’s working capital requirements.</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Investing Activities</w:t>
      </w:r>
    </w:p>
    <w:p>
      <w:pPr>
        <w:spacing w:after="0" w:line="17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22"/>
          <w:szCs w:val="22"/>
          <w:color w:val="auto"/>
        </w:rPr>
        <w:t>During the Current Year Quarter, net cash provided by investing activities was $5.5 million, primarily as a result of the following:</w:t>
      </w:r>
    </w:p>
    <w:p>
      <w:pPr>
        <w:spacing w:after="0" w:line="67" w:lineRule="exact"/>
        <w:rPr>
          <w:sz w:val="20"/>
          <w:szCs w:val="20"/>
          <w:color w:val="auto"/>
        </w:rPr>
      </w:pPr>
    </w:p>
    <w:p>
      <w:pPr>
        <w:ind w:left="1260" w:hanging="510"/>
        <w:spacing w:after="0"/>
        <w:tabs>
          <w:tab w:leader="none" w:pos="1260" w:val="left"/>
        </w:tabs>
        <w:numPr>
          <w:ilvl w:val="0"/>
          <w:numId w:val="27"/>
        </w:numPr>
        <w:rPr>
          <w:rFonts w:ascii="Arial" w:cs="Arial" w:eastAsia="Arial" w:hAnsi="Arial"/>
          <w:sz w:val="22"/>
          <w:szCs w:val="22"/>
          <w:color w:val="auto"/>
        </w:rPr>
      </w:pPr>
      <w:r>
        <w:rPr>
          <w:rFonts w:ascii="Arial" w:cs="Arial" w:eastAsia="Arial" w:hAnsi="Arial"/>
          <w:sz w:val="22"/>
          <w:szCs w:val="22"/>
          <w:color w:val="auto"/>
        </w:rPr>
        <w:t>capital expenditures were less than $0.1 million;</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6" w:right="339" w:bottom="1440" w:gutter="0" w:footer="0" w:header="0"/>
        </w:sectPr>
      </w:pPr>
    </w:p>
    <w:bookmarkStart w:id="38" w:name="page39"/>
    <w:bookmarkEnd w:id="38"/>
    <w:p>
      <w:pPr>
        <w:ind w:left="1260" w:hanging="510"/>
        <w:spacing w:after="0" w:line="250" w:lineRule="auto"/>
        <w:tabs>
          <w:tab w:leader="none" w:pos="12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Company sold one liftboat, which was previously removed from service, and office space for net cash proceeds of $5.3 million, after transaction costs, and a gain of $3.1 million; and</w:t>
      </w:r>
    </w:p>
    <w:p>
      <w:pPr>
        <w:spacing w:after="0" w:line="66" w:lineRule="exact"/>
        <w:rPr>
          <w:rFonts w:ascii="Arial" w:cs="Arial" w:eastAsia="Arial" w:hAnsi="Arial"/>
          <w:sz w:val="22"/>
          <w:szCs w:val="22"/>
          <w:color w:val="auto"/>
        </w:rPr>
      </w:pPr>
    </w:p>
    <w:p>
      <w:pPr>
        <w:ind w:left="1260" w:hanging="510"/>
        <w:spacing w:after="0" w:line="250" w:lineRule="auto"/>
        <w:tabs>
          <w:tab w:leader="none" w:pos="12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Company received $0.2 million from investments in, and advances to, its 50% or less owned companies for principal payments on notes.</w:t>
      </w:r>
    </w:p>
    <w:p>
      <w:pPr>
        <w:spacing w:after="0" w:line="134"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During the Prior Year Quarter, net cash provided by investing activities was $39.4 million, primarily as a result of the following:</w:t>
      </w:r>
    </w:p>
    <w:p>
      <w:pPr>
        <w:spacing w:after="0" w:line="67" w:lineRule="exact"/>
        <w:rPr>
          <w:sz w:val="20"/>
          <w:szCs w:val="20"/>
          <w:color w:val="auto"/>
        </w:rPr>
      </w:pPr>
    </w:p>
    <w:p>
      <w:pPr>
        <w:ind w:left="1260" w:hanging="510"/>
        <w:spacing w:after="0"/>
        <w:tabs>
          <w:tab w:leader="none" w:pos="12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capital expenditures were $2.7 million;</w:t>
      </w:r>
    </w:p>
    <w:p>
      <w:pPr>
        <w:spacing w:after="0" w:line="98" w:lineRule="exact"/>
        <w:rPr>
          <w:rFonts w:ascii="Arial" w:cs="Arial" w:eastAsia="Arial" w:hAnsi="Arial"/>
          <w:sz w:val="22"/>
          <w:szCs w:val="22"/>
          <w:color w:val="auto"/>
        </w:rPr>
      </w:pPr>
    </w:p>
    <w:p>
      <w:pPr>
        <w:ind w:left="1260" w:hanging="510"/>
        <w:spacing w:after="0" w:line="250" w:lineRule="auto"/>
        <w:tabs>
          <w:tab w:leader="none" w:pos="12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sold two FSVs, one PSV and other equipment for net proceeds of $1.6 million and received $1.7 million in deposits for the future sale of vessels;</w:t>
      </w:r>
    </w:p>
    <w:p>
      <w:pPr>
        <w:spacing w:after="0" w:line="66" w:lineRule="exact"/>
        <w:rPr>
          <w:rFonts w:ascii="Arial" w:cs="Arial" w:eastAsia="Arial" w:hAnsi="Arial"/>
          <w:sz w:val="22"/>
          <w:szCs w:val="22"/>
          <w:color w:val="auto"/>
        </w:rPr>
      </w:pPr>
    </w:p>
    <w:p>
      <w:pPr>
        <w:ind w:left="1260" w:right="20" w:hanging="510"/>
        <w:spacing w:after="0" w:line="326" w:lineRule="auto"/>
        <w:tabs>
          <w:tab w:leader="none" w:pos="12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Company completed the sale of Windcat Workboats for net proceeds of $38.7 million ($42.2 million cash, less $3.5 million cash held at Windcat Workboats that was included in the assets purchased by the Windcat Buyer);</w:t>
      </w:r>
    </w:p>
    <w:p>
      <w:pPr>
        <w:ind w:left="1260" w:hanging="510"/>
        <w:spacing w:after="0"/>
        <w:tabs>
          <w:tab w:leader="none" w:pos="1260"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Company made investments in, and advances to, its 50% or less owned companies of $0.7 million; and</w:t>
      </w:r>
    </w:p>
    <w:p>
      <w:pPr>
        <w:spacing w:after="0" w:line="109" w:lineRule="exact"/>
        <w:rPr>
          <w:rFonts w:ascii="Arial" w:cs="Arial" w:eastAsia="Arial" w:hAnsi="Arial"/>
          <w:sz w:val="21"/>
          <w:szCs w:val="21"/>
          <w:color w:val="auto"/>
        </w:rPr>
      </w:pPr>
    </w:p>
    <w:p>
      <w:pPr>
        <w:ind w:left="1260" w:hanging="510"/>
        <w:spacing w:after="0" w:line="250" w:lineRule="auto"/>
        <w:tabs>
          <w:tab w:leader="none" w:pos="12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received $0.9 million from investments in, and advances to, its 50% or less owned companies for principal payments on notes.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Financing Activities</w:t>
      </w:r>
    </w:p>
    <w:p>
      <w:pPr>
        <w:spacing w:after="0" w:line="17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During the Current Year Quarter, net cash used in financing activities was $7.2 million, primarily as a result of the following:</w:t>
      </w:r>
    </w:p>
    <w:p>
      <w:pPr>
        <w:spacing w:after="0" w:line="67" w:lineRule="exact"/>
        <w:rPr>
          <w:sz w:val="20"/>
          <w:szCs w:val="20"/>
          <w:color w:val="auto"/>
        </w:rPr>
      </w:pPr>
    </w:p>
    <w:p>
      <w:pPr>
        <w:ind w:left="1260" w:hanging="510"/>
        <w:spacing w:after="0"/>
        <w:tabs>
          <w:tab w:leader="none" w:pos="12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Company made scheduled payments on long-term debt and other obligations of $7.3 million; and</w:t>
      </w:r>
    </w:p>
    <w:p>
      <w:pPr>
        <w:spacing w:after="0" w:line="98" w:lineRule="exact"/>
        <w:rPr>
          <w:rFonts w:ascii="Arial" w:cs="Arial" w:eastAsia="Arial" w:hAnsi="Arial"/>
          <w:sz w:val="22"/>
          <w:szCs w:val="22"/>
          <w:color w:val="auto"/>
        </w:rPr>
      </w:pPr>
    </w:p>
    <w:p>
      <w:pPr>
        <w:ind w:left="1260" w:hanging="510"/>
        <w:spacing w:after="0"/>
        <w:tabs>
          <w:tab w:leader="none" w:pos="12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Company received $0.1 million proceeds from the exercise of stock options.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During the Prior Year Quarter, net cash used in financing activities was $8.3 million.</w:t>
      </w:r>
    </w:p>
    <w:p>
      <w:pPr>
        <w:spacing w:after="0" w:line="98" w:lineRule="exact"/>
        <w:rPr>
          <w:sz w:val="20"/>
          <w:szCs w:val="20"/>
          <w:color w:val="auto"/>
        </w:rPr>
      </w:pPr>
    </w:p>
    <w:p>
      <w:pPr>
        <w:ind w:left="1200" w:hanging="450"/>
        <w:spacing w:after="0"/>
        <w:tabs>
          <w:tab w:leader="none" w:pos="12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Company made scheduled payments on long-term debt and obligations of $8.3 million.</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Short and Long-Term Liquidity Requirements</w:t>
      </w:r>
    </w:p>
    <w:p>
      <w:pPr>
        <w:spacing w:after="0" w:line="185"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The Company believes that a combination of cash balances on hand, construction reserve funds, cash generated from operating activities, availability under existing subsidiary financing arrangements and access to the credit and capital markets will provide sufficient liquidity to meet its obligations, including to support its capital expenditures program, working capital needs, debt service requirements and covenant compliance over the short to medium term. The Company continually evaluates possible acquisitions and dispositions of certain businesses and assets. The Company’s sources of liquidity may be impacted by the general condition of the markets in which it operates and the broader economy as a whole, which may limit its access to the credit and capital markets on acceptable terms. Management continuously monitors the Company’s liquidity to ensure it is sufficient to meet its needs as well as to ensure compliance with covenants in its credit facilities.</w:t>
      </w:r>
    </w:p>
    <w:p>
      <w:pPr>
        <w:spacing w:after="0" w:line="117"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9"/>
          <w:szCs w:val="19"/>
          <w:color w:val="auto"/>
        </w:rPr>
        <w:t>While the COVID-19 pandemic initially reduced the demand for the Company’s products and services, the COVID-19 pandemic has not had a material impact on the Company’s liquidity or on the Company’s ability to meet its financial maintenance covenants in its various credit facilities. However, if the COVID-19 pandemic does not fully abate, new vaccine resistant strains appear, or certain countries implement new shutdowns, the effects of the pandemic on the Company's business may become more severe, for example by further reducing demand for the Company’s products and services or causing customers not to make their payments on time, and this may have a material impact on the Company.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5" w:right="339" w:bottom="1440" w:gutter="0" w:footer="0" w:header="0"/>
        </w:sectPr>
      </w:pPr>
    </w:p>
    <w:bookmarkStart w:id="39" w:name="page40"/>
    <w:bookmarkEnd w:id="39"/>
    <w:p>
      <w:pPr>
        <w:jc w:val="both"/>
        <w:ind w:firstLine="749"/>
        <w:spacing w:after="0" w:line="273" w:lineRule="auto"/>
        <w:rPr>
          <w:sz w:val="20"/>
          <w:szCs w:val="20"/>
          <w:color w:val="auto"/>
        </w:rPr>
      </w:pPr>
      <w:r>
        <w:rPr>
          <w:rFonts w:ascii="Arial" w:cs="Arial" w:eastAsia="Arial" w:hAnsi="Arial"/>
          <w:sz w:val="19"/>
          <w:szCs w:val="19"/>
          <w:color w:val="auto"/>
        </w:rPr>
        <w:t>The Company's primary credit facility requires the Company to maintain a minimum of $35.0 million of cash on hand (including restricted cash) at all times. As of March 31, 2022, the Company's cash balances used to test compliance with this covenant was $39.9 million. While the Company is currently in compliance with the minimum cash covenant, current and anticipated increases in business activity are expected to increase liquidity demands on the Company as the Company incurs upfront expenses preparing and positioning its equipment in response to improving market dynamics. The Company is currently engaged in advanced discussions with the lenders under this credit facility to reduce the minimum cash covenant and provide additional flexibility for the liquidity requirements of the Company. In the event that these negotiations are unsuccessful, the Company may be required to seek liquidity from other sources such as asset sales and capital market activity to ensure compliance with this covenant. Further, if significant events such as the COVID-19 pandemic or the Russia/Ukraine conflict result in a decrease in demand for the Company’s services, it may require us to negotiate with our lenders on this covenant.</w:t>
      </w:r>
    </w:p>
    <w:p>
      <w:pPr>
        <w:spacing w:after="0" w:line="12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Debt Securities and Credit Agreements</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For a discussion of the Company’s debt securities and credit agreements, see “Note 4. Long-Term Debt” in the unaudited consolidated financial statements included in Part I. Item 1. “Financial Statements” elsewhere in this Quarterly Report on Form 10-Q and in “Note 8. Long-Term Debt” in the Company’s audited consolidated financial statements included in its 2021 Annual Report.</w:t>
      </w:r>
    </w:p>
    <w:p>
      <w:pPr>
        <w:spacing w:after="0" w:line="138"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Future Cash Requirements</w:t>
      </w:r>
    </w:p>
    <w:p>
      <w:pPr>
        <w:spacing w:after="0" w:line="185"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future cash requirements, refer to “Management’s Discussion and Analysis of Financial Condition and Results of Operations - Liquidity and Capital Resources” in the Company’s 2021 Annual Report. There has been no material change in the Company’s future cash requirements.</w:t>
      </w:r>
    </w:p>
    <w:p>
      <w:pPr>
        <w:spacing w:after="0" w:line="140"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Contingencies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contingencies, see “Note 9. Commitments and Contingencies” in the unaudited consolidated financial statements included in Part I. Item 1. “Financial Statements” elsewhere in this Quarterly Report on Form 10-Q.</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t>ITEM 3.QUANTITATIVE AND QUALITATIVE DISCLOSURES ABOUT MARKET RISK</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discussion of the Company’s exposure to market risk, refer to “Quantitative and Qualitative Disclosures About Market Risk” included in the Company’s 2021 Annual Report. There has been no material change in the Company’s exposure to market risk during the three months ended March 31, 2022.</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17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9"/>
          <w:szCs w:val="19"/>
          <w:color w:val="auto"/>
        </w:rPr>
        <w:t>With the participation of the Company’s principal executive officer and principal financial officer, management evaluated the effectiveness of the Company’s disclosure controls and procedures (as defined in Rules 13a-15(e) and 15d-15(e) under the Exchange Act, as of March 31, 2022. Based on their evaluation, the Company’s principal executive officer and principal financial officer concluded that the Company’s disclosure controls and procedures were effective as of March 31, 2022 to provide reasonable assurance that information required to be disclosed by the Company in reports filed or submitted under the Exchange Act is (i) recorded, processed, summarized and reported within the time periods specified in the Securities and Exchange Commission's rules and forms and (ii) accumulated and communicated to the Company's management, including its Chief Executive Officer and Chief Financial Officer, as appropriate to allow timely decisions regarding required disclosure.</w:t>
      </w:r>
    </w:p>
    <w:p>
      <w:pPr>
        <w:spacing w:after="0" w:line="117" w:lineRule="exact"/>
        <w:rPr>
          <w:sz w:val="20"/>
          <w:szCs w:val="20"/>
          <w:color w:val="auto"/>
        </w:rPr>
      </w:pPr>
    </w:p>
    <w:p>
      <w:pPr>
        <w:jc w:val="both"/>
        <w:ind w:firstLine="749"/>
        <w:spacing w:after="0" w:line="245" w:lineRule="auto"/>
        <w:rPr>
          <w:sz w:val="20"/>
          <w:szCs w:val="20"/>
          <w:color w:val="auto"/>
        </w:rPr>
      </w:pPr>
      <w:r>
        <w:rPr>
          <w:rFonts w:ascii="Arial" w:cs="Arial" w:eastAsia="Arial" w:hAnsi="Arial"/>
          <w:sz w:val="21"/>
          <w:szCs w:val="21"/>
          <w:color w:val="auto"/>
        </w:rPr>
        <w:t>The Company’s disclosure controls and procedures have been designed to ensure that information required to be disclosed by the Company in the reports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the Company in the reports it files or submits under the Exchange Act is accumulated and communicated to the Company’s management, including its principal executive and principal financial officers, to allow timely decisions regarding required disclosures. All internal control systems, no matter how well designed, have inherent limitations. Therefore, even those internal control systems determined to be effective can provide only a level of reasonable assurance with respect to financial statement preparation and presentation.</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There have been no changes in the Company’s internal control over financial reporting (as defined in Rules 13a-15(f) and 15d-15(f) under the Exchange Act) that occurred during the Current Year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41" w:name="page42"/>
    <w:bookmarkEnd w:id="41"/>
    <w:p>
      <w:pPr>
        <w:spacing w:after="0"/>
        <w:rPr>
          <w:sz w:val="20"/>
          <w:szCs w:val="20"/>
          <w:color w:val="auto"/>
        </w:rPr>
      </w:pPr>
      <w:r>
        <w:rPr>
          <w:rFonts w:ascii="Arial" w:cs="Arial" w:eastAsia="Arial" w:hAnsi="Arial"/>
          <w:sz w:val="22"/>
          <w:szCs w:val="22"/>
          <w:b w:val="1"/>
          <w:bCs w:val="1"/>
          <w:color w:val="auto"/>
        </w:rPr>
        <w:t>PART II—OTHER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1.LEGAL PROCEEDINGS</w:t>
      </w:r>
    </w:p>
    <w:p>
      <w:pPr>
        <w:spacing w:after="0" w:line="172" w:lineRule="exact"/>
        <w:rPr>
          <w:sz w:val="20"/>
          <w:szCs w:val="20"/>
          <w:color w:val="auto"/>
        </w:rPr>
      </w:pPr>
    </w:p>
    <w:p>
      <w:pPr>
        <w:jc w:val="both"/>
        <w:ind w:firstLine="749"/>
        <w:spacing w:after="0"/>
        <w:rPr>
          <w:sz w:val="20"/>
          <w:szCs w:val="20"/>
          <w:color w:val="auto"/>
        </w:rPr>
      </w:pPr>
      <w:r>
        <w:rPr>
          <w:rFonts w:ascii="Arial" w:cs="Arial" w:eastAsia="Arial" w:hAnsi="Arial"/>
          <w:sz w:val="22"/>
          <w:szCs w:val="22"/>
          <w:color w:val="auto"/>
        </w:rPr>
        <w:t>For a description of developments with respect to pending legal proceedings described in the Company’s 2021 Annual Report, see “Note 9. Commitments and Contingencies” included in Part I. Item 1. “Financial Statements” elsewhere in this Quarterly Report on Form 10-Q.</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1A.RISK FACTORS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For a discussion of the Company’s risk factors, refer to “Risk Factors” included in the Company’s 2021 Annual Report.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There have been no material changes in the Company’s risk factors during the Current Three Months.</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2.UNREGISTERED SALES OF EQUITY SECURITIES AND USE OF PROCEEDS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(a), (b) None.</w:t>
      </w:r>
    </w:p>
    <w:p>
      <w:pPr>
        <w:spacing w:after="0" w:line="112" w:lineRule="exact"/>
        <w:rPr>
          <w:sz w:val="20"/>
          <w:szCs w:val="20"/>
          <w:color w:val="auto"/>
        </w:rPr>
      </w:pPr>
    </w:p>
    <w:p>
      <w:pPr>
        <w:ind w:left="1260" w:hanging="510"/>
        <w:spacing w:after="0" w:line="250" w:lineRule="auto"/>
        <w:tabs>
          <w:tab w:leader="none" w:pos="12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This table provides information with respect to purchases by the Company of shares of its Common Stock during the Current Quarter: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Total Number of</w:t>
            </w: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6"/>
              </w:rPr>
              <w:t>Maximum Number</w:t>
            </w:r>
          </w:p>
        </w:tc>
      </w:tr>
      <w:tr>
        <w:trPr>
          <w:trHeight w:val="203"/>
        </w:trPr>
        <w:tc>
          <w:tcPr>
            <w:tcW w:w="36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Shares Purchased</w:t>
            </w: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of Shares that may</w:t>
            </w:r>
          </w:p>
        </w:tc>
      </w:tr>
      <w:tr>
        <w:trPr>
          <w:trHeight w:val="203"/>
        </w:trPr>
        <w:tc>
          <w:tcPr>
            <w:tcW w:w="3660" w:type="dxa"/>
            <w:vAlign w:val="bottom"/>
          </w:tcPr>
          <w:p>
            <w:pPr>
              <w:spacing w:after="0"/>
              <w:rPr>
                <w:sz w:val="17"/>
                <w:szCs w:val="17"/>
                <w:color w:val="auto"/>
              </w:rPr>
            </w:pPr>
          </w:p>
        </w:tc>
        <w:tc>
          <w:tcPr>
            <w:tcW w:w="194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 Number of</w:t>
            </w:r>
          </w:p>
        </w:tc>
        <w:tc>
          <w:tcPr>
            <w:tcW w:w="1920" w:type="dxa"/>
            <w:vAlign w:val="bottom"/>
            <w:gridSpan w:val="2"/>
          </w:tcPr>
          <w:p>
            <w:pPr>
              <w:ind w:left="180"/>
              <w:spacing w:after="0"/>
              <w:rPr>
                <w:sz w:val="20"/>
                <w:szCs w:val="20"/>
                <w:color w:val="auto"/>
              </w:rPr>
            </w:pPr>
            <w:r>
              <w:rPr>
                <w:rFonts w:ascii="Arial" w:cs="Arial" w:eastAsia="Arial" w:hAnsi="Arial"/>
                <w:sz w:val="16"/>
                <w:szCs w:val="16"/>
                <w:b w:val="1"/>
                <w:bCs w:val="1"/>
                <w:color w:val="auto"/>
              </w:rPr>
              <w:t>Average Price per</w:t>
            </w:r>
          </w:p>
        </w:tc>
        <w:tc>
          <w:tcPr>
            <w:tcW w:w="19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as Part of a Publicly</w:t>
            </w:r>
          </w:p>
        </w:tc>
        <w:tc>
          <w:tcPr>
            <w:tcW w:w="17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be Purchased Under</w:t>
            </w:r>
          </w:p>
        </w:tc>
      </w:tr>
      <w:tr>
        <w:trPr>
          <w:trHeight w:val="213"/>
        </w:trPr>
        <w:tc>
          <w:tcPr>
            <w:tcW w:w="366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Shares Withheld</w:t>
            </w:r>
          </w:p>
        </w:tc>
        <w:tc>
          <w:tcPr>
            <w:tcW w:w="30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Share</w:t>
            </w:r>
          </w:p>
        </w:tc>
        <w:tc>
          <w:tcPr>
            <w:tcW w:w="280" w:type="dxa"/>
            <w:vAlign w:val="bottom"/>
            <w:tcBorders>
              <w:bottom w:val="single" w:sz="8" w:color="CFF0FC"/>
            </w:tcBorders>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Announced Plan</w:t>
            </w:r>
          </w:p>
        </w:tc>
        <w:tc>
          <w:tcPr>
            <w:tcW w:w="300" w:type="dxa"/>
            <w:vAlign w:val="bottom"/>
            <w:tcBorders>
              <w:bottom w:val="single" w:sz="8" w:color="CFF0FC"/>
            </w:tcBorders>
          </w:tcPr>
          <w:p>
            <w:pPr>
              <w:spacing w:after="0"/>
              <w:rPr>
                <w:sz w:val="18"/>
                <w:szCs w:val="18"/>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the Plan</w:t>
            </w:r>
          </w:p>
        </w:tc>
        <w:tc>
          <w:tcPr>
            <w:tcW w:w="120" w:type="dxa"/>
            <w:vAlign w:val="bottom"/>
            <w:tcBorders>
              <w:bottom w:val="single" w:sz="8" w:color="CFF0FC"/>
            </w:tcBorders>
          </w:tcPr>
          <w:p>
            <w:pPr>
              <w:spacing w:after="0"/>
              <w:rPr>
                <w:sz w:val="18"/>
                <w:szCs w:val="18"/>
                <w:color w:val="auto"/>
              </w:rPr>
            </w:pPr>
          </w:p>
        </w:tc>
      </w:tr>
      <w:tr>
        <w:trPr>
          <w:trHeight w:val="20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January 1, 2022 to January 31, 2022</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ind w:left="148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ind w:left="146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8"/>
                <w:szCs w:val="18"/>
                <w:color w:val="auto"/>
              </w:rPr>
            </w:pPr>
          </w:p>
        </w:tc>
      </w:tr>
      <w:tr>
        <w:trPr>
          <w:trHeight w:val="236"/>
        </w:trPr>
        <w:tc>
          <w:tcPr>
            <w:tcW w:w="3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February 1, 2022 to February 28, 2022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20"/>
                <w:szCs w:val="20"/>
                <w:color w:val="auto"/>
              </w:rPr>
            </w:pPr>
          </w:p>
        </w:tc>
        <w:tc>
          <w:tcPr>
            <w:tcW w:w="1660" w:type="dxa"/>
            <w:vAlign w:val="bottom"/>
            <w:tcBorders>
              <w:bottom w:val="single" w:sz="8" w:color="auto"/>
            </w:tcBorders>
          </w:tcPr>
          <w:p>
            <w:pPr>
              <w:ind w:left="1480"/>
              <w:spacing w:after="0"/>
              <w:rPr>
                <w:sz w:val="20"/>
                <w:szCs w:val="20"/>
                <w:color w:val="auto"/>
              </w:rPr>
            </w:pPr>
            <w:r>
              <w:rPr>
                <w:rFonts w:ascii="Arial" w:cs="Arial" w:eastAsia="Arial" w:hAnsi="Arial"/>
                <w:sz w:val="16"/>
                <w:szCs w:val="16"/>
                <w:color w:val="auto"/>
                <w:w w:val="99"/>
              </w:rPr>
              <w:t>—</w:t>
            </w:r>
          </w:p>
        </w:tc>
        <w:tc>
          <w:tcPr>
            <w:tcW w:w="300" w:type="dxa"/>
            <w:vAlign w:val="bottom"/>
            <w:tcBorders>
              <w:bottom w:val="single" w:sz="8" w:color="CFF0FC"/>
            </w:tcBorders>
          </w:tcPr>
          <w:p>
            <w:pPr>
              <w:spacing w:after="0"/>
              <w:rPr>
                <w:sz w:val="20"/>
                <w:szCs w:val="20"/>
                <w:color w:val="auto"/>
              </w:rPr>
            </w:pPr>
          </w:p>
        </w:tc>
        <w:tc>
          <w:tcPr>
            <w:tcW w:w="1640" w:type="dxa"/>
            <w:vAlign w:val="bottom"/>
            <w:tcBorders>
              <w:bottom w:val="single" w:sz="8" w:color="auto"/>
            </w:tcBorders>
          </w:tcPr>
          <w:p>
            <w:pPr>
              <w:ind w:left="1460"/>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FF0FC"/>
            </w:tcBorders>
          </w:tcPr>
          <w:p>
            <w:pPr>
              <w:spacing w:after="0"/>
              <w:rPr>
                <w:sz w:val="20"/>
                <w:szCs w:val="20"/>
                <w:color w:val="auto"/>
              </w:rPr>
            </w:pPr>
          </w:p>
        </w:tc>
      </w:tr>
      <w:tr>
        <w:trPr>
          <w:trHeight w:val="240"/>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March 1, 2022 to March 31, 2022</w:t>
            </w: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114,251</w:t>
            </w:r>
          </w:p>
        </w:tc>
        <w:tc>
          <w:tcPr>
            <w:tcW w:w="300" w:type="dxa"/>
            <w:vAlign w:val="bottom"/>
            <w:shd w:val="clear" w:color="auto" w:fill="CFF0FC"/>
          </w:tcPr>
          <w:p>
            <w:pPr>
              <w:spacing w:after="0"/>
              <w:rPr>
                <w:sz w:val="20"/>
                <w:szCs w:val="20"/>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w:t>
            </w:r>
          </w:p>
        </w:tc>
        <w:tc>
          <w:tcPr>
            <w:tcW w:w="28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ind w:left="1480"/>
              <w:spacing w:after="0"/>
              <w:rPr>
                <w:sz w:val="20"/>
                <w:szCs w:val="20"/>
                <w:color w:val="auto"/>
              </w:rPr>
            </w:pPr>
            <w:r>
              <w:rPr>
                <w:rFonts w:ascii="Arial" w:cs="Arial" w:eastAsia="Arial" w:hAnsi="Arial"/>
                <w:sz w:val="16"/>
                <w:szCs w:val="16"/>
                <w:color w:val="auto"/>
              </w:rPr>
              <w:t>—</w:t>
            </w:r>
          </w:p>
        </w:tc>
        <w:tc>
          <w:tcPr>
            <w:tcW w:w="1760" w:type="dxa"/>
            <w:vAlign w:val="bottom"/>
            <w:gridSpan w:val="2"/>
            <w:shd w:val="clear" w:color="auto" w:fill="CFF0FC"/>
          </w:tcPr>
          <w:p>
            <w:pPr>
              <w:ind w:left="1460"/>
              <w:spacing w:after="0"/>
              <w:rPr>
                <w:sz w:val="20"/>
                <w:szCs w:val="20"/>
                <w:color w:val="auto"/>
              </w:rPr>
            </w:pPr>
            <w:r>
              <w:rPr>
                <w:rFonts w:ascii="Arial" w:cs="Arial" w:eastAsia="Arial" w:hAnsi="Arial"/>
                <w:sz w:val="16"/>
                <w:szCs w:val="16"/>
                <w:color w:val="auto"/>
              </w:rPr>
              <w:t>—</w:t>
            </w:r>
          </w:p>
        </w:tc>
      </w:tr>
    </w:tbl>
    <w:p>
      <w:pPr>
        <w:spacing w:after="0" w:line="195"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22"/>
          <w:szCs w:val="22"/>
          <w:color w:val="auto"/>
        </w:rPr>
        <w:t>For the three months ended March 31, 2022, the Company acquired for treasury 114,251 shares of Common Stock for an aggregate purchase price of $671,796 from its employees to cover their tax withholding obligations upon the lapsing of restrictions on share awards. These shares were purchased in accordance with the terms of the Company’s 2017 Equity Incentive Plan or 2020 Equity Incentive Plan, as applicable.</w:t>
      </w:r>
    </w:p>
    <w:p>
      <w:pPr>
        <w:spacing w:after="0" w:line="179"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1"/>
          <w:szCs w:val="21"/>
          <w:b w:val="1"/>
          <w:bCs w:val="1"/>
          <w:color w:val="auto"/>
        </w:rPr>
        <w:t>DEFAULT UPON SENIOR SECURITIES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None.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4.MINE SAFETY DISCLOSURES</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5.OTHER INFORMATION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42" w:name="page43"/>
    <w:bookmarkEnd w:id="42"/>
    <w:p>
      <w:pPr>
        <w:spacing w:after="0"/>
        <w:rPr>
          <w:sz w:val="20"/>
          <w:szCs w:val="20"/>
          <w:color w:val="auto"/>
        </w:rPr>
      </w:pPr>
      <w:r>
        <w:rPr>
          <w:rFonts w:ascii="Arial" w:cs="Arial" w:eastAsia="Arial" w:hAnsi="Arial"/>
          <w:sz w:val="22"/>
          <w:szCs w:val="22"/>
          <w:b w:val="1"/>
          <w:bCs w:val="1"/>
          <w:color w:val="auto"/>
        </w:rPr>
        <w:t>ITEM 6.EXHIBITS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31.1</w:t>
            </w:r>
          </w:p>
        </w:tc>
        <w:tc>
          <w:tcPr>
            <w:tcW w:w="936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45">
              <w:r>
                <w:rPr>
                  <w:rFonts w:ascii="Arial" w:cs="Arial" w:eastAsia="Arial" w:hAnsi="Arial"/>
                  <w:sz w:val="18"/>
                  <w:szCs w:val="18"/>
                  <w:color w:val="0000EE"/>
                  <w:w w:val="91"/>
                </w:rPr>
                <w:t>Certification by the Principal Executive Officer pursuant to Rule 13a-14(a) and Rule 15d-14(a) of the Securities Exchange Act, as</w:t>
              </w:r>
            </w:hyperlink>
          </w:p>
        </w:tc>
        <w:tc>
          <w:tcPr>
            <w:tcW w:w="68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5">
              <w:r>
                <w:rPr>
                  <w:rFonts w:ascii="Arial" w:cs="Arial" w:eastAsia="Arial" w:hAnsi="Arial"/>
                  <w:sz w:val="18"/>
                  <w:szCs w:val="18"/>
                  <w:color w:val="0000EE"/>
                  <w:w w:val="84"/>
                </w:rPr>
                <w:t>amended.</w:t>
              </w:r>
            </w:hyperlink>
          </w:p>
        </w:tc>
        <w:tc>
          <w:tcPr>
            <w:tcW w:w="9340" w:type="dxa"/>
            <w:vAlign w:val="bottom"/>
            <w:gridSpan w:val="2"/>
          </w:tcPr>
          <w:p>
            <w:pPr>
              <w:spacing w:after="0"/>
              <w:rPr>
                <w:sz w:val="17"/>
                <w:szCs w:val="17"/>
                <w:color w:val="auto"/>
              </w:rPr>
            </w:pPr>
          </w:p>
        </w:tc>
      </w:tr>
      <w:tr>
        <w:trPr>
          <w:trHeight w:val="344"/>
        </w:trPr>
        <w:tc>
          <w:tcPr>
            <w:tcW w:w="1160" w:type="dxa"/>
            <w:vAlign w:val="bottom"/>
          </w:tcPr>
          <w:p>
            <w:pPr>
              <w:jc w:val="right"/>
              <w:ind w:right="750"/>
              <w:spacing w:after="0"/>
              <w:rPr>
                <w:sz w:val="20"/>
                <w:szCs w:val="20"/>
                <w:color w:val="auto"/>
              </w:rPr>
            </w:pPr>
            <w:r>
              <w:rPr>
                <w:rFonts w:ascii="Arial" w:cs="Arial" w:eastAsia="Arial" w:hAnsi="Arial"/>
                <w:sz w:val="18"/>
                <w:szCs w:val="18"/>
                <w:color w:val="auto"/>
                <w:w w:val="85"/>
              </w:rPr>
              <w:t>31.2</w:t>
            </w:r>
          </w:p>
        </w:tc>
        <w:tc>
          <w:tcPr>
            <w:tcW w:w="100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Certification by the Principal Financial Officer pursuant to Rule 13a-14(a) and Rule 15d-14(a) of the Securities Exchange Act, as amended.</w:t>
              </w:r>
            </w:hyperlink>
          </w:p>
        </w:tc>
      </w:tr>
    </w:tbl>
    <w:p>
      <w:pPr>
        <w:spacing w:after="0" w:line="161" w:lineRule="exact"/>
        <w:rPr>
          <w:sz w:val="20"/>
          <w:szCs w:val="20"/>
          <w:color w:val="auto"/>
        </w:rPr>
      </w:pPr>
    </w:p>
    <w:p>
      <w:pPr>
        <w:ind w:left="1160" w:right="340" w:hanging="1152"/>
        <w:spacing w:after="0" w:line="277" w:lineRule="auto"/>
        <w:tabs>
          <w:tab w:leader="none" w:pos="1160" w:val="left"/>
        </w:tabs>
        <w:numPr>
          <w:ilvl w:val="0"/>
          <w:numId w:val="33"/>
        </w:numPr>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Certification by the Principal Executive Officer and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47">
        <w:r>
          <w:rPr>
            <w:rFonts w:ascii="Arial" w:cs="Arial" w:eastAsia="Arial" w:hAnsi="Arial"/>
            <w:sz w:val="18"/>
            <w:szCs w:val="18"/>
            <w:u w:val="single" w:color="auto"/>
            <w:color w:val="0000EE"/>
          </w:rPr>
          <w:t>Section 906 of the Sarbanes-Oxley Act of 2002.</w:t>
        </w:r>
      </w:hyperlink>
    </w:p>
    <w:p>
      <w:pPr>
        <w:sectPr>
          <w:pgSz w:w="11900" w:h="16838" w:orient="portrait"/>
          <w:cols w:equalWidth="0" w:num="1">
            <w:col w:w="11240"/>
          </w:cols>
          <w:pgMar w:left="320" w:top="571" w:right="339" w:bottom="1440" w:gutter="0" w:footer="0" w:header="0"/>
        </w:sectPr>
      </w:pPr>
    </w:p>
    <w:p>
      <w:pPr>
        <w:spacing w:after="0" w:line="10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101.INS**</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83" w:lineRule="exact"/>
        <w:rPr>
          <w:rFonts w:ascii="Arial" w:cs="Arial" w:eastAsia="Arial" w:hAnsi="Arial"/>
          <w:sz w:val="18"/>
          <w:szCs w:val="18"/>
          <w:color w:val="auto"/>
        </w:rPr>
      </w:pPr>
    </w:p>
    <w:p>
      <w:pPr>
        <w:ind w:right="20"/>
        <w:spacing w:after="0" w:line="277" w:lineRule="auto"/>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 embedded within the Inline XBRL document.</w:t>
      </w:r>
    </w:p>
    <w:p>
      <w:pPr>
        <w:spacing w:after="0" w:line="103" w:lineRule="exact"/>
        <w:rPr>
          <w:rFonts w:ascii="Arial" w:cs="Arial" w:eastAsia="Arial" w:hAnsi="Arial"/>
          <w:sz w:val="18"/>
          <w:szCs w:val="18"/>
          <w:color w:val="auto"/>
        </w:rPr>
      </w:pPr>
    </w:p>
    <w:p>
      <w:pPr>
        <w:sectPr>
          <w:pgSz w:w="11900" w:h="16838" w:orient="portrait"/>
          <w:cols w:equalWidth="0" w:num="2">
            <w:col w:w="800" w:space="360"/>
            <w:col w:w="10080"/>
          </w:cols>
          <w:pgMar w:left="320" w:top="571"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101.SCH**</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Schema</w:t>
      </w:r>
    </w:p>
    <w:p>
      <w:pPr>
        <w:spacing w:after="0" w:line="180" w:lineRule="exact"/>
        <w:rPr>
          <w:rFonts w:ascii="Arial" w:cs="Arial" w:eastAsia="Arial" w:hAnsi="Arial"/>
          <w:sz w:val="18"/>
          <w:szCs w:val="18"/>
          <w:color w:val="auto"/>
        </w:rPr>
      </w:pPr>
    </w:p>
    <w:p>
      <w:pPr>
        <w:sectPr>
          <w:pgSz w:w="11900" w:h="16838" w:orient="portrait"/>
          <w:cols w:equalWidth="0" w:num="2">
            <w:col w:w="860" w:space="300"/>
            <w:col w:w="10080"/>
          </w:cols>
          <w:pgMar w:left="320" w:top="571" w:right="339" w:bottom="1440" w:gutter="0" w:footer="0" w:header="0"/>
          <w:type w:val="continuous"/>
        </w:sectPr>
      </w:pPr>
    </w:p>
    <w:p>
      <w:pPr>
        <w:spacing w:after="0"/>
        <w:rPr>
          <w:sz w:val="20"/>
          <w:szCs w:val="20"/>
          <w:color w:val="auto"/>
        </w:rPr>
      </w:pPr>
      <w:r>
        <w:rPr>
          <w:rFonts w:ascii="Arial" w:cs="Arial" w:eastAsia="Arial" w:hAnsi="Arial"/>
          <w:sz w:val="18"/>
          <w:szCs w:val="18"/>
          <w:color w:val="auto"/>
        </w:rPr>
        <w:t>101.CAL**</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Calculation Linkbase</w:t>
      </w:r>
    </w:p>
    <w:p>
      <w:pPr>
        <w:spacing w:after="0" w:line="180" w:lineRule="exact"/>
        <w:rPr>
          <w:rFonts w:ascii="Arial" w:cs="Arial" w:eastAsia="Arial" w:hAnsi="Arial"/>
          <w:sz w:val="18"/>
          <w:szCs w:val="18"/>
          <w:color w:val="auto"/>
        </w:rPr>
      </w:pPr>
    </w:p>
    <w:p>
      <w:pPr>
        <w:sectPr>
          <w:pgSz w:w="11900" w:h="16838" w:orient="portrait"/>
          <w:cols w:equalWidth="0" w:num="2">
            <w:col w:w="860" w:space="300"/>
            <w:col w:w="10080"/>
          </w:cols>
          <w:pgMar w:left="320" w:top="571"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101.DEF**</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Definition Linkbase</w:t>
      </w:r>
    </w:p>
    <w:p>
      <w:pPr>
        <w:spacing w:after="0" w:line="180" w:lineRule="exact"/>
        <w:rPr>
          <w:rFonts w:ascii="Arial" w:cs="Arial" w:eastAsia="Arial" w:hAnsi="Arial"/>
          <w:sz w:val="18"/>
          <w:szCs w:val="18"/>
          <w:color w:val="auto"/>
        </w:rPr>
      </w:pPr>
    </w:p>
    <w:p>
      <w:pPr>
        <w:sectPr>
          <w:pgSz w:w="11900" w:h="16838" w:orient="portrait"/>
          <w:cols w:equalWidth="0" w:num="2">
            <w:col w:w="840" w:space="320"/>
            <w:col w:w="10080"/>
          </w:cols>
          <w:pgMar w:left="320" w:top="571" w:right="339" w:bottom="1440" w:gutter="0" w:footer="0" w:header="0"/>
          <w:type w:val="continuous"/>
        </w:sectPr>
      </w:pPr>
    </w:p>
    <w:p>
      <w:pPr>
        <w:spacing w:after="0"/>
        <w:rPr>
          <w:sz w:val="20"/>
          <w:szCs w:val="20"/>
          <w:color w:val="auto"/>
        </w:rPr>
      </w:pPr>
      <w:r>
        <w:rPr>
          <w:rFonts w:ascii="Arial" w:cs="Arial" w:eastAsia="Arial" w:hAnsi="Arial"/>
          <w:sz w:val="18"/>
          <w:szCs w:val="18"/>
          <w:color w:val="auto"/>
        </w:rPr>
        <w:t>101.LAB**</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Label Linkbase</w:t>
      </w:r>
    </w:p>
    <w:p>
      <w:pPr>
        <w:spacing w:after="0" w:line="180" w:lineRule="exact"/>
        <w:rPr>
          <w:rFonts w:ascii="Arial" w:cs="Arial" w:eastAsia="Arial" w:hAnsi="Arial"/>
          <w:sz w:val="18"/>
          <w:szCs w:val="18"/>
          <w:color w:val="auto"/>
        </w:rPr>
      </w:pPr>
    </w:p>
    <w:p>
      <w:pPr>
        <w:sectPr>
          <w:pgSz w:w="11900" w:h="16838" w:orient="portrait"/>
          <w:cols w:equalWidth="0" w:num="2">
            <w:col w:w="860" w:space="300"/>
            <w:col w:w="10080"/>
          </w:cols>
          <w:pgMar w:left="320" w:top="571" w:right="339" w:bottom="1440" w:gutter="0" w:footer="0" w:header="0"/>
          <w:type w:val="continuous"/>
        </w:sectPr>
      </w:pPr>
    </w:p>
    <w:p>
      <w:pPr>
        <w:spacing w:after="0"/>
        <w:rPr>
          <w:sz w:val="20"/>
          <w:szCs w:val="20"/>
          <w:color w:val="auto"/>
        </w:rPr>
      </w:pPr>
      <w:r>
        <w:rPr>
          <w:rFonts w:ascii="Arial" w:cs="Arial" w:eastAsia="Arial" w:hAnsi="Arial"/>
          <w:sz w:val="17"/>
          <w:szCs w:val="17"/>
          <w:color w:val="auto"/>
        </w:rPr>
        <w:t>101.PRE**</w:t>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rPr>
          <w:sz w:val="20"/>
          <w:szCs w:val="20"/>
          <w:color w:val="auto"/>
        </w:rPr>
      </w:pPr>
      <w:r>
        <w:rPr>
          <w:rFonts w:ascii="Arial" w:cs="Arial" w:eastAsia="Arial" w:hAnsi="Arial"/>
          <w:sz w:val="16"/>
          <w:szCs w:val="16"/>
          <w:color w:val="auto"/>
        </w:rPr>
        <w:t>Inline XBRL Taxonomy Extension Presentation Linkbase</w:t>
      </w:r>
    </w:p>
    <w:p>
      <w:pPr>
        <w:spacing w:after="0" w:line="180" w:lineRule="exact"/>
        <w:rPr>
          <w:rFonts w:ascii="Arial" w:cs="Arial" w:eastAsia="Arial" w:hAnsi="Arial"/>
          <w:sz w:val="18"/>
          <w:szCs w:val="18"/>
          <w:color w:val="auto"/>
        </w:rPr>
      </w:pPr>
    </w:p>
    <w:p>
      <w:pPr>
        <w:sectPr>
          <w:pgSz w:w="11900" w:h="16838" w:orient="portrait"/>
          <w:cols w:equalWidth="0" w:num="2">
            <w:col w:w="840" w:space="320"/>
            <w:col w:w="10080"/>
          </w:cols>
          <w:pgMar w:left="320" w:top="571" w:right="339" w:bottom="1440" w:gutter="0" w:footer="0" w:header="0"/>
          <w:type w:val="continuous"/>
        </w:sectPr>
      </w:pPr>
    </w:p>
    <w:p>
      <w:pPr>
        <w:ind w:left="1160" w:right="400" w:hanging="1152"/>
        <w:spacing w:after="0" w:line="277"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cover page for the Company’s Quarterly Report on Form 10-Q for the quarter ended March 31, 2022, has been formatted in Inline XBRL.</w:t>
      </w:r>
    </w:p>
    <w:p>
      <w:pPr>
        <w:spacing w:after="0" w:line="373" w:lineRule="exact"/>
        <w:rPr>
          <w:rFonts w:ascii="Arial" w:cs="Arial" w:eastAsia="Arial" w:hAnsi="Arial"/>
          <w:sz w:val="18"/>
          <w:szCs w:val="18"/>
          <w:color w:val="auto"/>
        </w:rPr>
      </w:pPr>
    </w:p>
    <w:p>
      <w:pPr>
        <w:ind w:left="380" w:hanging="372"/>
        <w:spacing w:after="0" w:line="342" w:lineRule="auto"/>
        <w:tabs>
          <w:tab w:leader="none" w:pos="3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spacing w:after="0" w:line="373"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type w:val="continuous"/>
        </w:sectPr>
      </w:pPr>
    </w:p>
    <w:bookmarkStart w:id="43" w:name="page44"/>
    <w:bookmarkEnd w:id="43"/>
    <w:p>
      <w:pPr>
        <w:jc w:val="center"/>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140" w:type="dxa"/>
        <w:tblCellMar>
          <w:top w:w="0" w:type="dxa"/>
          <w:left w:w="0" w:type="dxa"/>
          <w:bottom w:w="0" w:type="dxa"/>
          <w:right w:w="0" w:type="dxa"/>
        </w:tblCellMar>
      </w:tblPr>
      <w:tr>
        <w:trPr>
          <w:trHeight w:val="253"/>
        </w:trPr>
        <w:tc>
          <w:tcPr>
            <w:tcW w:w="56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SEACOR Marine Holdings Inc.</w:t>
            </w:r>
          </w:p>
        </w:tc>
      </w:tr>
      <w:tr>
        <w:trPr>
          <w:trHeight w:val="274"/>
        </w:trPr>
        <w:tc>
          <w:tcPr>
            <w:tcW w:w="56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color w:val="auto"/>
              </w:rPr>
              <w:t>(Registrant)</w:t>
            </w:r>
          </w:p>
        </w:tc>
      </w:tr>
      <w:tr>
        <w:trPr>
          <w:trHeight w:val="476"/>
        </w:trPr>
        <w:tc>
          <w:tcPr>
            <w:tcW w:w="560" w:type="dxa"/>
            <w:vAlign w:val="bottom"/>
          </w:tcPr>
          <w:p>
            <w:pPr>
              <w:spacing w:after="0"/>
              <w:rPr>
                <w:sz w:val="20"/>
                <w:szCs w:val="20"/>
                <w:color w:val="auto"/>
              </w:rPr>
            </w:pPr>
            <w:r>
              <w:rPr>
                <w:rFonts w:ascii="Arial" w:cs="Arial" w:eastAsia="Arial" w:hAnsi="Arial"/>
                <w:sz w:val="22"/>
                <w:szCs w:val="22"/>
                <w:color w:val="auto"/>
              </w:rPr>
              <w:t>Date:</w:t>
            </w:r>
          </w:p>
        </w:tc>
        <w:tc>
          <w:tcPr>
            <w:tcW w:w="3820" w:type="dxa"/>
            <w:vAlign w:val="bottom"/>
          </w:tcPr>
          <w:p>
            <w:pPr>
              <w:ind w:left="100"/>
              <w:spacing w:after="0"/>
              <w:rPr>
                <w:sz w:val="20"/>
                <w:szCs w:val="20"/>
                <w:color w:val="auto"/>
              </w:rPr>
            </w:pPr>
            <w:r>
              <w:rPr>
                <w:rFonts w:ascii="Arial" w:cs="Arial" w:eastAsia="Arial" w:hAnsi="Arial"/>
                <w:sz w:val="22"/>
                <w:szCs w:val="22"/>
                <w:color w:val="auto"/>
              </w:rPr>
              <w:t>May 4, 2022</w:t>
            </w:r>
          </w:p>
        </w:tc>
        <w:tc>
          <w:tcPr>
            <w:tcW w:w="3320" w:type="dxa"/>
            <w:vAlign w:val="bottom"/>
          </w:tcPr>
          <w:p>
            <w:pPr>
              <w:ind w:left="262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John Gellert</w:t>
            </w:r>
          </w:p>
        </w:tc>
      </w:tr>
      <w:tr>
        <w:trPr>
          <w:trHeight w:val="215"/>
        </w:trPr>
        <w:tc>
          <w:tcPr>
            <w:tcW w:w="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rPr>
              <w:t xml:space="preserve">John Gellert, </w:t>
            </w:r>
            <w:r>
              <w:rPr>
                <w:rFonts w:ascii="Arial" w:cs="Arial" w:eastAsia="Arial" w:hAnsi="Arial"/>
                <w:sz w:val="22"/>
                <w:szCs w:val="22"/>
                <w:i w:val="1"/>
                <w:iCs w:val="1"/>
                <w:color w:val="auto"/>
              </w:rPr>
              <w:t>President,</w:t>
            </w:r>
          </w:p>
        </w:tc>
      </w:tr>
      <w:tr>
        <w:trPr>
          <w:trHeight w:val="243"/>
        </w:trPr>
        <w:tc>
          <w:tcPr>
            <w:tcW w:w="56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Chief Executive Officer</w:t>
            </w:r>
          </w:p>
        </w:tc>
      </w:tr>
      <w:tr>
        <w:trPr>
          <w:trHeight w:val="274"/>
        </w:trPr>
        <w:tc>
          <w:tcPr>
            <w:tcW w:w="56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Executive Officer)</w:t>
            </w:r>
          </w:p>
        </w:tc>
      </w:tr>
      <w:tr>
        <w:trPr>
          <w:trHeight w:val="476"/>
        </w:trPr>
        <w:tc>
          <w:tcPr>
            <w:tcW w:w="560" w:type="dxa"/>
            <w:vAlign w:val="bottom"/>
          </w:tcPr>
          <w:p>
            <w:pPr>
              <w:spacing w:after="0"/>
              <w:rPr>
                <w:sz w:val="20"/>
                <w:szCs w:val="20"/>
                <w:color w:val="auto"/>
              </w:rPr>
            </w:pPr>
            <w:r>
              <w:rPr>
                <w:rFonts w:ascii="Arial" w:cs="Arial" w:eastAsia="Arial" w:hAnsi="Arial"/>
                <w:sz w:val="22"/>
                <w:szCs w:val="22"/>
                <w:color w:val="auto"/>
              </w:rPr>
              <w:t>Date:</w:t>
            </w:r>
          </w:p>
        </w:tc>
        <w:tc>
          <w:tcPr>
            <w:tcW w:w="3820" w:type="dxa"/>
            <w:vAlign w:val="bottom"/>
          </w:tcPr>
          <w:p>
            <w:pPr>
              <w:ind w:left="100"/>
              <w:spacing w:after="0"/>
              <w:rPr>
                <w:sz w:val="20"/>
                <w:szCs w:val="20"/>
                <w:color w:val="auto"/>
              </w:rPr>
            </w:pPr>
            <w:r>
              <w:rPr>
                <w:rFonts w:ascii="Arial" w:cs="Arial" w:eastAsia="Arial" w:hAnsi="Arial"/>
                <w:sz w:val="22"/>
                <w:szCs w:val="22"/>
                <w:color w:val="auto"/>
              </w:rPr>
              <w:t>May 4, 2022</w:t>
            </w:r>
          </w:p>
        </w:tc>
        <w:tc>
          <w:tcPr>
            <w:tcW w:w="3320" w:type="dxa"/>
            <w:vAlign w:val="bottom"/>
          </w:tcPr>
          <w:p>
            <w:pPr>
              <w:ind w:left="262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Jesús Llorca</w:t>
            </w:r>
          </w:p>
        </w:tc>
      </w:tr>
      <w:tr>
        <w:trPr>
          <w:trHeight w:val="215"/>
        </w:trPr>
        <w:tc>
          <w:tcPr>
            <w:tcW w:w="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w w:val="89"/>
              </w:rPr>
              <w:t xml:space="preserve">Jesús Llorca, </w:t>
            </w:r>
            <w:r>
              <w:rPr>
                <w:rFonts w:ascii="Arial" w:cs="Arial" w:eastAsia="Arial" w:hAnsi="Arial"/>
                <w:sz w:val="22"/>
                <w:szCs w:val="22"/>
                <w:i w:val="1"/>
                <w:iCs w:val="1"/>
                <w:color w:val="auto"/>
                <w:w w:val="89"/>
              </w:rPr>
              <w:t>Executive Vice President</w:t>
            </w:r>
          </w:p>
        </w:tc>
      </w:tr>
      <w:tr>
        <w:trPr>
          <w:trHeight w:val="243"/>
        </w:trPr>
        <w:tc>
          <w:tcPr>
            <w:tcW w:w="56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3400" w:type="dxa"/>
            <w:vAlign w:val="bottom"/>
          </w:tcPr>
          <w:p>
            <w:pPr>
              <w:spacing w:after="0" w:line="243" w:lineRule="exact"/>
              <w:rPr>
                <w:sz w:val="20"/>
                <w:szCs w:val="20"/>
                <w:color w:val="auto"/>
              </w:rPr>
            </w:pPr>
            <w:r>
              <w:rPr>
                <w:rFonts w:ascii="Arial" w:cs="Arial" w:eastAsia="Arial" w:hAnsi="Arial"/>
                <w:sz w:val="22"/>
                <w:szCs w:val="22"/>
                <w:i w:val="1"/>
                <w:iCs w:val="1"/>
                <w:color w:val="auto"/>
              </w:rPr>
              <w:t>and Chief Financial Officer</w:t>
            </w:r>
          </w:p>
        </w:tc>
      </w:tr>
      <w:tr>
        <w:trPr>
          <w:trHeight w:val="274"/>
        </w:trPr>
        <w:tc>
          <w:tcPr>
            <w:tcW w:w="560" w:type="dxa"/>
            <w:vAlign w:val="bottom"/>
          </w:tcPr>
          <w:p>
            <w:pPr>
              <w:spacing w:after="0"/>
              <w:rPr>
                <w:sz w:val="23"/>
                <w:szCs w:val="23"/>
                <w:color w:val="auto"/>
              </w:rPr>
            </w:pPr>
          </w:p>
        </w:tc>
        <w:tc>
          <w:tcPr>
            <w:tcW w:w="38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(Principal Financial Officer)</w:t>
            </w:r>
          </w:p>
        </w:tc>
      </w:tr>
      <w:tr>
        <w:trPr>
          <w:trHeight w:val="476"/>
        </w:trPr>
        <w:tc>
          <w:tcPr>
            <w:tcW w:w="560" w:type="dxa"/>
            <w:vAlign w:val="bottom"/>
          </w:tcPr>
          <w:p>
            <w:pPr>
              <w:spacing w:after="0"/>
              <w:rPr>
                <w:sz w:val="20"/>
                <w:szCs w:val="20"/>
                <w:color w:val="auto"/>
              </w:rPr>
            </w:pPr>
            <w:r>
              <w:rPr>
                <w:rFonts w:ascii="Arial" w:cs="Arial" w:eastAsia="Arial" w:hAnsi="Arial"/>
                <w:sz w:val="22"/>
                <w:szCs w:val="22"/>
                <w:color w:val="auto"/>
              </w:rPr>
              <w:t>Date:</w:t>
            </w:r>
          </w:p>
        </w:tc>
        <w:tc>
          <w:tcPr>
            <w:tcW w:w="3820" w:type="dxa"/>
            <w:vAlign w:val="bottom"/>
          </w:tcPr>
          <w:p>
            <w:pPr>
              <w:ind w:left="100"/>
              <w:spacing w:after="0"/>
              <w:rPr>
                <w:sz w:val="20"/>
                <w:szCs w:val="20"/>
                <w:color w:val="auto"/>
              </w:rPr>
            </w:pPr>
            <w:r>
              <w:rPr>
                <w:rFonts w:ascii="Arial" w:cs="Arial" w:eastAsia="Arial" w:hAnsi="Arial"/>
                <w:sz w:val="22"/>
                <w:szCs w:val="22"/>
                <w:color w:val="auto"/>
              </w:rPr>
              <w:t>May 4, 2022</w:t>
            </w:r>
          </w:p>
        </w:tc>
        <w:tc>
          <w:tcPr>
            <w:tcW w:w="3320" w:type="dxa"/>
            <w:vAlign w:val="bottom"/>
          </w:tcPr>
          <w:p>
            <w:pPr>
              <w:ind w:left="2620"/>
              <w:spacing w:after="0"/>
              <w:rPr>
                <w:sz w:val="20"/>
                <w:szCs w:val="20"/>
                <w:color w:val="auto"/>
              </w:rPr>
            </w:pPr>
            <w:r>
              <w:rPr>
                <w:rFonts w:ascii="Arial" w:cs="Arial" w:eastAsia="Arial" w:hAnsi="Arial"/>
                <w:sz w:val="22"/>
                <w:szCs w:val="22"/>
                <w:color w:val="auto"/>
              </w:rPr>
              <w:t>By:</w:t>
            </w:r>
          </w:p>
        </w:tc>
        <w:tc>
          <w:tcPr>
            <w:tcW w:w="34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Gregory S. Rossmiller</w:t>
            </w:r>
          </w:p>
        </w:tc>
      </w:tr>
      <w:tr>
        <w:trPr>
          <w:trHeight w:val="215"/>
        </w:trPr>
        <w:tc>
          <w:tcPr>
            <w:tcW w:w="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00" w:type="dxa"/>
            <w:vAlign w:val="bottom"/>
          </w:tcPr>
          <w:p>
            <w:pPr>
              <w:spacing w:after="0" w:line="216" w:lineRule="exact"/>
              <w:rPr>
                <w:sz w:val="20"/>
                <w:szCs w:val="20"/>
                <w:color w:val="auto"/>
              </w:rPr>
            </w:pPr>
            <w:r>
              <w:rPr>
                <w:rFonts w:ascii="Arial" w:cs="Arial" w:eastAsia="Arial" w:hAnsi="Arial"/>
                <w:sz w:val="22"/>
                <w:szCs w:val="22"/>
                <w:color w:val="auto"/>
              </w:rPr>
              <w:t>Gregory S. Rossmiller,</w:t>
            </w:r>
          </w:p>
        </w:tc>
      </w:tr>
      <w:tr>
        <w:trPr>
          <w:trHeight w:val="261"/>
        </w:trPr>
        <w:tc>
          <w:tcPr>
            <w:tcW w:w="56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3400" w:type="dxa"/>
            <w:vAlign w:val="bottom"/>
          </w:tcPr>
          <w:p>
            <w:pPr>
              <w:spacing w:after="0"/>
              <w:rPr>
                <w:sz w:val="20"/>
                <w:szCs w:val="20"/>
                <w:color w:val="auto"/>
              </w:rPr>
            </w:pPr>
            <w:r>
              <w:rPr>
                <w:rFonts w:ascii="Arial" w:cs="Arial" w:eastAsia="Arial" w:hAnsi="Arial"/>
                <w:sz w:val="22"/>
                <w:szCs w:val="22"/>
                <w:i w:val="1"/>
                <w:iCs w:val="1"/>
                <w:color w:val="auto"/>
              </w:rPr>
              <w:t>Senior Vice President</w:t>
            </w:r>
          </w:p>
        </w:tc>
      </w:tr>
    </w:tbl>
    <w:p>
      <w:pPr>
        <w:ind w:left="7840"/>
        <w:spacing w:after="0" w:line="230" w:lineRule="auto"/>
        <w:rPr>
          <w:sz w:val="20"/>
          <w:szCs w:val="20"/>
          <w:color w:val="auto"/>
        </w:rPr>
      </w:pPr>
      <w:r>
        <w:rPr>
          <w:rFonts w:ascii="Arial" w:cs="Arial" w:eastAsia="Arial" w:hAnsi="Arial"/>
          <w:sz w:val="22"/>
          <w:szCs w:val="22"/>
          <w:i w:val="1"/>
          <w:iCs w:val="1"/>
          <w:color w:val="auto"/>
        </w:rPr>
        <w:t>and Chief Accounting Officer</w:t>
      </w:r>
    </w:p>
    <w:p>
      <w:pPr>
        <w:spacing w:after="0" w:line="1" w:lineRule="exact"/>
        <w:rPr>
          <w:sz w:val="20"/>
          <w:szCs w:val="20"/>
          <w:color w:val="auto"/>
        </w:rPr>
      </w:pPr>
    </w:p>
    <w:p>
      <w:pPr>
        <w:ind w:left="7840"/>
        <w:spacing w:after="0"/>
        <w:rPr>
          <w:sz w:val="20"/>
          <w:szCs w:val="20"/>
          <w:color w:val="auto"/>
        </w:rPr>
      </w:pPr>
      <w:r>
        <w:rPr>
          <w:rFonts w:ascii="Arial" w:cs="Arial" w:eastAsia="Arial" w:hAnsi="Arial"/>
          <w:sz w:val="22"/>
          <w:szCs w:val="22"/>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342"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15d-14(a),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Gellert, certify that:</w:t>
      </w:r>
    </w:p>
    <w:p>
      <w:pPr>
        <w:spacing w:after="0" w:line="225" w:lineRule="exact"/>
        <w:rPr>
          <w:sz w:val="20"/>
          <w:szCs w:val="20"/>
          <w:color w:val="auto"/>
        </w:rPr>
      </w:pPr>
    </w:p>
    <w:p>
      <w:pPr>
        <w:ind w:left="780" w:hanging="772"/>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ind w:left="780" w:right="60" w:hanging="772"/>
        <w:spacing w:after="0" w:line="263"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80" w:hanging="772"/>
        <w:spacing w:after="0" w:line="308" w:lineRule="auto"/>
        <w:tabs>
          <w:tab w:leader="none" w:pos="7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772"/>
        <w:spacing w:after="0" w:line="277"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40" w:right="40" w:hanging="763"/>
        <w:spacing w:after="0" w:line="286" w:lineRule="auto"/>
        <w:tabs>
          <w:tab w:leader="none" w:pos="15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160" w:hanging="763"/>
        <w:spacing w:after="0" w:line="263"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80" w:right="100" w:hanging="772"/>
        <w:spacing w:after="0" w:line="342" w:lineRule="auto"/>
        <w:tabs>
          <w:tab w:leader="none" w:pos="7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220" w:hanging="763"/>
        <w:spacing w:after="0" w:line="342" w:lineRule="auto"/>
        <w:tabs>
          <w:tab w:leader="none" w:pos="15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460" w:hanging="763"/>
        <w:spacing w:after="0" w:line="277" w:lineRule="auto"/>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120"/>
              <w:spacing w:after="0"/>
              <w:rPr>
                <w:sz w:val="20"/>
                <w:szCs w:val="20"/>
                <w:color w:val="auto"/>
              </w:rPr>
            </w:pPr>
            <w:r>
              <w:rPr>
                <w:rFonts w:ascii="Arial" w:cs="Arial" w:eastAsia="Arial" w:hAnsi="Arial"/>
                <w:sz w:val="18"/>
                <w:szCs w:val="18"/>
                <w:color w:val="auto"/>
              </w:rPr>
              <w:t>May 4, 2022</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ind w:left="12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1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2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RULE 15d-14(a),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Jesús Llorca, certify that:</w:t>
      </w:r>
    </w:p>
    <w:p>
      <w:pPr>
        <w:spacing w:after="0" w:line="225" w:lineRule="exact"/>
        <w:rPr>
          <w:sz w:val="20"/>
          <w:szCs w:val="20"/>
          <w:color w:val="auto"/>
        </w:rPr>
      </w:pPr>
    </w:p>
    <w:p>
      <w:pPr>
        <w:ind w:left="780" w:hanging="772"/>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SEACOR Marine Holdings Inc.;</w:t>
      </w:r>
    </w:p>
    <w:p>
      <w:pPr>
        <w:spacing w:after="0" w:line="225" w:lineRule="exact"/>
        <w:rPr>
          <w:rFonts w:ascii="Arial" w:cs="Arial" w:eastAsia="Arial" w:hAnsi="Arial"/>
          <w:sz w:val="18"/>
          <w:szCs w:val="18"/>
          <w:color w:val="auto"/>
        </w:rPr>
      </w:pPr>
    </w:p>
    <w:p>
      <w:pPr>
        <w:ind w:left="780" w:right="60" w:hanging="772"/>
        <w:spacing w:after="0" w:line="263"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80" w:hanging="772"/>
        <w:spacing w:after="0" w:line="308" w:lineRule="auto"/>
        <w:tabs>
          <w:tab w:leader="none" w:pos="7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80" w:right="200" w:hanging="772"/>
        <w:spacing w:after="0" w:line="277"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540" w:right="40" w:hanging="763"/>
        <w:spacing w:after="0" w:line="286" w:lineRule="auto"/>
        <w:tabs>
          <w:tab w:leader="none" w:pos="15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40" w:right="160" w:hanging="763"/>
        <w:spacing w:after="0" w:line="263"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40" w:right="60" w:hanging="763"/>
        <w:spacing w:after="0" w:line="263"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80" w:right="100" w:hanging="772"/>
        <w:spacing w:after="0" w:line="342"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40" w:right="220" w:hanging="763"/>
        <w:spacing w:after="0" w:line="342" w:lineRule="auto"/>
        <w:tabs>
          <w:tab w:leader="none" w:pos="15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40" w:right="460" w:hanging="763"/>
        <w:spacing w:after="0" w:line="277" w:lineRule="auto"/>
        <w:tabs>
          <w:tab w:leader="none" w:pos="154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080" w:type="dxa"/>
            <w:vAlign w:val="bottom"/>
          </w:tcPr>
          <w:p>
            <w:pPr>
              <w:ind w:left="160"/>
              <w:spacing w:after="0"/>
              <w:rPr>
                <w:sz w:val="20"/>
                <w:szCs w:val="20"/>
                <w:color w:val="auto"/>
              </w:rPr>
            </w:pPr>
            <w:r>
              <w:rPr>
                <w:rFonts w:ascii="Arial" w:cs="Arial" w:eastAsia="Arial" w:hAnsi="Arial"/>
                <w:sz w:val="18"/>
                <w:szCs w:val="18"/>
                <w:color w:val="auto"/>
                <w:w w:val="90"/>
              </w:rPr>
              <w:t>May 4, 2022</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18"/>
          <w:szCs w:val="18"/>
          <w:color w:val="auto"/>
        </w:rPr>
        <w:t>Name:</w:t>
        <w:tab/>
        <w:t>Jesús Llorca</w:t>
      </w:r>
    </w:p>
    <w:p>
      <w:pPr>
        <w:spacing w:after="0" w:line="23" w:lineRule="exact"/>
        <w:rPr>
          <w:sz w:val="20"/>
          <w:szCs w:val="20"/>
          <w:color w:val="auto"/>
        </w:rPr>
      </w:pPr>
    </w:p>
    <w:p>
      <w:pPr>
        <w:ind w:left="5620"/>
        <w:spacing w:after="0"/>
        <w:tabs>
          <w:tab w:leader="none" w:pos="6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w:t>
      </w:r>
    </w:p>
    <w:p>
      <w:pPr>
        <w:spacing w:after="0" w:line="27" w:lineRule="exact"/>
        <w:rPr>
          <w:sz w:val="20"/>
          <w:szCs w:val="20"/>
          <w:color w:val="auto"/>
        </w:rPr>
      </w:pPr>
    </w:p>
    <w:p>
      <w:pPr>
        <w:jc w:val="center"/>
        <w:spacing w:after="0" w:line="255"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BY SECTION 906 OF THE SARBANES-OXLEY ACT OF 2002</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of the undersigned, the Chief Executive Officer and the Chief Financial Officer of SEACOR Marine Holdings Inc. (the “Company”), hereby certifies, to the best of her/his knowledge and belief, that the Form 10-Q of the Company for the quarterly period ended March 31, 2022 (the “Periodic Report”) accompanying this certification fully complies with the requirements of Section 13(a) or 15(d) of the Securities Exchange Act of 1934, as amended, and that the information contained in the Periodic Report fairly presents, in all material respects, the financial condition and results of operations of the Company. This certification is provided solely for purposes of complying with the provisions of Section 906 of the Sarbanes-Oxley Act and is not intended to be used for any other purpose.</w:t>
      </w:r>
    </w:p>
    <w:p>
      <w:pPr>
        <w:spacing w:after="0" w:line="200" w:lineRule="exact"/>
        <w:rPr>
          <w:sz w:val="20"/>
          <w:szCs w:val="20"/>
          <w:color w:val="auto"/>
        </w:rPr>
      </w:pPr>
    </w:p>
    <w:p>
      <w:pPr>
        <w:spacing w:after="0" w:line="235"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60" w:type="dxa"/>
            <w:vAlign w:val="bottom"/>
          </w:tcPr>
          <w:p>
            <w:pPr>
              <w:ind w:left="200"/>
              <w:spacing w:after="0"/>
              <w:rPr>
                <w:sz w:val="20"/>
                <w:szCs w:val="20"/>
                <w:color w:val="auto"/>
              </w:rPr>
            </w:pPr>
            <w:r>
              <w:rPr>
                <w:rFonts w:ascii="Arial" w:cs="Arial" w:eastAsia="Arial" w:hAnsi="Arial"/>
                <w:sz w:val="18"/>
                <w:szCs w:val="18"/>
                <w:color w:val="auto"/>
              </w:rPr>
              <w:t>May 4, 2022</w:t>
            </w:r>
          </w:p>
        </w:tc>
      </w:tr>
      <w:tr>
        <w:trPr>
          <w:trHeight w:val="432"/>
        </w:trPr>
        <w:tc>
          <w:tcPr>
            <w:tcW w:w="5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Gellert</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ind w:left="200"/>
              <w:spacing w:after="0" w:line="195" w:lineRule="exact"/>
              <w:rPr>
                <w:sz w:val="20"/>
                <w:szCs w:val="20"/>
                <w:color w:val="auto"/>
              </w:rPr>
            </w:pPr>
            <w:r>
              <w:rPr>
                <w:rFonts w:ascii="Arial" w:cs="Arial" w:eastAsia="Arial" w:hAnsi="Arial"/>
                <w:sz w:val="18"/>
                <w:szCs w:val="18"/>
                <w:color w:val="auto"/>
              </w:rPr>
              <w:t>John Gellert</w:t>
            </w:r>
          </w:p>
        </w:tc>
      </w:t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ind w:left="20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230"/>
        </w:trPr>
        <w:tc>
          <w:tcPr>
            <w:tcW w:w="660" w:type="dxa"/>
            <w:vAlign w:val="bottom"/>
          </w:tcPr>
          <w:p>
            <w:pPr>
              <w:spacing w:after="0"/>
              <w:rPr>
                <w:sz w:val="20"/>
                <w:szCs w:val="20"/>
                <w:color w:val="auto"/>
              </w:rPr>
            </w:pPr>
          </w:p>
        </w:tc>
        <w:tc>
          <w:tcPr>
            <w:tcW w:w="4960" w:type="dxa"/>
            <w:vAlign w:val="bottom"/>
          </w:tcPr>
          <w:p>
            <w:pPr>
              <w:ind w:left="200"/>
              <w:spacing w:after="0"/>
              <w:rPr>
                <w:sz w:val="20"/>
                <w:szCs w:val="20"/>
                <w:color w:val="auto"/>
              </w:rPr>
            </w:pPr>
            <w:r>
              <w:rPr>
                <w:rFonts w:ascii="Arial" w:cs="Arial" w:eastAsia="Arial" w:hAnsi="Arial"/>
                <w:sz w:val="18"/>
                <w:szCs w:val="18"/>
                <w:i w:val="1"/>
                <w:iCs w:val="1"/>
                <w:color w:val="auto"/>
              </w:rPr>
              <w:t>(Principal Executive Officer)</w:t>
            </w:r>
          </w:p>
        </w:tc>
      </w:tr>
      <w:tr>
        <w:trPr>
          <w:trHeight w:val="675"/>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960" w:type="dxa"/>
            <w:vAlign w:val="bottom"/>
          </w:tcPr>
          <w:p>
            <w:pPr>
              <w:ind w:left="200"/>
              <w:spacing w:after="0"/>
              <w:rPr>
                <w:sz w:val="20"/>
                <w:szCs w:val="20"/>
                <w:color w:val="auto"/>
              </w:rPr>
            </w:pPr>
            <w:r>
              <w:rPr>
                <w:rFonts w:ascii="Arial" w:cs="Arial" w:eastAsia="Arial" w:hAnsi="Arial"/>
                <w:sz w:val="18"/>
                <w:szCs w:val="18"/>
                <w:color w:val="auto"/>
              </w:rPr>
              <w:t>May 4, 2022</w:t>
            </w:r>
          </w:p>
        </w:tc>
      </w:tr>
    </w:tbl>
    <w:p>
      <w:pPr>
        <w:spacing w:after="0" w:line="2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Jesús Llorca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tabs>
          <w:tab w:leader="none" w:pos="64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Jesús Llorca</w:t>
      </w:r>
    </w:p>
    <w:p>
      <w:pPr>
        <w:spacing w:after="0" w:line="23" w:lineRule="exact"/>
        <w:rPr>
          <w:sz w:val="20"/>
          <w:szCs w:val="20"/>
          <w:color w:val="auto"/>
        </w:rPr>
      </w:pPr>
    </w:p>
    <w:p>
      <w:pPr>
        <w:ind w:left="562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Executive Vice President and</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2"/>
    </w:lvl>
  </w:abstractNum>
  <w:abstractNum w:abstractNumId="5">
    <w:nsid w:val="333AB105"/>
    <w:multiLevelType w:val="hybridMultilevel"/>
    <w:lvl w:ilvl="0">
      <w:lvlJc w:val="left"/>
      <w:lvlText w:val="%1."/>
      <w:numFmt w:val="decimal"/>
      <w:start w:val="3"/>
    </w:lvl>
  </w:abstractNum>
  <w:abstractNum w:abstractNumId="6">
    <w:nsid w:val="721DA317"/>
    <w:multiLevelType w:val="hybridMultilevel"/>
    <w:lvl w:ilvl="0">
      <w:lvlJc w:val="left"/>
      <w:lvlText w:val="%1."/>
      <w:numFmt w:val="decimal"/>
      <w:start w:val="4"/>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5"/>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6"/>
    </w:lvl>
  </w:abstractNum>
  <w:abstractNum w:abstractNumId="11">
    <w:nsid w:val="8EDBDAB"/>
    <w:multiLevelType w:val="hybridMultilevel"/>
    <w:lvl w:ilvl="0">
      <w:lvlJc w:val="left"/>
      <w:lvlText w:val="%1."/>
      <w:numFmt w:val="decimal"/>
      <w:start w:val="7"/>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decimal"/>
      <w:start w:val="8"/>
    </w:lvl>
  </w:abstractNum>
  <w:abstractNum w:abstractNumId="14">
    <w:nsid w:val="B03E0C6"/>
    <w:multiLevelType w:val="hybridMultilevel"/>
    <w:lvl w:ilvl="0">
      <w:lvlJc w:val="left"/>
      <w:lvlText w:val="%1."/>
      <w:numFmt w:val="decimal"/>
      <w:start w:val="9"/>
    </w:lvl>
  </w:abstractNum>
  <w:abstractNum w:abstractNumId="15">
    <w:nsid w:val="189A769B"/>
    <w:multiLevelType w:val="hybridMultilevel"/>
    <w:lvl w:ilvl="0">
      <w:lvlJc w:val="left"/>
      <w:lvlText w:val="%1."/>
      <w:numFmt w:val="decimal"/>
      <w:start w:val="10"/>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2"/>
    </w:lvl>
  </w:abstractNum>
  <w:abstractNum w:abstractNumId="21">
    <w:nsid w:val="3A95F874"/>
    <w:multiLevelType w:val="hybridMultilevel"/>
    <w:lvl w:ilvl="0">
      <w:lvlJc w:val="left"/>
      <w:lvlText w:val="(%1)"/>
      <w:numFmt w:val="lowerRoman"/>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lowerLetter"/>
      <w:start w:val="3"/>
    </w:lvl>
  </w:abstractNum>
  <w:abstractNum w:abstractNumId="32">
    <w:nsid w:val="5577F8E1"/>
    <w:multiLevelType w:val="hybridMultilevel"/>
    <w:lvl w:ilvl="0">
      <w:lvlJc w:val="left"/>
      <w:lvlText w:val="%1"/>
      <w:numFmt w:val="decimal"/>
      <w:start w:val="32"/>
    </w:lvl>
  </w:abstractNum>
  <w:abstractNum w:abstractNumId="33">
    <w:nsid w:val="440BADFC"/>
    <w:multiLevelType w:val="hybridMultilevel"/>
    <w:lvl w:ilvl="0">
      <w:lvlJc w:val="left"/>
      <w:lvlText w:val="%1"/>
      <w:numFmt w:val="decimal"/>
      <w:start w:val="104"/>
    </w:lvl>
  </w:abstractNum>
  <w:abstractNum w:abstractNumId="34">
    <w:nsid w:val="5072367"/>
    <w:multiLevelType w:val="hybridMultilevel"/>
    <w:lvl w:ilvl="0">
      <w:lvlJc w:val="left"/>
      <w:lvlText w:val="**"/>
      <w:numFmt w:val="bullet"/>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2022-05-05T05:27:06Z</dcterms:created>
  <dcterms:modified xsi:type="dcterms:W3CDTF">2022-05-05T05:27:06Z</dcterms:modified>
</cp:coreProperties>
</file>