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smhi-20230630.htm"/>
      <w:bookmarkStart w:id="1" w:name="kssmhi20230630"/>
      <w:bookmarkEnd w:id="0"/>
      <w:bookmarkEnd w:id="1"/>
      <w:r>
        <w:rPr/>
        <w:t> </w:t>
      </w:r>
    </w:p>
    <w:p>
      <w:pPr>
        <w:pStyle w:val="TextBody"/>
        <w:bidi w:val="0"/>
        <w:spacing w:before="0" w:after="0"/>
        <w:jc w:val="center"/>
        <w:rPr/>
      </w:pPr>
      <w:r>
        <w:rPr/>
        <w:t> </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serif" w:hAnsi="Times New Roman;serif"/>
          <w:b/>
          <w:sz w:val="32"/>
        </w:rPr>
      </w:pPr>
      <w:r>
        <w:rPr>
          <w:rFonts w:ascii="Times New Roman;serif" w:hAnsi="Times New Roman;serif"/>
          <w:b/>
          <w:sz w:val="32"/>
        </w:rPr>
        <w:t>UNITED STATES</w:t>
      </w:r>
    </w:p>
    <w:p>
      <w:pPr>
        <w:pStyle w:val="TextBody"/>
        <w:bidi w:val="0"/>
        <w:spacing w:before="0" w:after="0"/>
        <w:jc w:val="center"/>
        <w:rPr>
          <w:rFonts w:ascii="Times New Roman;serif" w:hAnsi="Times New Roman;serif"/>
          <w:b/>
          <w:sz w:val="32"/>
        </w:rPr>
      </w:pPr>
      <w:r>
        <w:rPr>
          <w:rFonts w:ascii="Times New Roman;serif" w:hAnsi="Times New Roman;serif"/>
          <w:b/>
          <w:sz w:val="32"/>
        </w:rPr>
        <w:t>SECURITIES AND EXCHANGE COMMISSION</w:t>
      </w:r>
    </w:p>
    <w:p>
      <w:pPr>
        <w:pStyle w:val="TextBody"/>
        <w:bidi w:val="0"/>
        <w:spacing w:before="0" w:after="0"/>
        <w:jc w:val="center"/>
        <w:rPr>
          <w:rFonts w:ascii="Times New Roman;serif" w:hAnsi="Times New Roman;serif"/>
          <w:b/>
          <w:sz w:val="22"/>
        </w:rPr>
      </w:pPr>
      <w:r>
        <w:rPr>
          <w:rFonts w:ascii="Times New Roman;serif" w:hAnsi="Times New Roman;serif"/>
          <w:b/>
          <w:sz w:val="22"/>
        </w:rPr>
        <w:t>WASHINGTON, DC 20549</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32"/>
        </w:rPr>
      </w:pPr>
      <w:r>
        <w:rPr>
          <w:rFonts w:ascii="Times New Roman;serif" w:hAnsi="Times New Roman;serif"/>
          <w:b/>
          <w:sz w:val="32"/>
        </w:rPr>
        <w:t>FORM 10-Q</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rFonts w:ascii="Times New Roman;serif" w:hAnsi="Times New Roman;serif"/>
          <w:b/>
          <w:sz w:val="22"/>
        </w:rPr>
      </w:pPr>
      <w:r>
        <w:rPr>
          <w:rFonts w:ascii="Times New Roman;serif" w:hAnsi="Times New Roman;serif"/>
          <w:b/>
          <w:sz w:val="22"/>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For the quarterly period ended June 30, 2023</w:t>
      </w:r>
      <w:r>
        <w:rPr>
          <w:rFonts w:ascii="Times New Roman" w:hAnsi="Times New Roman"/>
          <w:sz w:val="20"/>
        </w:rPr>
        <w:t xml:space="preserve"> </w:t>
      </w:r>
      <w:r>
        <w:rPr>
          <w:rFonts w:ascii="Times New Roman;serif" w:hAnsi="Times New Roman;serif"/>
          <w:b/>
          <w:sz w:val="20"/>
        </w:rPr>
        <w:t>or</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transition period from to</w:t>
      </w:r>
    </w:p>
    <w:p>
      <w:pPr>
        <w:pStyle w:val="TextBody"/>
        <w:bidi w:val="0"/>
        <w:spacing w:before="120" w:after="0"/>
        <w:jc w:val="center"/>
        <w:rPr>
          <w:rFonts w:ascii="Times New Roman;serif" w:hAnsi="Times New Roman;serif"/>
          <w:b/>
          <w:sz w:val="20"/>
        </w:rPr>
      </w:pPr>
      <w:r>
        <w:rPr>
          <w:rFonts w:ascii="Times New Roman;serif" w:hAnsi="Times New Roman;serif"/>
          <w:b/>
          <w:sz w:val="20"/>
        </w:rPr>
        <w:t>Commission file number 1-37966</w:t>
      </w:r>
    </w:p>
    <w:p>
      <w:pPr>
        <w:pStyle w:val="TextBody"/>
        <w:bidi w:val="0"/>
        <w:spacing w:before="120" w:after="0"/>
        <w:jc w:val="center"/>
        <w:rPr>
          <w:rFonts w:ascii="Times New Roman;serif" w:hAnsi="Times New Roman;serif"/>
          <w:b/>
          <w:sz w:val="40"/>
        </w:rPr>
      </w:pPr>
      <w:r>
        <w:rPr>
          <w:rFonts w:ascii="Times New Roman;serif" w:hAnsi="Times New Roman;serif"/>
          <w:b/>
          <w:sz w:val="40"/>
        </w:rPr>
        <w:t>SEACOR Marine Holdings Inc.</w:t>
      </w:r>
    </w:p>
    <w:p>
      <w:pPr>
        <w:pStyle w:val="TextBody"/>
        <w:bidi w:val="0"/>
        <w:spacing w:before="0" w:after="0"/>
        <w:jc w:val="center"/>
        <w:rPr>
          <w:rFonts w:ascii="Times New Roman;serif" w:hAnsi="Times New Roman;serif"/>
          <w:b/>
          <w:sz w:val="22"/>
        </w:rPr>
      </w:pPr>
      <w:r>
        <w:rPr>
          <w:rFonts w:ascii="Times New Roman;serif" w:hAnsi="Times New Roman;serif"/>
          <w:b/>
          <w:sz w:val="22"/>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tbl>
      <w:tblPr>
        <w:tblW w:w="6121" w:type="dxa"/>
        <w:jc w:val="left"/>
        <w:tblInd w:w="0" w:type="dxa"/>
        <w:tblLayout w:type="fixed"/>
        <w:tblCellMar>
          <w:top w:w="28" w:type="dxa"/>
          <w:left w:w="28" w:type="dxa"/>
          <w:bottom w:w="28" w:type="dxa"/>
          <w:right w:w="28" w:type="dxa"/>
        </w:tblCellMar>
      </w:tblPr>
      <w:tblGrid>
        <w:gridCol w:w="4262"/>
        <w:gridCol w:w="162"/>
        <w:gridCol w:w="1697"/>
      </w:tblGrid>
      <w:tr>
        <w:trPr/>
        <w:tc>
          <w:tcPr>
            <w:tcW w:w="42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4262"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Delaware</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97"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47-2564547</w:t>
            </w:r>
          </w:p>
        </w:tc>
      </w:tr>
      <w:tr>
        <w:trPr/>
        <w:tc>
          <w:tcPr>
            <w:tcW w:w="4262"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(State or Other Jurisdiction of</w:t>
            </w:r>
          </w:p>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Incorporation or Organization)</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97"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(IRS Employer</w:t>
            </w:r>
          </w:p>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Identification No.)</w:t>
            </w:r>
          </w:p>
        </w:tc>
      </w:tr>
      <w:tr>
        <w:trPr/>
        <w:tc>
          <w:tcPr>
            <w:tcW w:w="4262" w:type="dxa"/>
            <w:tcBorders/>
            <w:vAlign w:val="center"/>
          </w:tcPr>
          <w:p>
            <w:pPr>
              <w:pStyle w:val="TableContents"/>
              <w:bidi w:val="0"/>
              <w:spacing w:before="0" w:after="0"/>
              <w:ind w:left="0" w:right="16" w:hanging="0"/>
              <w:jc w:val="left"/>
              <w:rPr/>
            </w:pPr>
            <w:r>
              <w:rPr/>
              <w:t> </w:t>
            </w:r>
          </w:p>
        </w:tc>
        <w:tc>
          <w:tcPr>
            <w:tcW w:w="162" w:type="dxa"/>
            <w:tcBorders/>
            <w:vAlign w:val="center"/>
          </w:tcPr>
          <w:p>
            <w:pPr>
              <w:pStyle w:val="TableContents"/>
              <w:bidi w:val="0"/>
              <w:spacing w:before="0" w:after="283"/>
              <w:ind w:left="0" w:right="36" w:hanging="0"/>
              <w:jc w:val="left"/>
              <w:rPr>
                <w:sz w:val="4"/>
                <w:szCs w:val="4"/>
              </w:rPr>
            </w:pPr>
            <w:r>
              <w:rPr>
                <w:sz w:val="4"/>
                <w:szCs w:val="4"/>
              </w:rPr>
            </w:r>
          </w:p>
        </w:tc>
        <w:tc>
          <w:tcPr>
            <w:tcW w:w="1697" w:type="dxa"/>
            <w:tcBorders/>
            <w:vAlign w:val="center"/>
          </w:tcPr>
          <w:p>
            <w:pPr>
              <w:pStyle w:val="TableContents"/>
              <w:bidi w:val="0"/>
              <w:spacing w:before="0" w:after="0"/>
              <w:ind w:left="0" w:right="36" w:hanging="0"/>
              <w:jc w:val="left"/>
              <w:rPr/>
            </w:pPr>
            <w:r>
              <w:rPr/>
              <w:t> </w:t>
            </w:r>
          </w:p>
        </w:tc>
      </w:tr>
      <w:tr>
        <w:trPr/>
        <w:tc>
          <w:tcPr>
            <w:tcW w:w="4262"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12121 Wickchester Lane, Suite 500, Houston, TX</w:t>
            </w:r>
          </w:p>
        </w:tc>
        <w:tc>
          <w:tcPr>
            <w:tcW w:w="162" w:type="dxa"/>
            <w:tcBorders/>
            <w:vAlign w:val="center"/>
          </w:tcPr>
          <w:p>
            <w:pPr>
              <w:pStyle w:val="TableContents"/>
              <w:bidi w:val="0"/>
              <w:spacing w:before="0" w:after="0"/>
              <w:ind w:left="0" w:right="16" w:hanging="0"/>
              <w:jc w:val="left"/>
              <w:rPr/>
            </w:pPr>
            <w:r>
              <w:rPr/>
              <w:t> </w:t>
            </w:r>
          </w:p>
        </w:tc>
        <w:tc>
          <w:tcPr>
            <w:tcW w:w="1697"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77079</w:t>
            </w:r>
          </w:p>
        </w:tc>
      </w:tr>
      <w:tr>
        <w:trPr/>
        <w:tc>
          <w:tcPr>
            <w:tcW w:w="4262"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(Address of Principal Executive Offices)</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97"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(Zip Code)</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Registrant’s Telephone Number, Including Area Code: (346) 980-1700</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Securities registered pursuant to Section 12(b) of the Act:</w:t>
      </w:r>
    </w:p>
    <w:p>
      <w:pPr>
        <w:pStyle w:val="TextBody"/>
        <w:bidi w:val="0"/>
        <w:spacing w:before="0" w:after="0"/>
        <w:jc w:val="both"/>
        <w:rPr/>
      </w:pPr>
      <w:r>
        <w:rPr/>
        <w:t> </w:t>
      </w:r>
    </w:p>
    <w:tbl>
      <w:tblPr>
        <w:tblW w:w="8988" w:type="dxa"/>
        <w:jc w:val="left"/>
        <w:tblInd w:w="0" w:type="dxa"/>
        <w:tblLayout w:type="fixed"/>
        <w:tblCellMar>
          <w:top w:w="28" w:type="dxa"/>
          <w:left w:w="28" w:type="dxa"/>
          <w:bottom w:w="28" w:type="dxa"/>
          <w:right w:w="28" w:type="dxa"/>
        </w:tblCellMar>
      </w:tblPr>
      <w:tblGrid>
        <w:gridCol w:w="3466"/>
        <w:gridCol w:w="1696"/>
        <w:gridCol w:w="3826"/>
      </w:tblGrid>
      <w:tr>
        <w:trPr/>
        <w:tc>
          <w:tcPr>
            <w:tcW w:w="346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Title of each class</w:t>
            </w:r>
          </w:p>
        </w:tc>
        <w:tc>
          <w:tcPr>
            <w:tcW w:w="1696" w:type="dxa"/>
            <w:tcBorders/>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Trading Symbol(s)</w:t>
            </w:r>
          </w:p>
        </w:tc>
        <w:tc>
          <w:tcPr>
            <w:tcW w:w="3826" w:type="dxa"/>
            <w:tcBorders/>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Name of each exchange on which registered</w:t>
            </w:r>
          </w:p>
        </w:tc>
      </w:tr>
      <w:tr>
        <w:trPr/>
        <w:tc>
          <w:tcPr>
            <w:tcW w:w="34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$0.01 per share</w:t>
            </w:r>
          </w:p>
        </w:tc>
        <w:tc>
          <w:tcPr>
            <w:tcW w:w="16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SMHI</w:t>
            </w:r>
          </w:p>
        </w:tc>
        <w:tc>
          <w:tcPr>
            <w:tcW w:w="38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New York Stock Exchange</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w:t>
      </w:r>
    </w:p>
    <w:p>
      <w:pPr>
        <w:pStyle w:val="TextBody"/>
        <w:bidi w:val="0"/>
        <w:spacing w:before="120" w:after="0"/>
        <w:jc w:val="both"/>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684"/>
        <w:gridCol w:w="316"/>
        <w:gridCol w:w="1340"/>
        <w:gridCol w:w="316"/>
        <w:gridCol w:w="1700"/>
        <w:gridCol w:w="316"/>
        <w:gridCol w:w="1921"/>
        <w:gridCol w:w="316"/>
        <w:gridCol w:w="1933"/>
        <w:gridCol w:w="363"/>
      </w:tblGrid>
      <w:tr>
        <w:trPr/>
        <w:tc>
          <w:tcPr>
            <w:tcW w:w="16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6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13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316" w:type="dxa"/>
            <w:tcBorders/>
            <w:vAlign w:val="center"/>
          </w:tcPr>
          <w:p>
            <w:pPr>
              <w:pStyle w:val="TableContents"/>
              <w:bidi w:val="0"/>
              <w:spacing w:before="0" w:after="0"/>
              <w:ind w:left="0" w:right="0" w:hanging="0"/>
              <w:jc w:val="left"/>
              <w:rPr/>
            </w:pPr>
            <w:r>
              <w:rPr/>
              <w:t>☒</w:t>
            </w:r>
          </w:p>
        </w:tc>
        <w:tc>
          <w:tcPr>
            <w:tcW w:w="17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316" w:type="dxa"/>
            <w:tcBorders/>
            <w:vAlign w:val="center"/>
          </w:tcPr>
          <w:p>
            <w:pPr>
              <w:pStyle w:val="TableContents"/>
              <w:bidi w:val="0"/>
              <w:spacing w:before="0" w:after="0"/>
              <w:ind w:left="0" w:right="0" w:hanging="0"/>
              <w:jc w:val="left"/>
              <w:rPr/>
            </w:pPr>
            <w:r>
              <w:rPr/>
              <w:t>☒</w:t>
            </w:r>
          </w:p>
        </w:tc>
        <w:tc>
          <w:tcPr>
            <w:tcW w:w="19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363" w:type="dxa"/>
            <w:tcBorders/>
            <w:vAlign w:val="center"/>
          </w:tcPr>
          <w:p>
            <w:pPr>
              <w:pStyle w:val="TableContents"/>
              <w:bidi w:val="0"/>
              <w:spacing w:before="0" w:after="0"/>
              <w:ind w:left="0" w:right="0" w:hanging="0"/>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 xml:space="preserve">No </w:t>
      </w:r>
      <w:r>
        <w:rPr>
          <w:rFonts w:ascii="Times New Roman" w:hAnsi="Times New Roman"/>
          <w:sz w:val="20"/>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total number of shares of common stock, par value $.01 per share (“Common Stock”), outstanding as of July 28, 2023 was 27,159,485. The registrant has no other class of common stock outstanding.</w:t>
      </w:r>
    </w:p>
    <w:p>
      <w:pPr>
        <w:pStyle w:val="TextBody"/>
        <w:pBdr>
          <w:bottom w:val="double" w:sz="6" w:space="1" w:color="000000"/>
        </w:pBdr>
        <w:bidi w:val="0"/>
        <w:spacing w:before="0" w:after="0"/>
        <w:jc w:val="both"/>
        <w:rPr/>
      </w:pPr>
      <w:r>
        <w:rPr/>
        <w:t> </w:t>
      </w:r>
    </w:p>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SEACOR MARINE HOLDINGS INC.</w:t>
      </w:r>
    </w:p>
    <w:p>
      <w:pPr>
        <w:pStyle w:val="TextBody"/>
        <w:bidi w:val="0"/>
        <w:spacing w:before="200" w:after="0"/>
        <w:jc w:val="center"/>
        <w:rPr>
          <w:rFonts w:ascii="Times New Roman;serif" w:hAnsi="Times New Roman;serif"/>
          <w:b/>
          <w:sz w:val="20"/>
        </w:rPr>
      </w:pPr>
      <w:bookmarkStart w:id="2" w:name="table_contents"/>
      <w:bookmarkEnd w:id="2"/>
      <w:r>
        <w:rPr>
          <w:rFonts w:ascii="Times New Roman;serif" w:hAnsi="Times New Roman;serif"/>
          <w:b/>
          <w:sz w:val="20"/>
        </w:rPr>
        <w:t>Table of Contents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89"/>
        <w:gridCol w:w="146"/>
        <w:gridCol w:w="707"/>
        <w:gridCol w:w="8255"/>
        <w:gridCol w:w="146"/>
        <w:gridCol w:w="362"/>
      </w:tblGrid>
      <w:tr>
        <w:trPr/>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8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5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Part I.</w:t>
            </w:r>
          </w:p>
        </w:tc>
        <w:tc>
          <w:tcPr>
            <w:tcW w:w="146" w:type="dxa"/>
            <w:tcBorders/>
            <w:vAlign w:val="center"/>
          </w:tcPr>
          <w:p>
            <w:pPr>
              <w:pStyle w:val="TableContents"/>
              <w:bidi w:val="0"/>
              <w:spacing w:before="0" w:after="0"/>
              <w:ind w:left="0" w:right="0" w:hanging="0"/>
              <w:jc w:val="left"/>
              <w:rPr/>
            </w:pPr>
            <w:r>
              <w:rPr/>
              <w:t> </w:t>
            </w:r>
          </w:p>
        </w:tc>
        <w:tc>
          <w:tcPr>
            <w:tcW w:w="8962" w:type="dxa"/>
            <w:gridSpan w:val="2"/>
            <w:tcBorders/>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255" w:type="dxa"/>
            <w:tcBorders/>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hyperlink w:anchor="unaudited_condensed_consolidated_balance">
              <w:r>
                <w:rPr>
                  <w:rStyle w:val="InternetLink"/>
                  <w:rFonts w:ascii="Times New Roman;serif" w:hAnsi="Times New Roman;serif"/>
                  <w:b w:val="false"/>
                  <w:sz w:val="20"/>
                  <w:u w:val="single"/>
                </w:rPr>
                <w:t>Condensed Consolidated Balance Sheets as of June 30, 2023 and December 31, 2022</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hyperlink w:anchor="unaudited_condensed_consolidated">
              <w:r>
                <w:rPr>
                  <w:rStyle w:val="InternetLink"/>
                  <w:rFonts w:ascii="Times New Roman;serif" w:hAnsi="Times New Roman;serif"/>
                  <w:b w:val="false"/>
                  <w:sz w:val="20"/>
                  <w:u w:val="single"/>
                </w:rPr>
                <w:t>Condensed Consolidated Statements of Income (Loss) for the Three and Six Months Ended June 30, 2023 and 2022</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hyperlink w:anchor="unaudited_condensed_consolidated_stateme">
              <w:r>
                <w:rPr>
                  <w:rStyle w:val="InternetLink"/>
                  <w:rFonts w:ascii="Times New Roman;serif" w:hAnsi="Times New Roman;serif"/>
                  <w:b w:val="false"/>
                  <w:sz w:val="20"/>
                  <w:u w:val="single"/>
                </w:rPr>
                <w:t>Condensed Consolidated Statements of Comprehensive Income (Loss) for the Three and Six Months Ended June 30, 2023 and 2022</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hyperlink w:anchor="unaudited_condensed_equity">
              <w:r>
                <w:rPr>
                  <w:rStyle w:val="InternetLink"/>
                  <w:rFonts w:ascii="Times New Roman;serif" w:hAnsi="Times New Roman;serif"/>
                  <w:b w:val="false"/>
                  <w:sz w:val="20"/>
                  <w:u w:val="single"/>
                </w:rPr>
                <w:t>Condensed Consolidated Statements of Changes in Equity for the Three and Six Months Ended June 30, 2023 and 2022</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hyperlink w:anchor="unaudited_consolidated_cash_flow">
              <w:r>
                <w:rPr>
                  <w:rStyle w:val="InternetLink"/>
                  <w:rFonts w:ascii="Times New Roman;serif" w:hAnsi="Times New Roman;serif"/>
                  <w:b w:val="false"/>
                  <w:sz w:val="20"/>
                  <w:u w:val="single"/>
                </w:rPr>
                <w:t>Condensed Consolidated Statements of Cash Flows for the Six Months Ended June 30, 2023 and 2022</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Condensed Consolidated Financial Statements</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255" w:type="dxa"/>
            <w:tcBorders/>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255"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255"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Part II.</w:t>
            </w:r>
          </w:p>
        </w:tc>
        <w:tc>
          <w:tcPr>
            <w:tcW w:w="146" w:type="dxa"/>
            <w:tcBorders/>
            <w:vAlign w:val="center"/>
          </w:tcPr>
          <w:p>
            <w:pPr>
              <w:pStyle w:val="TableContents"/>
              <w:bidi w:val="0"/>
              <w:spacing w:before="0" w:after="0"/>
              <w:ind w:left="0" w:right="0" w:hanging="0"/>
              <w:jc w:val="left"/>
              <w:rPr/>
            </w:pPr>
            <w:r>
              <w:rPr/>
              <w:t> </w:t>
            </w:r>
          </w:p>
        </w:tc>
        <w:tc>
          <w:tcPr>
            <w:tcW w:w="8962" w:type="dxa"/>
            <w:gridSpan w:val="2"/>
            <w:tcBorders/>
            <w:vAlign w:val="center"/>
          </w:tcPr>
          <w:p>
            <w:pPr>
              <w:pStyle w:val="TableContents"/>
              <w:bidi w:val="0"/>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255"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255"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255" w:type="dxa"/>
            <w:tcBorders/>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255" w:type="dxa"/>
            <w:tcBorders/>
            <w:vAlign w:val="center"/>
          </w:tcPr>
          <w:p>
            <w:pPr>
              <w:pStyle w:val="TableContents"/>
              <w:bidi w:val="0"/>
              <w:spacing w:before="0" w:after="0"/>
              <w:ind w:left="0" w:right="0" w:hanging="0"/>
              <w:jc w:val="left"/>
              <w:rPr/>
            </w:pPr>
            <w:hyperlink w:anchor="item_3_default_upon_senior_securities">
              <w:r>
                <w:rPr>
                  <w:rStyle w:val="InternetLink"/>
                  <w:rFonts w:ascii="Times New Roman;serif" w:hAnsi="Times New Roman;serif"/>
                  <w:b w:val="false"/>
                  <w:sz w:val="20"/>
                  <w:u w:val="single"/>
                </w:rPr>
                <w:t>Default Upon Senior Securities</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255"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255" w:type="dxa"/>
            <w:tcBorders/>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pPr>
            <w:r>
              <w:rPr/>
              <w:t> </w:t>
            </w:r>
          </w:p>
        </w:tc>
        <w:tc>
          <w:tcPr>
            <w:tcW w:w="82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r>
        <w:trPr/>
        <w:tc>
          <w:tcPr>
            <w:tcW w:w="5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255"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i</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serif" w:hAnsi="Times New Roman;serif"/>
          <w:b/>
          <w:sz w:val="24"/>
        </w:rPr>
      </w:pPr>
      <w:bookmarkStart w:id="3" w:name="part_ifinancial_information"/>
      <w:bookmarkEnd w:id="3"/>
      <w:r>
        <w:rPr>
          <w:rFonts w:ascii="Times New Roman;serif" w:hAnsi="Times New Roman;serif"/>
          <w:b/>
          <w:sz w:val="24"/>
        </w:rPr>
        <w:t>PART I—FINANCIAL INFORMATION</w:t>
      </w:r>
    </w:p>
    <w:p>
      <w:pPr>
        <w:pStyle w:val="TextBody"/>
        <w:bidi w:val="0"/>
        <w:spacing w:before="0" w:after="0"/>
        <w:jc w:val="both"/>
        <w:rPr>
          <w:rFonts w:ascii="Times New Roman" w:hAnsi="Times New Roman"/>
          <w:sz w:val="20"/>
        </w:rPr>
      </w:pPr>
      <w:bookmarkStart w:id="4" w:name="item_1_financial_statements"/>
      <w:bookmarkEnd w:id="4"/>
      <w:r>
        <w:rPr>
          <w:rFonts w:ascii="Times New Roman;serif" w:hAnsi="Times New Roman;serif"/>
          <w:b/>
          <w:sz w:val="24"/>
        </w:rPr>
        <w:t>ITEM 1.</w:t>
      </w:r>
      <w:r>
        <w:rPr>
          <w:rFonts w:ascii="Times New Roman" w:hAnsi="Times New Roman"/>
          <w:sz w:val="20"/>
        </w:rPr>
        <w:t xml:space="preserve"> </w:t>
      </w:r>
      <w:r>
        <w:rPr>
          <w:rFonts w:ascii="Times New Roman;serif" w:hAnsi="Times New Roman;serif"/>
          <w:b/>
          <w:sz w:val="24"/>
        </w:rPr>
        <w:t>FINANCIAL STATEMENTS</w:t>
      </w:r>
    </w:p>
    <w:p>
      <w:pPr>
        <w:pStyle w:val="TextBody"/>
        <w:bidi w:val="0"/>
        <w:spacing w:before="40" w:after="0"/>
        <w:jc w:val="center"/>
        <w:rPr>
          <w:rFonts w:ascii="Times New Roman;serif" w:hAnsi="Times New Roman;serif"/>
          <w:b/>
          <w:sz w:val="24"/>
        </w:rPr>
      </w:pPr>
      <w:r>
        <w:rPr>
          <w:rFonts w:ascii="Times New Roman;serif" w:hAnsi="Times New Roman;serif"/>
          <w:b/>
          <w:sz w:val="24"/>
        </w:rPr>
        <w:t>SEACOR MARINE HOLDINGS INC.</w:t>
      </w:r>
    </w:p>
    <w:p>
      <w:pPr>
        <w:pStyle w:val="TextBody"/>
        <w:bidi w:val="0"/>
        <w:spacing w:before="0" w:after="0"/>
        <w:jc w:val="center"/>
        <w:rPr>
          <w:rFonts w:ascii="Times New Roman;serif" w:hAnsi="Times New Roman;serif"/>
          <w:b/>
          <w:sz w:val="24"/>
        </w:rPr>
      </w:pPr>
      <w:bookmarkStart w:id="5" w:name="unaudited_condensed_consolidated_balance"/>
      <w:bookmarkEnd w:id="5"/>
      <w:r>
        <w:rPr>
          <w:rFonts w:ascii="Times New Roman;serif" w:hAnsi="Times New Roman;serif"/>
          <w:b/>
          <w:sz w:val="24"/>
        </w:rPr>
        <w:t>UNAUDITED CONDENSED CONSOLIDATED BALANCE SHEETS</w:t>
      </w:r>
    </w:p>
    <w:p>
      <w:pPr>
        <w:pStyle w:val="TextBody"/>
        <w:bidi w:val="0"/>
        <w:spacing w:before="0" w:after="0"/>
        <w:jc w:val="center"/>
        <w:rPr>
          <w:rFonts w:ascii="Times New Roman;serif" w:hAnsi="Times New Roman;serif"/>
          <w:b/>
          <w:sz w:val="24"/>
        </w:rPr>
      </w:pPr>
      <w:r>
        <w:rPr>
          <w:rFonts w:ascii="Times New Roman;serif" w:hAnsi="Times New Roman;serif"/>
          <w:b/>
          <w:sz w:val="24"/>
        </w:rPr>
        <w:t>(in thousands, except share data)</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7243"/>
        <w:gridCol w:w="146"/>
        <w:gridCol w:w="200"/>
        <w:gridCol w:w="698"/>
        <w:gridCol w:w="151"/>
        <w:gridCol w:w="146"/>
        <w:gridCol w:w="247"/>
        <w:gridCol w:w="861"/>
        <w:gridCol w:w="513"/>
      </w:tblGrid>
      <w:tr>
        <w:trPr/>
        <w:tc>
          <w:tcPr>
            <w:tcW w:w="7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724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June 30, 2023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December 31, 2022</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43"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ASSETS</w:t>
            </w:r>
          </w:p>
        </w:tc>
        <w:tc>
          <w:tcPr>
            <w:tcW w:w="146" w:type="dxa"/>
            <w:tcBorders/>
            <w:vAlign w:val="center"/>
          </w:tcPr>
          <w:p>
            <w:pPr>
              <w:pStyle w:val="TableContents"/>
              <w:bidi w:val="0"/>
              <w:spacing w:before="0" w:after="0"/>
              <w:ind w:left="0" w:right="0" w:hanging="0"/>
              <w:jc w:val="left"/>
              <w:rPr/>
            </w:pPr>
            <w:r>
              <w:rPr/>
              <w:t> </w:t>
            </w:r>
          </w:p>
        </w:tc>
        <w:tc>
          <w:tcPr>
            <w:tcW w:w="898"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8" w:type="dxa"/>
            <w:gridSpan w:val="2"/>
            <w:tcBorders/>
            <w:vAlign w:val="center"/>
          </w:tcPr>
          <w:p>
            <w:pPr>
              <w:pStyle w:val="TableContents"/>
              <w:bidi w:val="0"/>
              <w:spacing w:before="0" w:after="0"/>
              <w:ind w:left="0" w:right="0" w:hanging="0"/>
              <w:jc w:val="center"/>
              <w:rPr/>
            </w:pPr>
            <w:r>
              <w:rPr/>
              <w:t> </w:t>
            </w:r>
          </w:p>
        </w:tc>
        <w:tc>
          <w:tcPr>
            <w:tcW w:w="513" w:type="dxa"/>
            <w:tcBorders/>
            <w:vAlign w:val="center"/>
          </w:tcPr>
          <w:p>
            <w:pPr>
              <w:pStyle w:val="TableContents"/>
              <w:bidi w:val="0"/>
              <w:spacing w:before="0" w:after="0"/>
              <w:ind w:left="0" w:right="0" w:hanging="0"/>
              <w:jc w:val="center"/>
              <w:rPr/>
            </w:pPr>
            <w:r>
              <w:rPr/>
              <w:t> </w:t>
            </w:r>
          </w:p>
        </w:tc>
      </w:tr>
      <w:tr>
        <w:trPr/>
        <w:tc>
          <w:tcPr>
            <w:tcW w:w="724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Current Assets:</w:t>
            </w:r>
          </w:p>
        </w:tc>
        <w:tc>
          <w:tcPr>
            <w:tcW w:w="146" w:type="dxa"/>
            <w:tcBorders/>
            <w:vAlign w:val="center"/>
          </w:tcPr>
          <w:p>
            <w:pPr>
              <w:pStyle w:val="TableContents"/>
              <w:bidi w:val="0"/>
              <w:spacing w:before="0" w:after="0"/>
              <w:ind w:left="0" w:right="0" w:hanging="0"/>
              <w:jc w:val="left"/>
              <w:rPr/>
            </w:pPr>
            <w:r>
              <w:rPr/>
              <w:t> </w:t>
            </w:r>
          </w:p>
        </w:tc>
        <w:tc>
          <w:tcPr>
            <w:tcW w:w="898"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8" w:type="dxa"/>
            <w:gridSpan w:val="2"/>
            <w:tcBorders/>
            <w:vAlign w:val="center"/>
          </w:tcPr>
          <w:p>
            <w:pPr>
              <w:pStyle w:val="TableContents"/>
              <w:bidi w:val="0"/>
              <w:spacing w:before="0" w:after="0"/>
              <w:ind w:left="0" w:right="0" w:hanging="0"/>
              <w:jc w:val="right"/>
              <w:rPr/>
            </w:pPr>
            <w:r>
              <w:rPr/>
              <w:t> </w:t>
            </w:r>
          </w:p>
        </w:tc>
        <w:tc>
          <w:tcPr>
            <w:tcW w:w="513" w:type="dxa"/>
            <w:tcBorders/>
            <w:vAlign w:val="center"/>
          </w:tcPr>
          <w:p>
            <w:pPr>
              <w:pStyle w:val="TableContents"/>
              <w:bidi w:val="0"/>
              <w:spacing w:before="0" w:after="0"/>
              <w:ind w:left="0" w:right="0" w:firstLine="160"/>
              <w:jc w:val="righ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Cash and cash equivalents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40,750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39,963</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Restricted cash</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2,796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3,082</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Receivables:</w:t>
            </w:r>
          </w:p>
        </w:tc>
        <w:tc>
          <w:tcPr>
            <w:tcW w:w="146" w:type="dxa"/>
            <w:tcBorders/>
            <w:vAlign w:val="center"/>
          </w:tcPr>
          <w:p>
            <w:pPr>
              <w:pStyle w:val="TableContents"/>
              <w:bidi w:val="0"/>
              <w:spacing w:before="0" w:after="0"/>
              <w:ind w:left="0" w:right="0" w:hanging="0"/>
              <w:jc w:val="left"/>
              <w:rPr/>
            </w:pPr>
            <w:r>
              <w:rPr/>
              <w:t> </w:t>
            </w:r>
          </w:p>
        </w:tc>
        <w:tc>
          <w:tcPr>
            <w:tcW w:w="898"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8" w:type="dxa"/>
            <w:gridSpan w:val="2"/>
            <w:tcBorders/>
            <w:vAlign w:val="center"/>
          </w:tcPr>
          <w:p>
            <w:pPr>
              <w:pStyle w:val="TableContents"/>
              <w:bidi w:val="0"/>
              <w:spacing w:before="0" w:after="0"/>
              <w:ind w:left="0" w:right="0" w:hanging="0"/>
              <w:jc w:val="right"/>
              <w:rPr/>
            </w:pPr>
            <w:r>
              <w:rPr/>
              <w:t> </w:t>
            </w:r>
          </w:p>
        </w:tc>
        <w:tc>
          <w:tcPr>
            <w:tcW w:w="513" w:type="dxa"/>
            <w:tcBorders/>
            <w:vAlign w:val="center"/>
          </w:tcPr>
          <w:p>
            <w:pPr>
              <w:pStyle w:val="TableContents"/>
              <w:bidi w:val="0"/>
              <w:spacing w:before="0" w:after="0"/>
              <w:ind w:left="0" w:right="0" w:firstLine="320"/>
              <w:jc w:val="right"/>
              <w:rPr/>
            </w:pPr>
            <w:r>
              <w:rPr/>
              <w:t> </w:t>
            </w:r>
          </w:p>
        </w:tc>
      </w:tr>
      <w:tr>
        <w:trPr/>
        <w:tc>
          <w:tcPr>
            <w:tcW w:w="7243" w:type="dxa"/>
            <w:tcBorders/>
            <w:vAlign w:val="center"/>
          </w:tcPr>
          <w:p>
            <w:pPr>
              <w:pStyle w:val="TableContents"/>
              <w:bidi w:val="0"/>
              <w:spacing w:before="0" w:after="0"/>
              <w:ind w:left="320" w:right="0" w:hanging="0"/>
              <w:jc w:val="left"/>
              <w:rPr>
                <w:rFonts w:ascii="Times New Roman" w:hAnsi="Times New Roman"/>
                <w:sz w:val="20"/>
              </w:rPr>
            </w:pPr>
            <w:r>
              <w:rPr>
                <w:rFonts w:ascii="Times New Roman;serif" w:hAnsi="Times New Roman;serif"/>
                <w:b w:val="false"/>
                <w:sz w:val="14"/>
              </w:rPr>
              <w:t>Trade, net of allowance for credit loss accounts of $4,309</w:t>
            </w:r>
            <w:r>
              <w:rPr>
                <w:rFonts w:ascii="Times New Roman" w:hAnsi="Times New Roman"/>
                <w:sz w:val="20"/>
              </w:rPr>
              <w:t> </w:t>
            </w:r>
            <w:r>
              <w:rPr>
                <w:rFonts w:ascii="Times New Roman;serif" w:hAnsi="Times New Roman;serif"/>
                <w:b w:val="false"/>
                <w:sz w:val="14"/>
              </w:rPr>
              <w:t>and $1,650</w:t>
            </w:r>
            <w:r>
              <w:rPr>
                <w:rFonts w:ascii="Times New Roman" w:hAnsi="Times New Roman"/>
                <w:sz w:val="20"/>
              </w:rPr>
              <w:t> </w:t>
            </w:r>
            <w:r>
              <w:rPr>
                <w:rFonts w:ascii="Times New Roman;serif" w:hAnsi="Times New Roman;serif"/>
                <w:b w:val="false"/>
                <w:sz w:val="14"/>
              </w:rPr>
              <w:t>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60,022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54,388</w:t>
            </w:r>
          </w:p>
        </w:tc>
        <w:tc>
          <w:tcPr>
            <w:tcW w:w="513" w:type="dxa"/>
            <w:tcBorders/>
            <w:vAlign w:val="center"/>
          </w:tcPr>
          <w:p>
            <w:pPr>
              <w:pStyle w:val="TableContents"/>
              <w:bidi w:val="0"/>
              <w:spacing w:before="0" w:after="0"/>
              <w:ind w:left="0" w:right="0" w:firstLine="320"/>
              <w:jc w:val="left"/>
              <w:rPr/>
            </w:pPr>
            <w:r>
              <w:rPr/>
              <w:t> </w:t>
            </w:r>
          </w:p>
        </w:tc>
      </w:tr>
      <w:tr>
        <w:trPr/>
        <w:tc>
          <w:tcPr>
            <w:tcW w:w="7243" w:type="dxa"/>
            <w:tcBorders/>
            <w:vAlign w:val="center"/>
          </w:tcPr>
          <w:p>
            <w:pPr>
              <w:pStyle w:val="TableContents"/>
              <w:bidi w:val="0"/>
              <w:spacing w:before="0" w:after="0"/>
              <w:ind w:left="320" w:right="0" w:hanging="0"/>
              <w:jc w:val="left"/>
              <w:rPr>
                <w:rFonts w:ascii="Times New Roman;serif" w:hAnsi="Times New Roman;serif"/>
                <w:b w:val="false"/>
                <w:sz w:val="14"/>
              </w:rPr>
            </w:pPr>
            <w:r>
              <w:rPr>
                <w:rFonts w:ascii="Times New Roman;serif" w:hAnsi="Times New Roman;serif"/>
                <w:b w:val="false"/>
                <w:sz w:val="14"/>
              </w:rPr>
              <w:t>Other</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12,295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7,638</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Note receivable</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15,000</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Tax receivable</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578</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Inventories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1,653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2,123</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Prepaid expenses and other</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3,112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3,054</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Assets held for sale</w:t>
            </w:r>
          </w:p>
        </w:tc>
        <w:tc>
          <w:tcPr>
            <w:tcW w:w="146" w:type="dxa"/>
            <w:tcBorders/>
            <w:vAlign w:val="center"/>
          </w:tcPr>
          <w:p>
            <w:pPr>
              <w:pStyle w:val="TableContents"/>
              <w:bidi w:val="0"/>
              <w:spacing w:before="0" w:after="0"/>
              <w:ind w:left="0" w:right="0" w:hanging="0"/>
              <w:jc w:val="left"/>
              <w:rPr/>
            </w:pPr>
            <w:r>
              <w:rPr/>
              <w:t> </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6,750</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firstLine="320"/>
              <w:jc w:val="left"/>
              <w:rPr/>
            </w:pPr>
            <w:r>
              <w:rPr/>
              <w:t> </w:t>
            </w:r>
          </w:p>
        </w:tc>
      </w:tr>
      <w:tr>
        <w:trPr/>
        <w:tc>
          <w:tcPr>
            <w:tcW w:w="7243" w:type="dxa"/>
            <w:tcBorders/>
            <w:vAlign w:val="center"/>
          </w:tcPr>
          <w:p>
            <w:pPr>
              <w:pStyle w:val="TableContents"/>
              <w:bidi w:val="0"/>
              <w:spacing w:before="0" w:after="0"/>
              <w:ind w:left="320" w:right="0" w:hanging="0"/>
              <w:jc w:val="left"/>
              <w:rPr>
                <w:rFonts w:ascii="Times New Roman;serif" w:hAnsi="Times New Roman;serif"/>
                <w:b w:val="false"/>
                <w:sz w:val="14"/>
              </w:rPr>
            </w:pPr>
            <w:r>
              <w:rPr>
                <w:rFonts w:ascii="Times New Roman;serif" w:hAnsi="Times New Roman;serif"/>
                <w:b w:val="false"/>
                <w:sz w:val="14"/>
              </w:rPr>
              <w:t>Total current assets</w:t>
            </w:r>
          </w:p>
        </w:tc>
        <w:tc>
          <w:tcPr>
            <w:tcW w:w="146" w:type="dxa"/>
            <w:tcBorders/>
            <w:vAlign w:val="center"/>
          </w:tcPr>
          <w:p>
            <w:pPr>
              <w:pStyle w:val="TableContents"/>
              <w:bidi w:val="0"/>
              <w:spacing w:before="0" w:after="0"/>
              <w:ind w:left="0" w:right="0" w:hanging="0"/>
              <w:jc w:val="left"/>
              <w:rPr/>
            </w:pPr>
            <w:r>
              <w:rPr/>
              <w:t> </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126,073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132,576</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4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Property and Equipment:</w:t>
            </w:r>
          </w:p>
        </w:tc>
        <w:tc>
          <w:tcPr>
            <w:tcW w:w="146" w:type="dxa"/>
            <w:tcBorders/>
            <w:vAlign w:val="center"/>
          </w:tcPr>
          <w:p>
            <w:pPr>
              <w:pStyle w:val="TableContents"/>
              <w:bidi w:val="0"/>
              <w:spacing w:before="0" w:after="0"/>
              <w:ind w:left="0" w:right="0" w:hanging="0"/>
              <w:jc w:val="left"/>
              <w:rPr/>
            </w:pPr>
            <w:r>
              <w:rPr/>
              <w:t> </w:t>
            </w:r>
          </w:p>
        </w:tc>
        <w:tc>
          <w:tcPr>
            <w:tcW w:w="898"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8" w:type="dxa"/>
            <w:gridSpan w:val="2"/>
            <w:tcBorders/>
            <w:vAlign w:val="center"/>
          </w:tcPr>
          <w:p>
            <w:pPr>
              <w:pStyle w:val="TableContents"/>
              <w:bidi w:val="0"/>
              <w:spacing w:before="0" w:after="0"/>
              <w:ind w:left="0" w:right="0" w:hanging="0"/>
              <w:jc w:val="right"/>
              <w:rPr/>
            </w:pPr>
            <w:r>
              <w:rPr/>
              <w:t> </w:t>
            </w:r>
          </w:p>
        </w:tc>
        <w:tc>
          <w:tcPr>
            <w:tcW w:w="513" w:type="dxa"/>
            <w:tcBorders/>
            <w:vAlign w:val="center"/>
          </w:tcPr>
          <w:p>
            <w:pPr>
              <w:pStyle w:val="TableContents"/>
              <w:bidi w:val="0"/>
              <w:spacing w:before="0" w:after="0"/>
              <w:ind w:left="0" w:right="0" w:firstLine="160"/>
              <w:jc w:val="righ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Historical cost</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966,338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967,683</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Accumulated depreciation</w:t>
            </w:r>
          </w:p>
        </w:tc>
        <w:tc>
          <w:tcPr>
            <w:tcW w:w="146" w:type="dxa"/>
            <w:tcBorders/>
            <w:vAlign w:val="center"/>
          </w:tcPr>
          <w:p>
            <w:pPr>
              <w:pStyle w:val="TableContents"/>
              <w:bidi w:val="0"/>
              <w:spacing w:before="0" w:after="0"/>
              <w:ind w:left="0" w:right="0" w:hanging="0"/>
              <w:jc w:val="left"/>
              <w:rPr/>
            </w:pPr>
            <w:r>
              <w:rPr/>
              <w:t> </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(334,678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(310,778</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7243"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631,660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656,905</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Construction in progress</w:t>
            </w:r>
          </w:p>
        </w:tc>
        <w:tc>
          <w:tcPr>
            <w:tcW w:w="146" w:type="dxa"/>
            <w:tcBorders/>
            <w:vAlign w:val="center"/>
          </w:tcPr>
          <w:p>
            <w:pPr>
              <w:pStyle w:val="TableContents"/>
              <w:bidi w:val="0"/>
              <w:spacing w:before="0" w:after="0"/>
              <w:ind w:left="0" w:right="0" w:hanging="0"/>
              <w:jc w:val="left"/>
              <w:rPr/>
            </w:pPr>
            <w:r>
              <w:rPr/>
              <w:t> </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8,876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8,111</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property and equipment</w:t>
            </w:r>
          </w:p>
        </w:tc>
        <w:tc>
          <w:tcPr>
            <w:tcW w:w="146" w:type="dxa"/>
            <w:tcBorders/>
            <w:vAlign w:val="center"/>
          </w:tcPr>
          <w:p>
            <w:pPr>
              <w:pStyle w:val="TableContents"/>
              <w:bidi w:val="0"/>
              <w:spacing w:before="0" w:after="0"/>
              <w:ind w:left="0" w:right="0" w:hanging="0"/>
              <w:jc w:val="left"/>
              <w:rPr/>
            </w:pPr>
            <w:r>
              <w:rPr/>
              <w:t> </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640,536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665,016</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4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Right-of-use asset - operating leases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5,703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6,206</w:t>
            </w:r>
          </w:p>
        </w:tc>
        <w:tc>
          <w:tcPr>
            <w:tcW w:w="513" w:type="dxa"/>
            <w:tcBorders/>
            <w:vAlign w:val="center"/>
          </w:tcPr>
          <w:p>
            <w:pPr>
              <w:pStyle w:val="TableContents"/>
              <w:bidi w:val="0"/>
              <w:spacing w:before="0" w:after="0"/>
              <w:ind w:left="0" w:right="0" w:hanging="0"/>
              <w:jc w:val="left"/>
              <w:rPr/>
            </w:pPr>
            <w:r>
              <w:rPr/>
              <w:t> </w:t>
            </w:r>
          </w:p>
        </w:tc>
      </w:tr>
      <w:tr>
        <w:trPr/>
        <w:tc>
          <w:tcPr>
            <w:tcW w:w="724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Right-of-use asset - finance leases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6,495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6,813</w:t>
            </w:r>
          </w:p>
        </w:tc>
        <w:tc>
          <w:tcPr>
            <w:tcW w:w="513" w:type="dxa"/>
            <w:tcBorders/>
            <w:vAlign w:val="center"/>
          </w:tcPr>
          <w:p>
            <w:pPr>
              <w:pStyle w:val="TableContents"/>
              <w:bidi w:val="0"/>
              <w:spacing w:before="0" w:after="0"/>
              <w:ind w:left="0" w:right="0" w:hanging="0"/>
              <w:jc w:val="left"/>
              <w:rPr/>
            </w:pPr>
            <w:r>
              <w:rPr/>
              <w:t> </w:t>
            </w:r>
          </w:p>
        </w:tc>
      </w:tr>
      <w:tr>
        <w:trPr/>
        <w:tc>
          <w:tcPr>
            <w:tcW w:w="724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Investments, at equity, and advances to 50% or less owned companies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3,253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3,024</w:t>
            </w:r>
          </w:p>
        </w:tc>
        <w:tc>
          <w:tcPr>
            <w:tcW w:w="513" w:type="dxa"/>
            <w:tcBorders/>
            <w:vAlign w:val="center"/>
          </w:tcPr>
          <w:p>
            <w:pPr>
              <w:pStyle w:val="TableContents"/>
              <w:bidi w:val="0"/>
              <w:spacing w:before="0" w:after="0"/>
              <w:ind w:left="0" w:right="0" w:hanging="0"/>
              <w:jc w:val="left"/>
              <w:rPr/>
            </w:pPr>
            <w:r>
              <w:rPr/>
              <w:t> </w:t>
            </w:r>
          </w:p>
        </w:tc>
      </w:tr>
      <w:tr>
        <w:trPr/>
        <w:tc>
          <w:tcPr>
            <w:tcW w:w="724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Other assets</w:t>
            </w:r>
          </w:p>
        </w:tc>
        <w:tc>
          <w:tcPr>
            <w:tcW w:w="146" w:type="dxa"/>
            <w:tcBorders/>
            <w:vAlign w:val="center"/>
          </w:tcPr>
          <w:p>
            <w:pPr>
              <w:pStyle w:val="TableContents"/>
              <w:bidi w:val="0"/>
              <w:spacing w:before="0" w:after="0"/>
              <w:ind w:left="0" w:right="0" w:hanging="0"/>
              <w:jc w:val="left"/>
              <w:rPr/>
            </w:pPr>
            <w:r>
              <w:rPr/>
              <w:t> </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2,139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1,995</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firstLine="320"/>
              <w:jc w:val="left"/>
              <w:rPr/>
            </w:pPr>
            <w:r>
              <w:rPr/>
              <w:t> </w:t>
            </w:r>
          </w:p>
        </w:tc>
      </w:tr>
      <w:tr>
        <w:trPr/>
        <w:tc>
          <w:tcPr>
            <w:tcW w:w="7243" w:type="dxa"/>
            <w:tcBorders/>
            <w:vAlign w:val="center"/>
          </w:tcPr>
          <w:p>
            <w:pPr>
              <w:pStyle w:val="TableContents"/>
              <w:bidi w:val="0"/>
              <w:spacing w:before="0" w:after="0"/>
              <w:ind w:left="320" w:right="0" w:hanging="0"/>
              <w:jc w:val="left"/>
              <w:rPr>
                <w:rFonts w:ascii="Times New Roman;serif" w:hAnsi="Times New Roman;serif"/>
                <w:b w:val="false"/>
                <w:sz w:val="14"/>
              </w:rPr>
            </w:pPr>
            <w:r>
              <w:rPr>
                <w:rFonts w:ascii="Times New Roman;serif" w:hAnsi="Times New Roman;serif"/>
                <w:b w:val="false"/>
                <w:sz w:val="14"/>
              </w:rPr>
              <w:t>Total assets</w:t>
            </w:r>
          </w:p>
        </w:tc>
        <w:tc>
          <w:tcPr>
            <w:tcW w:w="146" w:type="dxa"/>
            <w:tcBorders/>
            <w:vAlign w:val="center"/>
          </w:tcPr>
          <w:p>
            <w:pPr>
              <w:pStyle w:val="TableContents"/>
              <w:bidi w:val="0"/>
              <w:spacing w:before="0" w:after="0"/>
              <w:ind w:left="0" w:right="0" w:hanging="0"/>
              <w:jc w:val="left"/>
              <w:rPr/>
            </w:pPr>
            <w:r>
              <w:rPr/>
              <w:t> </w:t>
            </w:r>
          </w:p>
        </w:tc>
        <w:tc>
          <w:tcPr>
            <w:tcW w:w="2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784,199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815,630</w:t>
            </w:r>
          </w:p>
        </w:tc>
        <w:tc>
          <w:tcPr>
            <w:tcW w:w="5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43"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LIABILITIES AND EQUITY</w:t>
            </w:r>
          </w:p>
        </w:tc>
        <w:tc>
          <w:tcPr>
            <w:tcW w:w="146" w:type="dxa"/>
            <w:tcBorders/>
            <w:vAlign w:val="center"/>
          </w:tcPr>
          <w:p>
            <w:pPr>
              <w:pStyle w:val="TableContents"/>
              <w:bidi w:val="0"/>
              <w:spacing w:before="0" w:after="0"/>
              <w:ind w:left="0" w:right="0" w:hanging="0"/>
              <w:jc w:val="left"/>
              <w:rPr/>
            </w:pPr>
            <w:r>
              <w:rPr/>
              <w:t> </w:t>
            </w:r>
          </w:p>
        </w:tc>
        <w:tc>
          <w:tcPr>
            <w:tcW w:w="898"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8" w:type="dxa"/>
            <w:gridSpan w:val="2"/>
            <w:tcBorders/>
            <w:vAlign w:val="center"/>
          </w:tcPr>
          <w:p>
            <w:pPr>
              <w:pStyle w:val="TableContents"/>
              <w:bidi w:val="0"/>
              <w:spacing w:before="0" w:after="0"/>
              <w:ind w:left="0" w:right="0" w:hanging="0"/>
              <w:jc w:val="right"/>
              <w:rPr/>
            </w:pPr>
            <w:r>
              <w:rPr/>
              <w:t> </w:t>
            </w:r>
          </w:p>
        </w:tc>
        <w:tc>
          <w:tcPr>
            <w:tcW w:w="513" w:type="dxa"/>
            <w:tcBorders/>
            <w:vAlign w:val="center"/>
          </w:tcPr>
          <w:p>
            <w:pPr>
              <w:pStyle w:val="TableContents"/>
              <w:bidi w:val="0"/>
              <w:spacing w:before="0" w:after="0"/>
              <w:ind w:left="0" w:right="0" w:hanging="0"/>
              <w:jc w:val="right"/>
              <w:rPr/>
            </w:pPr>
            <w:r>
              <w:rPr/>
              <w:t> </w:t>
            </w:r>
          </w:p>
        </w:tc>
      </w:tr>
      <w:tr>
        <w:trPr/>
        <w:tc>
          <w:tcPr>
            <w:tcW w:w="724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Current Liabilities:</w:t>
            </w:r>
          </w:p>
        </w:tc>
        <w:tc>
          <w:tcPr>
            <w:tcW w:w="146" w:type="dxa"/>
            <w:tcBorders/>
            <w:vAlign w:val="center"/>
          </w:tcPr>
          <w:p>
            <w:pPr>
              <w:pStyle w:val="TableContents"/>
              <w:bidi w:val="0"/>
              <w:spacing w:before="0" w:after="0"/>
              <w:ind w:left="0" w:right="0" w:hanging="0"/>
              <w:jc w:val="left"/>
              <w:rPr/>
            </w:pPr>
            <w:r>
              <w:rPr/>
              <w:t> </w:t>
            </w:r>
          </w:p>
        </w:tc>
        <w:tc>
          <w:tcPr>
            <w:tcW w:w="898"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8" w:type="dxa"/>
            <w:gridSpan w:val="2"/>
            <w:tcBorders/>
            <w:vAlign w:val="center"/>
          </w:tcPr>
          <w:p>
            <w:pPr>
              <w:pStyle w:val="TableContents"/>
              <w:bidi w:val="0"/>
              <w:spacing w:before="0" w:after="0"/>
              <w:ind w:left="0" w:right="0" w:hanging="0"/>
              <w:jc w:val="right"/>
              <w:rPr/>
            </w:pPr>
            <w:r>
              <w:rPr/>
              <w:t> </w:t>
            </w:r>
          </w:p>
        </w:tc>
        <w:tc>
          <w:tcPr>
            <w:tcW w:w="513" w:type="dxa"/>
            <w:tcBorders/>
            <w:vAlign w:val="center"/>
          </w:tcPr>
          <w:p>
            <w:pPr>
              <w:pStyle w:val="TableContents"/>
              <w:bidi w:val="0"/>
              <w:spacing w:before="0" w:after="0"/>
              <w:ind w:left="0" w:right="0" w:firstLine="160"/>
              <w:jc w:val="righ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Current portion of operating lease liabilities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1,792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2,358</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Current portion of finance lease liabilities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468</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Current portion of long-term debt:</w:t>
            </w:r>
          </w:p>
        </w:tc>
        <w:tc>
          <w:tcPr>
            <w:tcW w:w="146" w:type="dxa"/>
            <w:tcBorders/>
            <w:vAlign w:val="center"/>
          </w:tcPr>
          <w:p>
            <w:pPr>
              <w:pStyle w:val="TableContents"/>
              <w:bidi w:val="0"/>
              <w:spacing w:before="0" w:after="0"/>
              <w:ind w:left="0" w:right="0" w:hanging="0"/>
              <w:jc w:val="left"/>
              <w:rPr/>
            </w:pPr>
            <w:r>
              <w:rPr/>
              <w:t> </w:t>
            </w:r>
          </w:p>
        </w:tc>
        <w:tc>
          <w:tcPr>
            <w:tcW w:w="898"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8" w:type="dxa"/>
            <w:gridSpan w:val="2"/>
            <w:tcBorders/>
            <w:vAlign w:val="center"/>
          </w:tcPr>
          <w:p>
            <w:pPr>
              <w:pStyle w:val="TableContents"/>
              <w:bidi w:val="0"/>
              <w:spacing w:before="0" w:after="0"/>
              <w:ind w:left="0" w:right="0" w:hanging="0"/>
              <w:jc w:val="right"/>
              <w:rPr/>
            </w:pPr>
            <w:r>
              <w:rPr/>
              <w:t> </w:t>
            </w:r>
          </w:p>
        </w:tc>
        <w:tc>
          <w:tcPr>
            <w:tcW w:w="513" w:type="dxa"/>
            <w:tcBorders/>
            <w:vAlign w:val="center"/>
          </w:tcPr>
          <w:p>
            <w:pPr>
              <w:pStyle w:val="TableContents"/>
              <w:bidi w:val="0"/>
              <w:spacing w:before="0" w:after="0"/>
              <w:ind w:left="0" w:right="0" w:firstLine="320"/>
              <w:jc w:val="right"/>
              <w:rPr/>
            </w:pPr>
            <w:r>
              <w:rPr/>
              <w:t> </w:t>
            </w:r>
          </w:p>
        </w:tc>
      </w:tr>
      <w:tr>
        <w:trPr/>
        <w:tc>
          <w:tcPr>
            <w:tcW w:w="7243" w:type="dxa"/>
            <w:tcBorders/>
            <w:vAlign w:val="center"/>
          </w:tcPr>
          <w:p>
            <w:pPr>
              <w:pStyle w:val="TableContents"/>
              <w:bidi w:val="0"/>
              <w:spacing w:before="0" w:after="0"/>
              <w:ind w:left="320" w:right="0" w:hanging="0"/>
              <w:jc w:val="left"/>
              <w:rPr>
                <w:rFonts w:ascii="Times New Roman;serif" w:hAnsi="Times New Roman;serif"/>
                <w:b w:val="false"/>
                <w:sz w:val="14"/>
              </w:rPr>
            </w:pPr>
            <w:r>
              <w:rPr>
                <w:rFonts w:ascii="Times New Roman;serif" w:hAnsi="Times New Roman;serif"/>
                <w:b w:val="false"/>
                <w:sz w:val="14"/>
              </w:rPr>
              <w:t>Recourse</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63,959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61,512</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39,012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37,954</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Due to SEACOR Holdings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264</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Accrued wages and benefits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2,449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4,361</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Accrued interest</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1,511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2,305</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Deferred revenue and unearned revenue</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3,643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2,333</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Accrued capital, repair, and maintenance expenditures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4,370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2,748</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Accrued insurance deductibles and premiums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2,517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2,428</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Accrued professional fees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1,114</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Other current liabilities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5,413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3,580</w:t>
            </w:r>
          </w:p>
        </w:tc>
        <w:tc>
          <w:tcPr>
            <w:tcW w:w="513" w:type="dxa"/>
            <w:tcBorders/>
            <w:vAlign w:val="center"/>
          </w:tcPr>
          <w:p>
            <w:pPr>
              <w:pStyle w:val="TableContents"/>
              <w:bidi w:val="0"/>
              <w:spacing w:before="0" w:after="0"/>
              <w:ind w:left="0" w:right="0" w:firstLine="320"/>
              <w:jc w:val="left"/>
              <w:rPr/>
            </w:pPr>
            <w:r>
              <w:rPr/>
              <w:t> </w:t>
            </w:r>
          </w:p>
        </w:tc>
      </w:tr>
      <w:tr>
        <w:trPr/>
        <w:tc>
          <w:tcPr>
            <w:tcW w:w="7243" w:type="dxa"/>
            <w:tcBorders/>
            <w:vAlign w:val="center"/>
          </w:tcPr>
          <w:p>
            <w:pPr>
              <w:pStyle w:val="TableContents"/>
              <w:bidi w:val="0"/>
              <w:spacing w:before="0" w:after="0"/>
              <w:ind w:left="320" w:right="0" w:hanging="0"/>
              <w:jc w:val="left"/>
              <w:rPr>
                <w:rFonts w:ascii="Times New Roman;serif" w:hAnsi="Times New Roman;serif"/>
                <w:b w:val="false"/>
                <w:sz w:val="14"/>
              </w:rPr>
            </w:pPr>
            <w:r>
              <w:rPr>
                <w:rFonts w:ascii="Times New Roman;serif" w:hAnsi="Times New Roman;serif"/>
                <w:b w:val="false"/>
                <w:sz w:val="14"/>
              </w:rPr>
              <w:t>Total current liabilities</w:t>
            </w:r>
          </w:p>
        </w:tc>
        <w:tc>
          <w:tcPr>
            <w:tcW w:w="146" w:type="dxa"/>
            <w:tcBorders/>
            <w:vAlign w:val="center"/>
          </w:tcPr>
          <w:p>
            <w:pPr>
              <w:pStyle w:val="TableContents"/>
              <w:bidi w:val="0"/>
              <w:spacing w:before="0" w:after="0"/>
              <w:ind w:left="0" w:right="0" w:hanging="0"/>
              <w:jc w:val="left"/>
              <w:rPr/>
            </w:pPr>
            <w:r>
              <w:rPr/>
              <w:t> </w:t>
            </w:r>
          </w:p>
        </w:tc>
        <w:tc>
          <w:tcPr>
            <w:tcW w:w="20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9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126,665</w:t>
            </w:r>
          </w:p>
        </w:tc>
        <w:tc>
          <w:tcPr>
            <w:tcW w:w="1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6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121,425</w:t>
            </w:r>
          </w:p>
        </w:tc>
        <w:tc>
          <w:tcPr>
            <w:tcW w:w="51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724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Long-term operating lease liabilities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4,030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4,739</w:t>
            </w:r>
          </w:p>
        </w:tc>
        <w:tc>
          <w:tcPr>
            <w:tcW w:w="513" w:type="dxa"/>
            <w:tcBorders/>
            <w:vAlign w:val="center"/>
          </w:tcPr>
          <w:p>
            <w:pPr>
              <w:pStyle w:val="TableContents"/>
              <w:bidi w:val="0"/>
              <w:spacing w:before="0" w:after="0"/>
              <w:ind w:left="0" w:right="0" w:hanging="0"/>
              <w:jc w:val="left"/>
              <w:rPr/>
            </w:pPr>
            <w:r>
              <w:rPr/>
              <w:t> </w:t>
            </w:r>
          </w:p>
        </w:tc>
      </w:tr>
      <w:tr>
        <w:trPr/>
        <w:tc>
          <w:tcPr>
            <w:tcW w:w="724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Long-term finance lease liabilities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6,462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6,781</w:t>
            </w:r>
          </w:p>
        </w:tc>
        <w:tc>
          <w:tcPr>
            <w:tcW w:w="513" w:type="dxa"/>
            <w:tcBorders/>
            <w:vAlign w:val="center"/>
          </w:tcPr>
          <w:p>
            <w:pPr>
              <w:pStyle w:val="TableContents"/>
              <w:bidi w:val="0"/>
              <w:spacing w:before="0" w:after="0"/>
              <w:ind w:left="0" w:right="0" w:hanging="0"/>
              <w:jc w:val="left"/>
              <w:rPr/>
            </w:pPr>
            <w:r>
              <w:rPr/>
              <w:t> </w:t>
            </w:r>
          </w:p>
        </w:tc>
      </w:tr>
      <w:tr>
        <w:trPr/>
        <w:tc>
          <w:tcPr>
            <w:tcW w:w="724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Long-term Debt:</w:t>
            </w:r>
          </w:p>
        </w:tc>
        <w:tc>
          <w:tcPr>
            <w:tcW w:w="146" w:type="dxa"/>
            <w:tcBorders/>
            <w:vAlign w:val="center"/>
          </w:tcPr>
          <w:p>
            <w:pPr>
              <w:pStyle w:val="TableContents"/>
              <w:bidi w:val="0"/>
              <w:spacing w:before="0" w:after="0"/>
              <w:ind w:left="0" w:right="0" w:hanging="0"/>
              <w:jc w:val="left"/>
              <w:rPr/>
            </w:pPr>
            <w:r>
              <w:rPr/>
              <w:t> </w:t>
            </w:r>
          </w:p>
        </w:tc>
        <w:tc>
          <w:tcPr>
            <w:tcW w:w="898"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8" w:type="dxa"/>
            <w:gridSpan w:val="2"/>
            <w:tcBorders/>
            <w:vAlign w:val="center"/>
          </w:tcPr>
          <w:p>
            <w:pPr>
              <w:pStyle w:val="TableContents"/>
              <w:bidi w:val="0"/>
              <w:spacing w:before="0" w:after="0"/>
              <w:ind w:left="0" w:right="0" w:hanging="0"/>
              <w:jc w:val="right"/>
              <w:rPr/>
            </w:pPr>
            <w:r>
              <w:rPr/>
              <w:t> </w:t>
            </w:r>
          </w:p>
        </w:tc>
        <w:tc>
          <w:tcPr>
            <w:tcW w:w="513" w:type="dxa"/>
            <w:tcBorders/>
            <w:vAlign w:val="center"/>
          </w:tcPr>
          <w:p>
            <w:pPr>
              <w:pStyle w:val="TableContents"/>
              <w:bidi w:val="0"/>
              <w:spacing w:before="0" w:after="0"/>
              <w:ind w:left="0" w:right="0" w:firstLine="160"/>
              <w:jc w:val="righ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Recourse</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238,474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254,653</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Non-recourse</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5,486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5,466</w:t>
            </w:r>
          </w:p>
        </w:tc>
        <w:tc>
          <w:tcPr>
            <w:tcW w:w="513" w:type="dxa"/>
            <w:tcBorders/>
            <w:vAlign w:val="center"/>
          </w:tcPr>
          <w:p>
            <w:pPr>
              <w:pStyle w:val="TableContents"/>
              <w:bidi w:val="0"/>
              <w:spacing w:before="0" w:after="0"/>
              <w:ind w:left="0" w:right="0" w:hanging="0"/>
              <w:jc w:val="left"/>
              <w:rPr/>
            </w:pPr>
            <w:r>
              <w:rPr/>
              <w:t> </w:t>
            </w:r>
          </w:p>
        </w:tc>
      </w:tr>
      <w:tr>
        <w:trPr/>
        <w:tc>
          <w:tcPr>
            <w:tcW w:w="724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Deferred income taxes</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34,038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40,779</w:t>
            </w:r>
          </w:p>
        </w:tc>
        <w:tc>
          <w:tcPr>
            <w:tcW w:w="513" w:type="dxa"/>
            <w:tcBorders/>
            <w:vAlign w:val="center"/>
          </w:tcPr>
          <w:p>
            <w:pPr>
              <w:pStyle w:val="TableContents"/>
              <w:bidi w:val="0"/>
              <w:spacing w:before="0" w:after="0"/>
              <w:ind w:left="0" w:right="0" w:hanging="0"/>
              <w:jc w:val="left"/>
              <w:rPr/>
            </w:pPr>
            <w:r>
              <w:rPr/>
              <w:t> </w:t>
            </w:r>
          </w:p>
        </w:tc>
      </w:tr>
      <w:tr>
        <w:trPr/>
        <w:tc>
          <w:tcPr>
            <w:tcW w:w="724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Deferred gains and other liabilities</w:t>
            </w:r>
          </w:p>
        </w:tc>
        <w:tc>
          <w:tcPr>
            <w:tcW w:w="146" w:type="dxa"/>
            <w:tcBorders/>
            <w:vAlign w:val="center"/>
          </w:tcPr>
          <w:p>
            <w:pPr>
              <w:pStyle w:val="TableContents"/>
              <w:bidi w:val="0"/>
              <w:spacing w:before="0" w:after="0"/>
              <w:ind w:left="0" w:right="0" w:hanging="0"/>
              <w:jc w:val="left"/>
              <w:rPr/>
            </w:pPr>
            <w:r>
              <w:rPr/>
              <w:t> </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2,189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2,641</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firstLine="320"/>
              <w:jc w:val="left"/>
              <w:rPr/>
            </w:pPr>
            <w:r>
              <w:rPr/>
              <w:t> </w:t>
            </w:r>
          </w:p>
        </w:tc>
      </w:tr>
      <w:tr>
        <w:trPr/>
        <w:tc>
          <w:tcPr>
            <w:tcW w:w="7243" w:type="dxa"/>
            <w:tcBorders/>
            <w:vAlign w:val="center"/>
          </w:tcPr>
          <w:p>
            <w:pPr>
              <w:pStyle w:val="TableContents"/>
              <w:bidi w:val="0"/>
              <w:spacing w:before="0" w:after="0"/>
              <w:ind w:left="320" w:right="0" w:hanging="0"/>
              <w:jc w:val="left"/>
              <w:rPr>
                <w:rFonts w:ascii="Times New Roman;serif" w:hAnsi="Times New Roman;serif"/>
                <w:b w:val="false"/>
                <w:sz w:val="14"/>
              </w:rPr>
            </w:pPr>
            <w:r>
              <w:rPr>
                <w:rFonts w:ascii="Times New Roman;serif" w:hAnsi="Times New Roman;serif"/>
                <w:b w:val="false"/>
                <w:sz w:val="14"/>
              </w:rPr>
              <w:t>Total liabilities</w:t>
            </w:r>
          </w:p>
        </w:tc>
        <w:tc>
          <w:tcPr>
            <w:tcW w:w="146" w:type="dxa"/>
            <w:tcBorders/>
            <w:vAlign w:val="center"/>
          </w:tcPr>
          <w:p>
            <w:pPr>
              <w:pStyle w:val="TableContents"/>
              <w:bidi w:val="0"/>
              <w:spacing w:before="0" w:after="0"/>
              <w:ind w:left="0" w:right="0" w:hanging="0"/>
              <w:jc w:val="left"/>
              <w:rPr/>
            </w:pPr>
            <w:r>
              <w:rPr/>
              <w:t> </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417,344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436,484</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4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Equity:</w:t>
            </w:r>
          </w:p>
        </w:tc>
        <w:tc>
          <w:tcPr>
            <w:tcW w:w="146" w:type="dxa"/>
            <w:tcBorders/>
            <w:vAlign w:val="center"/>
          </w:tcPr>
          <w:p>
            <w:pPr>
              <w:pStyle w:val="TableContents"/>
              <w:bidi w:val="0"/>
              <w:spacing w:before="0" w:after="0"/>
              <w:ind w:left="0" w:right="0" w:hanging="0"/>
              <w:jc w:val="left"/>
              <w:rPr/>
            </w:pPr>
            <w:r>
              <w:rPr/>
              <w:t> </w:t>
            </w:r>
          </w:p>
        </w:tc>
        <w:tc>
          <w:tcPr>
            <w:tcW w:w="898"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8" w:type="dxa"/>
            <w:gridSpan w:val="2"/>
            <w:tcBorders/>
            <w:vAlign w:val="center"/>
          </w:tcPr>
          <w:p>
            <w:pPr>
              <w:pStyle w:val="TableContents"/>
              <w:bidi w:val="0"/>
              <w:spacing w:before="0" w:after="0"/>
              <w:ind w:left="0" w:right="0" w:hanging="0"/>
              <w:jc w:val="right"/>
              <w:rPr/>
            </w:pPr>
            <w:r>
              <w:rPr/>
              <w:t> </w:t>
            </w:r>
          </w:p>
        </w:tc>
        <w:tc>
          <w:tcPr>
            <w:tcW w:w="513" w:type="dxa"/>
            <w:tcBorders/>
            <w:vAlign w:val="center"/>
          </w:tcPr>
          <w:p>
            <w:pPr>
              <w:pStyle w:val="TableContents"/>
              <w:bidi w:val="0"/>
              <w:spacing w:before="0" w:after="0"/>
              <w:ind w:left="0" w:right="0" w:firstLine="160"/>
              <w:jc w:val="righ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SEACOR Marine Holdings Inc. stockholders’ equity:</w:t>
            </w:r>
          </w:p>
        </w:tc>
        <w:tc>
          <w:tcPr>
            <w:tcW w:w="146" w:type="dxa"/>
            <w:tcBorders/>
            <w:vAlign w:val="center"/>
          </w:tcPr>
          <w:p>
            <w:pPr>
              <w:pStyle w:val="TableContents"/>
              <w:bidi w:val="0"/>
              <w:spacing w:before="0" w:after="0"/>
              <w:ind w:left="0" w:right="0" w:hanging="0"/>
              <w:jc w:val="left"/>
              <w:rPr/>
            </w:pPr>
            <w:r>
              <w:rPr/>
              <w:t> </w:t>
            </w:r>
          </w:p>
        </w:tc>
        <w:tc>
          <w:tcPr>
            <w:tcW w:w="898"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8" w:type="dxa"/>
            <w:gridSpan w:val="2"/>
            <w:tcBorders/>
            <w:vAlign w:val="center"/>
          </w:tcPr>
          <w:p>
            <w:pPr>
              <w:pStyle w:val="TableContents"/>
              <w:bidi w:val="0"/>
              <w:spacing w:before="0" w:after="0"/>
              <w:ind w:left="0" w:right="0" w:hanging="0"/>
              <w:jc w:val="right"/>
              <w:rPr/>
            </w:pPr>
            <w:r>
              <w:rPr/>
              <w:t> </w:t>
            </w:r>
          </w:p>
        </w:tc>
        <w:tc>
          <w:tcPr>
            <w:tcW w:w="513" w:type="dxa"/>
            <w:tcBorders/>
            <w:vAlign w:val="center"/>
          </w:tcPr>
          <w:p>
            <w:pPr>
              <w:pStyle w:val="TableContents"/>
              <w:bidi w:val="0"/>
              <w:spacing w:before="0" w:after="0"/>
              <w:ind w:left="0" w:right="0" w:firstLine="160"/>
              <w:jc w:val="right"/>
              <w:rPr/>
            </w:pPr>
            <w:r>
              <w:rPr/>
              <w:t> </w:t>
            </w:r>
          </w:p>
        </w:tc>
      </w:tr>
      <w:tr>
        <w:trPr/>
        <w:tc>
          <w:tcPr>
            <w:tcW w:w="724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4"/>
              </w:rPr>
              <w:t>Common stock, $.01</w:t>
            </w:r>
            <w:r>
              <w:rPr>
                <w:rFonts w:ascii="Times New Roman" w:hAnsi="Times New Roman"/>
                <w:sz w:val="20"/>
              </w:rPr>
              <w:t> </w:t>
            </w:r>
            <w:r>
              <w:rPr>
                <w:rFonts w:ascii="Times New Roman;serif" w:hAnsi="Times New Roman;serif"/>
                <w:b w:val="false"/>
                <w:sz w:val="14"/>
              </w:rPr>
              <w:t>par value, 60,000,000</w:t>
            </w:r>
            <w:r>
              <w:rPr>
                <w:rFonts w:ascii="Times New Roman" w:hAnsi="Times New Roman"/>
                <w:sz w:val="20"/>
              </w:rPr>
              <w:t> </w:t>
            </w:r>
            <w:r>
              <w:rPr>
                <w:rFonts w:ascii="Times New Roman;serif" w:hAnsi="Times New Roman;serif"/>
                <w:b w:val="false"/>
                <w:sz w:val="14"/>
              </w:rPr>
              <w:t>shares authorized; 27,640,483</w:t>
            </w:r>
            <w:r>
              <w:rPr>
                <w:rFonts w:ascii="Times New Roman" w:hAnsi="Times New Roman"/>
                <w:sz w:val="20"/>
              </w:rPr>
              <w:t> </w:t>
            </w:r>
            <w:r>
              <w:rPr>
                <w:rFonts w:ascii="Times New Roman;serif" w:hAnsi="Times New Roman;serif"/>
                <w:b w:val="false"/>
                <w:sz w:val="14"/>
              </w:rPr>
              <w:t>and 26,950,799</w:t>
            </w:r>
            <w:r>
              <w:rPr>
                <w:rFonts w:ascii="Times New Roman" w:hAnsi="Times New Roman"/>
                <w:sz w:val="20"/>
              </w:rPr>
              <w:t> </w:t>
            </w:r>
            <w:r>
              <w:rPr>
                <w:rFonts w:ascii="Times New Roman;serif" w:hAnsi="Times New Roman;serif"/>
                <w:b w:val="false"/>
                <w:sz w:val="14"/>
              </w:rPr>
              <w:t>shares issued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272</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Additional paid-in capital</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469,618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466,669</w:t>
            </w:r>
          </w:p>
        </w:tc>
        <w:tc>
          <w:tcPr>
            <w:tcW w:w="513" w:type="dxa"/>
            <w:tcBorders/>
            <w:vAlign w:val="center"/>
          </w:tcPr>
          <w:p>
            <w:pPr>
              <w:pStyle w:val="TableContents"/>
              <w:bidi w:val="0"/>
              <w:spacing w:before="0" w:after="0"/>
              <w:ind w:left="0" w:right="0" w:firstLine="160"/>
              <w:jc w:val="left"/>
              <w:rPr/>
            </w:pPr>
            <w:r>
              <w:rPr/>
              <w:t> </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Accumulated deficit</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(107,271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(93,111</w:t>
            </w:r>
          </w:p>
        </w:tc>
        <w:tc>
          <w:tcPr>
            <w:tcW w:w="513"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724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4"/>
              </w:rPr>
              <w:t>Shares held in treasury of 480,998</w:t>
            </w:r>
            <w:r>
              <w:rPr>
                <w:rFonts w:ascii="Times New Roman" w:hAnsi="Times New Roman"/>
                <w:sz w:val="20"/>
              </w:rPr>
              <w:t> </w:t>
            </w:r>
            <w:r>
              <w:rPr>
                <w:rFonts w:ascii="Times New Roman;serif" w:hAnsi="Times New Roman;serif"/>
                <w:b w:val="false"/>
                <w:sz w:val="14"/>
              </w:rPr>
              <w:t>and 248,638</w:t>
            </w:r>
            <w:r>
              <w:rPr>
                <w:rFonts w:ascii="Times New Roman" w:hAnsi="Times New Roman"/>
                <w:sz w:val="20"/>
              </w:rPr>
              <w:t> </w:t>
            </w:r>
            <w:r>
              <w:rPr>
                <w:rFonts w:ascii="Times New Roman;serif" w:hAnsi="Times New Roman;serif"/>
                <w:b w:val="false"/>
                <w:sz w:val="14"/>
              </w:rPr>
              <w:t>as of June 30, 2023 and December 31, 2022, respectively, at cost</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(4,221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(1,852</w:t>
            </w:r>
          </w:p>
        </w:tc>
        <w:tc>
          <w:tcPr>
            <w:tcW w:w="513"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724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Accumulated other comprehensive income, net of tax</w:t>
            </w:r>
          </w:p>
        </w:tc>
        <w:tc>
          <w:tcPr>
            <w:tcW w:w="146" w:type="dxa"/>
            <w:tcBorders/>
            <w:vAlign w:val="center"/>
          </w:tcPr>
          <w:p>
            <w:pPr>
              <w:pStyle w:val="TableContents"/>
              <w:bidi w:val="0"/>
              <w:spacing w:before="0" w:after="0"/>
              <w:ind w:left="0" w:right="0" w:hanging="0"/>
              <w:jc w:val="left"/>
              <w:rPr/>
            </w:pPr>
            <w:r>
              <w:rPr/>
              <w:t> </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8,128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6,847</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43"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366,534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378,825</w:t>
            </w:r>
          </w:p>
        </w:tc>
        <w:tc>
          <w:tcPr>
            <w:tcW w:w="513" w:type="dxa"/>
            <w:tcBorders/>
            <w:vAlign w:val="center"/>
          </w:tcPr>
          <w:p>
            <w:pPr>
              <w:pStyle w:val="TableContents"/>
              <w:bidi w:val="0"/>
              <w:spacing w:before="0" w:after="0"/>
              <w:ind w:left="0" w:right="0" w:hanging="0"/>
              <w:jc w:val="left"/>
              <w:rPr/>
            </w:pPr>
            <w:r>
              <w:rPr/>
              <w:t> </w:t>
            </w:r>
          </w:p>
        </w:tc>
      </w:tr>
      <w:tr>
        <w:trPr/>
        <w:tc>
          <w:tcPr>
            <w:tcW w:w="724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Noncontrolling interests in subsidiaries</w:t>
            </w:r>
          </w:p>
        </w:tc>
        <w:tc>
          <w:tcPr>
            <w:tcW w:w="146" w:type="dxa"/>
            <w:tcBorders/>
            <w:vAlign w:val="center"/>
          </w:tcPr>
          <w:p>
            <w:pPr>
              <w:pStyle w:val="TableContents"/>
              <w:bidi w:val="0"/>
              <w:spacing w:before="0" w:after="0"/>
              <w:ind w:left="0" w:right="0" w:hanging="0"/>
              <w:jc w:val="left"/>
              <w:rPr/>
            </w:pPr>
            <w:r>
              <w:rPr/>
              <w:t> </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321</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firstLine="320"/>
              <w:jc w:val="left"/>
              <w:rPr/>
            </w:pPr>
            <w:r>
              <w:rPr/>
              <w:t> </w:t>
            </w:r>
          </w:p>
        </w:tc>
      </w:tr>
      <w:tr>
        <w:trPr/>
        <w:tc>
          <w:tcPr>
            <w:tcW w:w="7243" w:type="dxa"/>
            <w:tcBorders/>
            <w:vAlign w:val="center"/>
          </w:tcPr>
          <w:p>
            <w:pPr>
              <w:pStyle w:val="TableContents"/>
              <w:bidi w:val="0"/>
              <w:spacing w:before="0" w:after="0"/>
              <w:ind w:left="320" w:right="0" w:hanging="0"/>
              <w:jc w:val="left"/>
              <w:rPr>
                <w:rFonts w:ascii="Times New Roman;serif" w:hAnsi="Times New Roman;serif"/>
                <w:b w:val="false"/>
                <w:sz w:val="14"/>
              </w:rPr>
            </w:pPr>
            <w:r>
              <w:rPr>
                <w:rFonts w:ascii="Times New Roman;serif" w:hAnsi="Times New Roman;serif"/>
                <w:b w:val="false"/>
                <w:sz w:val="14"/>
              </w:rPr>
              <w:t>Total equity</w:t>
            </w:r>
          </w:p>
        </w:tc>
        <w:tc>
          <w:tcPr>
            <w:tcW w:w="146" w:type="dxa"/>
            <w:tcBorders/>
            <w:vAlign w:val="center"/>
          </w:tcPr>
          <w:p>
            <w:pPr>
              <w:pStyle w:val="TableContents"/>
              <w:bidi w:val="0"/>
              <w:spacing w:before="0" w:after="0"/>
              <w:ind w:left="0" w:right="0" w:hanging="0"/>
              <w:jc w:val="left"/>
              <w:rPr/>
            </w:pPr>
            <w:r>
              <w:rPr/>
              <w:t> </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366,855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379,146</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firstLine="320"/>
              <w:jc w:val="left"/>
              <w:rPr/>
            </w:pPr>
            <w:r>
              <w:rPr/>
              <w:t> </w:t>
            </w:r>
          </w:p>
        </w:tc>
      </w:tr>
      <w:tr>
        <w:trPr/>
        <w:tc>
          <w:tcPr>
            <w:tcW w:w="7243" w:type="dxa"/>
            <w:tcBorders/>
            <w:vAlign w:val="center"/>
          </w:tcPr>
          <w:p>
            <w:pPr>
              <w:pStyle w:val="TableContents"/>
              <w:bidi w:val="0"/>
              <w:spacing w:before="0" w:after="0"/>
              <w:ind w:left="320" w:right="0" w:hanging="0"/>
              <w:jc w:val="left"/>
              <w:rPr>
                <w:rFonts w:ascii="Times New Roman;serif" w:hAnsi="Times New Roman;serif"/>
                <w:b w:val="false"/>
                <w:sz w:val="14"/>
              </w:rPr>
            </w:pPr>
            <w:r>
              <w:rPr>
                <w:rFonts w:ascii="Times New Roman;serif" w:hAnsi="Times New Roman;serif"/>
                <w:b w:val="false"/>
                <w:sz w:val="14"/>
              </w:rPr>
              <w:t>Total liabilities and equity</w:t>
            </w:r>
          </w:p>
        </w:tc>
        <w:tc>
          <w:tcPr>
            <w:tcW w:w="146" w:type="dxa"/>
            <w:tcBorders/>
            <w:vAlign w:val="center"/>
          </w:tcPr>
          <w:p>
            <w:pPr>
              <w:pStyle w:val="TableContents"/>
              <w:bidi w:val="0"/>
              <w:spacing w:before="0" w:after="0"/>
              <w:ind w:left="0" w:right="0" w:hanging="0"/>
              <w:jc w:val="left"/>
              <w:rPr/>
            </w:pPr>
            <w:r>
              <w:rPr/>
              <w:t> </w:t>
            </w:r>
          </w:p>
        </w:tc>
        <w:tc>
          <w:tcPr>
            <w:tcW w:w="2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784,199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815,630</w:t>
            </w:r>
          </w:p>
        </w:tc>
        <w:tc>
          <w:tcPr>
            <w:tcW w:w="5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120" w:after="0"/>
        <w:jc w:val="center"/>
        <w:rPr>
          <w:rFonts w:ascii="Times New Roman" w:hAnsi="Times New Roman"/>
          <w:sz w:val="20"/>
        </w:rPr>
      </w:pPr>
      <w:r>
        <w:rPr>
          <w:rFonts w:ascii="Times New Roman;serif" w:hAnsi="Times New Roman;serif"/>
          <w:b w:val="false"/>
          <w:sz w:val="16"/>
        </w:rPr>
        <w:t>The accompanying notes are an integral part of these condensed consolidated financial statements and should be read in conjunction herewith.</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4"/>
        </w:rPr>
      </w:pPr>
      <w:r>
        <w:rPr>
          <w:rFonts w:ascii="Times New Roman;serif" w:hAnsi="Times New Roman;serif"/>
          <w:b/>
          <w:sz w:val="24"/>
        </w:rPr>
        <w:t>SEACOR MARINE HOLDINGS INC.</w:t>
      </w:r>
    </w:p>
    <w:p>
      <w:pPr>
        <w:pStyle w:val="TextBody"/>
        <w:bidi w:val="0"/>
        <w:spacing w:before="0" w:after="0"/>
        <w:jc w:val="center"/>
        <w:rPr>
          <w:rFonts w:ascii="Times New Roman;serif" w:hAnsi="Times New Roman;serif"/>
          <w:b/>
          <w:sz w:val="24"/>
        </w:rPr>
      </w:pPr>
      <w:bookmarkStart w:id="6" w:name="unaudited_condensed_consolidated"/>
      <w:bookmarkEnd w:id="6"/>
      <w:r>
        <w:rPr>
          <w:rFonts w:ascii="Times New Roman;serif" w:hAnsi="Times New Roman;serif"/>
          <w:b/>
          <w:sz w:val="24"/>
        </w:rPr>
        <w:t>UNAUDITED CONDENSED CONSOLIDATED STATEMENTS OF INCOME (LOSS)</w:t>
      </w:r>
    </w:p>
    <w:p>
      <w:pPr>
        <w:pStyle w:val="TextBody"/>
        <w:bidi w:val="0"/>
        <w:spacing w:before="0" w:after="0"/>
        <w:jc w:val="center"/>
        <w:rPr>
          <w:rFonts w:ascii="Times New Roman;serif" w:hAnsi="Times New Roman;serif"/>
          <w:b/>
          <w:sz w:val="24"/>
        </w:rPr>
      </w:pPr>
      <w:r>
        <w:rPr>
          <w:rFonts w:ascii="Times New Roman;serif" w:hAnsi="Times New Roman;serif"/>
          <w:b/>
          <w:sz w:val="24"/>
        </w:rPr>
        <w:t>(in thousands, except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264"/>
        <w:gridCol w:w="146"/>
        <w:gridCol w:w="196"/>
        <w:gridCol w:w="916"/>
        <w:gridCol w:w="166"/>
        <w:gridCol w:w="146"/>
        <w:gridCol w:w="196"/>
        <w:gridCol w:w="916"/>
        <w:gridCol w:w="166"/>
        <w:gridCol w:w="146"/>
        <w:gridCol w:w="196"/>
        <w:gridCol w:w="916"/>
        <w:gridCol w:w="166"/>
        <w:gridCol w:w="146"/>
        <w:gridCol w:w="196"/>
        <w:gridCol w:w="916"/>
        <w:gridCol w:w="411"/>
      </w:tblGrid>
      <w:tr>
        <w:trPr/>
        <w:tc>
          <w:tcPr>
            <w:tcW w:w="4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Revenues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66,891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54,017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126,864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99,608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Costs and Expenses:</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26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44,145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73,575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83,641</w:t>
            </w:r>
          </w:p>
        </w:tc>
        <w:tc>
          <w:tcPr>
            <w:tcW w:w="411" w:type="dxa"/>
            <w:tcBorders/>
            <w:vAlign w:val="center"/>
          </w:tcPr>
          <w:p>
            <w:pPr>
              <w:pStyle w:val="TableContents"/>
              <w:bidi w:val="0"/>
              <w:spacing w:before="0" w:after="0"/>
              <w:ind w:left="0" w:right="0" w:firstLine="200"/>
              <w:jc w:val="left"/>
              <w:rPr/>
            </w:pPr>
            <w:r>
              <w:rPr/>
              <w:t> </w:t>
            </w:r>
          </w:p>
        </w:tc>
      </w:tr>
      <w:tr>
        <w:trPr/>
        <w:tc>
          <w:tcPr>
            <w:tcW w:w="426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Administrative and general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13,704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20,134</w:t>
            </w:r>
          </w:p>
        </w:tc>
        <w:tc>
          <w:tcPr>
            <w:tcW w:w="411" w:type="dxa"/>
            <w:tcBorders/>
            <w:vAlign w:val="center"/>
          </w:tcPr>
          <w:p>
            <w:pPr>
              <w:pStyle w:val="TableContents"/>
              <w:bidi w:val="0"/>
              <w:spacing w:before="0" w:after="0"/>
              <w:ind w:left="0" w:right="0" w:firstLine="200"/>
              <w:jc w:val="left"/>
              <w:rPr/>
            </w:pPr>
            <w:r>
              <w:rPr/>
              <w:t> </w:t>
            </w:r>
          </w:p>
        </w:tc>
      </w:tr>
      <w:tr>
        <w:trPr/>
        <w:tc>
          <w:tcPr>
            <w:tcW w:w="426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Lease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2,068</w:t>
            </w:r>
          </w:p>
        </w:tc>
        <w:tc>
          <w:tcPr>
            <w:tcW w:w="411" w:type="dxa"/>
            <w:tcBorders/>
            <w:vAlign w:val="center"/>
          </w:tcPr>
          <w:p>
            <w:pPr>
              <w:pStyle w:val="TableContents"/>
              <w:bidi w:val="0"/>
              <w:spacing w:before="0" w:after="0"/>
              <w:ind w:left="0" w:right="0" w:firstLine="200"/>
              <w:jc w:val="left"/>
              <w:rPr/>
            </w:pPr>
            <w:r>
              <w:rPr/>
              <w:t> </w:t>
            </w:r>
          </w:p>
        </w:tc>
      </w:tr>
      <w:tr>
        <w:trPr/>
        <w:tc>
          <w:tcPr>
            <w:tcW w:w="426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27,337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28,579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64,279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69,571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127,666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134,422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Gains on Asset Dispositions and Impairments, Net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2,164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Income (Loss)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(15,529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(32,650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Income (Expense):</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26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Interest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219</w:t>
            </w:r>
          </w:p>
        </w:tc>
        <w:tc>
          <w:tcPr>
            <w:tcW w:w="411" w:type="dxa"/>
            <w:tcBorders/>
            <w:vAlign w:val="center"/>
          </w:tcPr>
          <w:p>
            <w:pPr>
              <w:pStyle w:val="TableContents"/>
              <w:bidi w:val="0"/>
              <w:spacing w:before="0" w:after="0"/>
              <w:ind w:left="0" w:right="0" w:firstLine="200"/>
              <w:jc w:val="left"/>
              <w:rPr/>
            </w:pPr>
            <w:r>
              <w:rPr/>
              <w:t> </w:t>
            </w:r>
          </w:p>
        </w:tc>
      </w:tr>
      <w:tr>
        <w:trPr/>
        <w:tc>
          <w:tcPr>
            <w:tcW w:w="426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Interest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(17,524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(13,616</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426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Derivative gains (losses),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426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Foreign currency (losses) gains,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1,991</w:t>
            </w:r>
          </w:p>
        </w:tc>
        <w:tc>
          <w:tcPr>
            <w:tcW w:w="411" w:type="dxa"/>
            <w:tcBorders/>
            <w:vAlign w:val="center"/>
          </w:tcPr>
          <w:p>
            <w:pPr>
              <w:pStyle w:val="TableContents"/>
              <w:bidi w:val="0"/>
              <w:spacing w:before="0" w:after="0"/>
              <w:ind w:left="0" w:right="0" w:firstLine="200"/>
              <w:jc w:val="left"/>
              <w:rPr/>
            </w:pPr>
            <w:r>
              <w:rPr/>
              <w:t> </w:t>
            </w:r>
          </w:p>
        </w:tc>
      </w:tr>
      <w:tr>
        <w:trPr/>
        <w:tc>
          <w:tcPr>
            <w:tcW w:w="426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net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26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(11,448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Loss Before Income Tax (Benefit) Expense and Equity in Earnings of 50% or Less Owned Companies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(21,166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(44,098</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Income Tax (Benefit) Expense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(4,055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Loss Before Equity in Earnings of 50% or Less Owned Companies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(19,532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(40,043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Equity in Earnings of 50% or Less Owned Companies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6,089</w:t>
            </w:r>
          </w:p>
        </w:tc>
        <w:tc>
          <w:tcPr>
            <w:tcW w:w="411" w:type="dxa"/>
            <w:tcBorders/>
            <w:vAlign w:val="center"/>
          </w:tcPr>
          <w:p>
            <w:pPr>
              <w:pStyle w:val="TableContents"/>
              <w:bidi w:val="0"/>
              <w:spacing w:before="0" w:after="0"/>
              <w:ind w:left="0" w:right="0" w:hanging="0"/>
              <w:jc w:val="left"/>
              <w:rPr/>
            </w:pPr>
            <w:r>
              <w:rPr/>
              <w:t> </w:t>
            </w:r>
          </w:p>
        </w:tc>
      </w:tr>
      <w:tr>
        <w:trPr/>
        <w:tc>
          <w:tcPr>
            <w:tcW w:w="4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91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(4,571</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91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(19,117</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91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(14,160</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91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(33,954</w:t>
            </w:r>
          </w:p>
        </w:tc>
        <w:tc>
          <w:tcPr>
            <w:tcW w:w="4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Income attributable to Noncontrolling Interests in Subsidiaries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 attributable to SEACOR Marine Holdings Inc.</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(19,120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(33,957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26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4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 Per Share:</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26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Basic</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426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Diluted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Weighted Average Common Stock and Warrants Outstanding:</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26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Basic</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27,137,873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26,664,745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26,981,004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26,522,808</w:t>
            </w:r>
          </w:p>
        </w:tc>
        <w:tc>
          <w:tcPr>
            <w:tcW w:w="411" w:type="dxa"/>
            <w:tcBorders/>
            <w:vAlign w:val="center"/>
          </w:tcPr>
          <w:p>
            <w:pPr>
              <w:pStyle w:val="TableContents"/>
              <w:bidi w:val="0"/>
              <w:spacing w:before="0" w:after="0"/>
              <w:ind w:left="0" w:right="0" w:firstLine="200"/>
              <w:jc w:val="left"/>
              <w:rPr/>
            </w:pPr>
            <w:r>
              <w:rPr/>
              <w:t> </w:t>
            </w:r>
          </w:p>
        </w:tc>
      </w:tr>
      <w:tr>
        <w:trPr/>
        <w:tc>
          <w:tcPr>
            <w:tcW w:w="426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Diluted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27,137,873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26,664,745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26,981,004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26,522,808</w:t>
            </w:r>
          </w:p>
        </w:tc>
        <w:tc>
          <w:tcPr>
            <w:tcW w:w="4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 w:hAnsi="Times New Roman"/>
          <w:sz w:val="20"/>
        </w:rPr>
      </w:pPr>
      <w:r>
        <w:rPr>
          <w:rFonts w:ascii="Times New Roman;serif" w:hAnsi="Times New Roman;serif"/>
          <w:b w:val="false"/>
          <w:sz w:val="16"/>
        </w:rPr>
        <w:t>The accompanying notes are an integral part of these condensed consolidated financial statements and should be read in conjunction herewith.</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4"/>
        </w:rPr>
      </w:pPr>
      <w:r>
        <w:rPr>
          <w:rFonts w:ascii="Times New Roman;serif" w:hAnsi="Times New Roman;serif"/>
          <w:b/>
          <w:sz w:val="24"/>
        </w:rPr>
        <w:t>SEACOR MARINE HOLDINGS INC.</w:t>
      </w:r>
    </w:p>
    <w:p>
      <w:pPr>
        <w:pStyle w:val="TextBody"/>
        <w:bidi w:val="0"/>
        <w:spacing w:before="0" w:after="0"/>
        <w:jc w:val="center"/>
        <w:rPr>
          <w:rFonts w:ascii="Times New Roman;serif" w:hAnsi="Times New Roman;serif"/>
          <w:b/>
          <w:sz w:val="24"/>
        </w:rPr>
      </w:pPr>
      <w:bookmarkStart w:id="7" w:name="unaudited_condensed_consolidated_stateme"/>
      <w:bookmarkEnd w:id="7"/>
      <w:r>
        <w:rPr>
          <w:rFonts w:ascii="Times New Roman;serif" w:hAnsi="Times New Roman;serif"/>
          <w:b/>
          <w:sz w:val="24"/>
        </w:rPr>
        <w:t>UNAUDITED CONDENSED CONSOLIDATED STATEMENTS OF COMPREHENSIVE INCOME (LOSS)</w:t>
      </w:r>
    </w:p>
    <w:p>
      <w:pPr>
        <w:pStyle w:val="TextBody"/>
        <w:bidi w:val="0"/>
        <w:spacing w:before="0" w:after="0"/>
        <w:jc w:val="center"/>
        <w:rPr>
          <w:rFonts w:ascii="Times New Roman;serif" w:hAnsi="Times New Roman;serif"/>
          <w:b/>
          <w:sz w:val="24"/>
        </w:rPr>
      </w:pPr>
      <w:r>
        <w:rPr>
          <w:rFonts w:ascii="Times New Roman;serif" w:hAnsi="Times New Roman;serif"/>
          <w:b/>
          <w:sz w:val="24"/>
        </w:rPr>
        <w:t>(in thousands)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5374"/>
        <w:gridCol w:w="146"/>
        <w:gridCol w:w="196"/>
        <w:gridCol w:w="571"/>
        <w:gridCol w:w="166"/>
        <w:gridCol w:w="146"/>
        <w:gridCol w:w="196"/>
        <w:gridCol w:w="661"/>
        <w:gridCol w:w="166"/>
        <w:gridCol w:w="146"/>
        <w:gridCol w:w="196"/>
        <w:gridCol w:w="661"/>
        <w:gridCol w:w="166"/>
        <w:gridCol w:w="146"/>
        <w:gridCol w:w="196"/>
        <w:gridCol w:w="661"/>
        <w:gridCol w:w="411"/>
      </w:tblGrid>
      <w:tr>
        <w:trPr/>
        <w:tc>
          <w:tcPr>
            <w:tcW w:w="5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37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6" w:type="dxa"/>
            <w:gridSpan w:val="6"/>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26" w:type="dxa"/>
            <w:gridSpan w:val="6"/>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w:t>
            </w:r>
          </w:p>
        </w:tc>
        <w:tc>
          <w:tcPr>
            <w:tcW w:w="411" w:type="dxa"/>
            <w:tcBorders/>
            <w:vAlign w:val="center"/>
          </w:tcPr>
          <w:p>
            <w:pPr>
              <w:pStyle w:val="TableContents"/>
              <w:bidi w:val="0"/>
              <w:spacing w:before="0" w:after="0"/>
              <w:ind w:left="0" w:right="0" w:hanging="0"/>
              <w:jc w:val="center"/>
              <w:rPr/>
            </w:pPr>
            <w:r>
              <w:rPr/>
              <w:t> </w:t>
            </w:r>
          </w:p>
        </w:tc>
      </w:tr>
      <w:tr>
        <w:trPr/>
        <w:tc>
          <w:tcPr>
            <w:tcW w:w="537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7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(19,117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(33,954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3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 (Loss):</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37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Foreign currency translation gains (losses)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(4,563</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37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Derivative gains on cash flow hedges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1,156</w:t>
            </w:r>
          </w:p>
        </w:tc>
        <w:tc>
          <w:tcPr>
            <w:tcW w:w="411" w:type="dxa"/>
            <w:tcBorders/>
            <w:vAlign w:val="center"/>
          </w:tcPr>
          <w:p>
            <w:pPr>
              <w:pStyle w:val="TableContents"/>
              <w:bidi w:val="0"/>
              <w:spacing w:before="0" w:after="0"/>
              <w:ind w:left="0" w:right="0" w:firstLine="200"/>
              <w:jc w:val="left"/>
              <w:rPr/>
            </w:pPr>
            <w:r>
              <w:rPr/>
              <w:t> </w:t>
            </w:r>
          </w:p>
        </w:tc>
      </w:tr>
      <w:tr>
        <w:trPr/>
        <w:tc>
          <w:tcPr>
            <w:tcW w:w="537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Reclassification of derivative (losses) gains on cash flow hedges to interest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637</w:t>
            </w:r>
          </w:p>
        </w:tc>
        <w:tc>
          <w:tcPr>
            <w:tcW w:w="411" w:type="dxa"/>
            <w:tcBorders/>
            <w:vAlign w:val="center"/>
          </w:tcPr>
          <w:p>
            <w:pPr>
              <w:pStyle w:val="TableContents"/>
              <w:bidi w:val="0"/>
              <w:spacing w:before="0" w:after="0"/>
              <w:ind w:left="0" w:right="0" w:firstLine="200"/>
              <w:jc w:val="left"/>
              <w:rPr/>
            </w:pPr>
            <w:r>
              <w:rPr/>
              <w:t> </w:t>
            </w:r>
          </w:p>
        </w:tc>
      </w:tr>
      <w:tr>
        <w:trPr/>
        <w:tc>
          <w:tcPr>
            <w:tcW w:w="537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Reclassification of derivative gains on cash flow hedges to equity in earnings of 50% or less owned companies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374" w:type="dxa"/>
            <w:tcBorders/>
            <w:vAlign w:val="center"/>
          </w:tcPr>
          <w:p>
            <w:pPr>
              <w:pStyle w:val="TableContents"/>
              <w:bidi w:val="0"/>
              <w:spacing w:before="0" w:after="283"/>
              <w:ind w:left="0" w:right="0" w:firstLine="2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(2,893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(2,095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37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Income Tax Expense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7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(2,095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3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Comprehensive Loss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(22,010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(36,049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3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Comprehensive Income Attributable to Noncontrolling Interests in Subsidiaries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Comprehensive Loss Attributable to SEACOR Marine Holdings Inc.</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(22,013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(36,052</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center"/>
        <w:rPr/>
      </w:pPr>
      <w:r>
        <w:rPr/>
        <w:t> </w:t>
      </w:r>
    </w:p>
    <w:p>
      <w:pPr>
        <w:pStyle w:val="TextBody"/>
        <w:bidi w:val="0"/>
        <w:spacing w:before="0" w:after="0"/>
        <w:jc w:val="both"/>
        <w:rPr/>
      </w:pPr>
      <w:r>
        <w:rPr/>
        <w:t> </w:t>
      </w:r>
    </w:p>
    <w:p>
      <w:pPr>
        <w:pStyle w:val="TextBody"/>
        <w:bidi w:val="0"/>
        <w:spacing w:before="120" w:after="0"/>
        <w:jc w:val="center"/>
        <w:rPr>
          <w:rFonts w:ascii="Times New Roman" w:hAnsi="Times New Roman"/>
          <w:sz w:val="20"/>
        </w:rPr>
      </w:pPr>
      <w:r>
        <w:rPr>
          <w:rFonts w:ascii="Times New Roman;serif" w:hAnsi="Times New Roman;serif"/>
          <w:b w:val="false"/>
          <w:sz w:val="16"/>
        </w:rPr>
        <w:t>The accompanying notes are an integral part of these condensed consolidated financial statements and should be read in conjunction herewith.</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4"/>
        </w:rPr>
      </w:pPr>
      <w:r>
        <w:rPr>
          <w:rFonts w:ascii="Times New Roman;serif" w:hAnsi="Times New Roman;serif"/>
          <w:b/>
          <w:sz w:val="24"/>
        </w:rPr>
        <w:t>SEACOR MARINE HOLDINGS INC.</w:t>
      </w:r>
    </w:p>
    <w:p>
      <w:pPr>
        <w:pStyle w:val="TextBody"/>
        <w:bidi w:val="0"/>
        <w:spacing w:before="0" w:after="0"/>
        <w:jc w:val="center"/>
        <w:rPr>
          <w:rFonts w:ascii="Times New Roman" w:hAnsi="Times New Roman"/>
          <w:sz w:val="20"/>
        </w:rPr>
      </w:pPr>
      <w:bookmarkStart w:id="8" w:name="unaudited_condensed_equity"/>
      <w:bookmarkEnd w:id="8"/>
      <w:r>
        <w:rPr>
          <w:rFonts w:ascii="Times New Roman;serif" w:hAnsi="Times New Roman;serif"/>
          <w:b/>
          <w:sz w:val="24"/>
        </w:rPr>
        <w:t>UNAUDITED CONDENSED CONSOLIDATED</w:t>
      </w:r>
      <w:r>
        <w:rPr>
          <w:rFonts w:ascii="Times New Roman" w:hAnsi="Times New Roman"/>
          <w:sz w:val="20"/>
        </w:rPr>
        <w:t xml:space="preserve"> </w:t>
      </w:r>
      <w:r>
        <w:rPr>
          <w:rFonts w:ascii="Times New Roman;serif" w:hAnsi="Times New Roman;serif"/>
          <w:b/>
          <w:sz w:val="24"/>
        </w:rPr>
        <w:t>STATEMENTS OF CHANGES IN EQUITY</w:t>
      </w:r>
    </w:p>
    <w:p>
      <w:pPr>
        <w:pStyle w:val="TextBody"/>
        <w:bidi w:val="0"/>
        <w:spacing w:before="0" w:after="0"/>
        <w:jc w:val="center"/>
        <w:rPr>
          <w:rFonts w:ascii="Times New Roman;serif" w:hAnsi="Times New Roman;serif"/>
          <w:b/>
          <w:sz w:val="24"/>
        </w:rPr>
      </w:pPr>
      <w:r>
        <w:rPr>
          <w:rFonts w:ascii="Times New Roman;serif" w:hAnsi="Times New Roman;serif"/>
          <w:b/>
          <w:sz w:val="24"/>
        </w:rPr>
        <w:t>(in thousands, except share data)</w:t>
      </w:r>
    </w:p>
    <w:p>
      <w:pPr>
        <w:pStyle w:val="TextBody"/>
        <w:bidi w:val="0"/>
        <w:spacing w:before="0" w:after="0"/>
        <w:jc w:val="left"/>
        <w:rPr/>
      </w:pPr>
      <w:r>
        <w:rPr/>
        <w:t> </w:t>
      </w:r>
    </w:p>
    <w:tbl>
      <w:tblPr>
        <w:tblW w:w="11063" w:type="dxa"/>
        <w:jc w:val="left"/>
        <w:tblInd w:w="0" w:type="dxa"/>
        <w:tblLayout w:type="fixed"/>
        <w:tblCellMar>
          <w:top w:w="28" w:type="dxa"/>
          <w:left w:w="28" w:type="dxa"/>
          <w:bottom w:w="28" w:type="dxa"/>
          <w:right w:w="28" w:type="dxa"/>
        </w:tblCellMar>
      </w:tblPr>
      <w:tblGrid>
        <w:gridCol w:w="991"/>
        <w:gridCol w:w="146"/>
        <w:gridCol w:w="146"/>
        <w:gridCol w:w="766"/>
        <w:gridCol w:w="151"/>
        <w:gridCol w:w="146"/>
        <w:gridCol w:w="216"/>
        <w:gridCol w:w="415"/>
        <w:gridCol w:w="146"/>
        <w:gridCol w:w="146"/>
        <w:gridCol w:w="181"/>
        <w:gridCol w:w="586"/>
        <w:gridCol w:w="146"/>
        <w:gridCol w:w="146"/>
        <w:gridCol w:w="146"/>
        <w:gridCol w:w="586"/>
        <w:gridCol w:w="146"/>
        <w:gridCol w:w="146"/>
        <w:gridCol w:w="181"/>
        <w:gridCol w:w="481"/>
        <w:gridCol w:w="151"/>
        <w:gridCol w:w="146"/>
        <w:gridCol w:w="194"/>
        <w:gridCol w:w="677"/>
        <w:gridCol w:w="151"/>
        <w:gridCol w:w="146"/>
        <w:gridCol w:w="299"/>
        <w:gridCol w:w="722"/>
        <w:gridCol w:w="146"/>
        <w:gridCol w:w="146"/>
        <w:gridCol w:w="293"/>
        <w:gridCol w:w="563"/>
        <w:gridCol w:w="146"/>
        <w:gridCol w:w="146"/>
        <w:gridCol w:w="181"/>
        <w:gridCol w:w="586"/>
        <w:gridCol w:w="35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 of</w:t>
              <w:br/>
              <w:t>Common</w:t>
              <w:br/>
              <w:t>Stock</w:t>
              <w:br/>
              <w:t>Outstanding</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w:t>
              <w:br/>
              <w:t>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br/>
              <w:t>Paid-In</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br/>
              <w:t xml:space="preserve">Held in </w:t>
              <w:br/>
              <w:t>Treasury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Treasury</w:t>
              <w:br/>
              <w:t>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 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br/>
              <w:t>Other</w:t>
              <w:br/>
              <w:t>Comprehensive</w:t>
              <w:br/>
              <w:t>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Non-</w:t>
              <w:br/>
              <w:t>Controlling</w:t>
              <w:br/>
              <w:t>Interests In</w:t>
              <w:br/>
              <w:t>Subsidiaries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br/>
              <w:t>Equity</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firstLine="80"/>
              <w:jc w:val="center"/>
              <w:rPr/>
            </w:pPr>
            <w:r>
              <w:rPr/>
              <w:t> </w:t>
            </w:r>
          </w:p>
        </w:tc>
      </w:tr>
      <w:tr>
        <w:trPr/>
        <w:tc>
          <w:tcPr>
            <w:tcW w:w="991" w:type="dxa"/>
            <w:tcBorders/>
            <w:vAlign w:val="center"/>
          </w:tcPr>
          <w:p>
            <w:pPr>
              <w:pStyle w:val="TableContents"/>
              <w:bidi w:val="0"/>
              <w:spacing w:before="0" w:after="0"/>
              <w:ind w:left="80" w:right="0" w:hanging="0"/>
              <w:jc w:val="left"/>
              <w:rPr>
                <w:rFonts w:ascii="Times New Roman;serif" w:hAnsi="Times New Roman;serif"/>
                <w:b/>
                <w:sz w:val="14"/>
              </w:rPr>
            </w:pPr>
            <w:r>
              <w:rPr>
                <w:rFonts w:ascii="Times New Roman;serif" w:hAnsi="Times New Roman;serif"/>
                <w:b/>
                <w:sz w:val="14"/>
              </w:rPr>
              <w:t>For the Six Months Ended June 30, 2023</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356" w:type="dxa"/>
            <w:tcBorders/>
            <w:vAlign w:val="center"/>
          </w:tcPr>
          <w:p>
            <w:pPr>
              <w:pStyle w:val="TableContents"/>
              <w:bidi w:val="0"/>
              <w:spacing w:before="0" w:after="0"/>
              <w:ind w:left="0" w:right="0" w:hanging="0"/>
              <w:jc w:val="center"/>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26,702,161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466,669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248,638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(1,852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(93,111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6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379,146</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Restricted stock grants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525,397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Amortization of share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2,943</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Exercise of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834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Exercise of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117,394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Restricted stock vesting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(232,239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232,239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(2,368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(2,368</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Director share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60,938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Forfeiture of employee share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(15,000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(14,160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(14,160</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1,281</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27,159,485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469,618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480,998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(4,221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(107,271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366,855</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firstLine="80"/>
              <w:jc w:val="right"/>
              <w:rPr/>
            </w:pPr>
            <w:r>
              <w:rPr/>
              <w:t> </w:t>
            </w:r>
          </w:p>
        </w:tc>
      </w:tr>
      <w:tr>
        <w:trPr/>
        <w:tc>
          <w:tcPr>
            <w:tcW w:w="991" w:type="dxa"/>
            <w:tcBorders/>
            <w:vAlign w:val="center"/>
          </w:tcPr>
          <w:p>
            <w:pPr>
              <w:pStyle w:val="TableContents"/>
              <w:bidi w:val="0"/>
              <w:spacing w:before="0" w:after="0"/>
              <w:ind w:left="80" w:right="0" w:hanging="0"/>
              <w:jc w:val="left"/>
              <w:rPr>
                <w:rFonts w:ascii="Times New Roman;serif" w:hAnsi="Times New Roman;serif"/>
                <w:b/>
                <w:sz w:val="14"/>
              </w:rPr>
            </w:pPr>
            <w:r>
              <w:rPr>
                <w:rFonts w:ascii="Times New Roman;serif" w:hAnsi="Times New Roman;serif"/>
                <w:b/>
                <w:sz w:val="14"/>
              </w:rPr>
              <w:t>For the Three Months Ended June 30, 2023</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27,105,578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467,896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468,966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(4,119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(102,700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6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369,040</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Restricted stock grants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5,001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Amortization of share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1,722</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Restricted stock vesting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(12,032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Director share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60,938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(4,571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(4,571</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765</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27,159,485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469,618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480,998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(4,221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(107,271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366,855</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120" w:after="0"/>
        <w:jc w:val="center"/>
        <w:rPr>
          <w:rFonts w:ascii="Times New Roman" w:hAnsi="Times New Roman"/>
          <w:sz w:val="20"/>
        </w:rPr>
      </w:pPr>
      <w:r>
        <w:rPr>
          <w:rFonts w:ascii="Times New Roman;serif" w:hAnsi="Times New Roman;serif"/>
          <w:b w:val="false"/>
          <w:sz w:val="16"/>
        </w:rPr>
        <w:t>The accompanying notes are an integral part of these condensed consolidated financial statements and should be read in conjunction herewith.</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w:t>
      </w:r>
    </w:p>
    <w:p>
      <w:pPr>
        <w:pStyle w:val="HorizontalLine"/>
        <w:pBdr>
          <w:bottom w:val="double" w:sz="2" w:space="0" w:color="808080"/>
        </w:pBdr>
        <w:bidi w:val="0"/>
        <w:spacing w:before="0" w:after="283"/>
        <w:jc w:val="left"/>
        <w:rPr/>
      </w:pPr>
      <w:r>
        <w:rPr/>
      </w:r>
    </w:p>
    <w:tbl>
      <w:tblPr>
        <w:tblW w:w="11068" w:type="dxa"/>
        <w:jc w:val="left"/>
        <w:tblInd w:w="0" w:type="dxa"/>
        <w:tblLayout w:type="fixed"/>
        <w:tblCellMar>
          <w:top w:w="28" w:type="dxa"/>
          <w:left w:w="28" w:type="dxa"/>
          <w:bottom w:w="28" w:type="dxa"/>
          <w:right w:w="28" w:type="dxa"/>
        </w:tblCellMar>
      </w:tblPr>
      <w:tblGrid>
        <w:gridCol w:w="991"/>
        <w:gridCol w:w="146"/>
        <w:gridCol w:w="146"/>
        <w:gridCol w:w="766"/>
        <w:gridCol w:w="151"/>
        <w:gridCol w:w="146"/>
        <w:gridCol w:w="216"/>
        <w:gridCol w:w="415"/>
        <w:gridCol w:w="146"/>
        <w:gridCol w:w="146"/>
        <w:gridCol w:w="181"/>
        <w:gridCol w:w="586"/>
        <w:gridCol w:w="146"/>
        <w:gridCol w:w="146"/>
        <w:gridCol w:w="146"/>
        <w:gridCol w:w="586"/>
        <w:gridCol w:w="146"/>
        <w:gridCol w:w="146"/>
        <w:gridCol w:w="181"/>
        <w:gridCol w:w="481"/>
        <w:gridCol w:w="151"/>
        <w:gridCol w:w="146"/>
        <w:gridCol w:w="213"/>
        <w:gridCol w:w="658"/>
        <w:gridCol w:w="151"/>
        <w:gridCol w:w="146"/>
        <w:gridCol w:w="279"/>
        <w:gridCol w:w="742"/>
        <w:gridCol w:w="151"/>
        <w:gridCol w:w="146"/>
        <w:gridCol w:w="293"/>
        <w:gridCol w:w="563"/>
        <w:gridCol w:w="146"/>
        <w:gridCol w:w="146"/>
        <w:gridCol w:w="181"/>
        <w:gridCol w:w="586"/>
        <w:gridCol w:w="35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 of</w:t>
              <w:br/>
              <w:t>Common</w:t>
              <w:br/>
              <w:t>Stock</w:t>
              <w:br/>
              <w:t>Outstanding</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w:t>
              <w:br/>
              <w:t>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br/>
              <w:t>Paid-In</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br/>
              <w:t xml:space="preserve">Held in </w:t>
              <w:br/>
              <w:t>Treasury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Treasury</w:t>
              <w:br/>
              <w:t>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 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br/>
              <w:t>Other</w:t>
              <w:br/>
              <w:t>Comprehensive</w:t>
              <w:br/>
              <w:t>Income</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Non-</w:t>
              <w:br/>
              <w:t>Controlling</w:t>
              <w:br/>
              <w:t>Interests In</w:t>
              <w:br/>
              <w:t>Subsidiaries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br/>
              <w:t>Equity</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firstLine="80"/>
              <w:jc w:val="center"/>
              <w:rPr/>
            </w:pPr>
            <w:r>
              <w:rPr/>
              <w:t> </w:t>
            </w:r>
          </w:p>
        </w:tc>
      </w:tr>
      <w:tr>
        <w:trPr/>
        <w:tc>
          <w:tcPr>
            <w:tcW w:w="991" w:type="dxa"/>
            <w:tcBorders/>
            <w:vAlign w:val="center"/>
          </w:tcPr>
          <w:p>
            <w:pPr>
              <w:pStyle w:val="TableContents"/>
              <w:bidi w:val="0"/>
              <w:spacing w:before="0" w:after="0"/>
              <w:ind w:left="80" w:right="0" w:hanging="0"/>
              <w:jc w:val="left"/>
              <w:rPr>
                <w:rFonts w:ascii="Times New Roman;serif" w:hAnsi="Times New Roman;serif"/>
                <w:b/>
                <w:sz w:val="14"/>
              </w:rPr>
            </w:pPr>
            <w:r>
              <w:rPr>
                <w:rFonts w:ascii="Times New Roman;serif" w:hAnsi="Times New Roman;serif"/>
                <w:b/>
                <w:sz w:val="14"/>
              </w:rPr>
              <w:t>For the Six Months Ended June 30, 2022</w:t>
            </w:r>
          </w:p>
        </w:tc>
        <w:tc>
          <w:tcPr>
            <w:tcW w:w="146" w:type="dxa"/>
            <w:tcBorders/>
            <w:vAlign w:val="center"/>
          </w:tcPr>
          <w:p>
            <w:pPr>
              <w:pStyle w:val="TableContents"/>
              <w:bidi w:val="0"/>
              <w:spacing w:before="0" w:after="0"/>
              <w:ind w:left="0" w:right="0" w:hanging="0"/>
              <w:jc w:val="right"/>
              <w:rPr/>
            </w:pPr>
            <w:r>
              <w:rPr/>
              <w:t> </w:t>
            </w:r>
          </w:p>
        </w:tc>
        <w:tc>
          <w:tcPr>
            <w:tcW w:w="91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356" w:type="dxa"/>
            <w:tcBorders/>
            <w:vAlign w:val="center"/>
          </w:tcPr>
          <w:p>
            <w:pPr>
              <w:pStyle w:val="TableContents"/>
              <w:bidi w:val="0"/>
              <w:spacing w:before="0" w:after="0"/>
              <w:ind w:left="0" w:right="0" w:hanging="0"/>
              <w:jc w:val="center"/>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December 31, 2021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25,992,237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461,931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127,887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5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(22,907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8,055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6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446,541</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Restricted stock grants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738,896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Amortization of share awards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2,140</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Exercise of options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34,492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151</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Restricted stock vesting</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(114,251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114,251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(672</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Director share awards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60,787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Director restricted stock vesting</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(6,500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(33,957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(33,954</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Other comprehensive loss</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1,446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(2,095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(649</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June 30, 2022</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26,705,661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464,222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248,638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(1,852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(55,418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5,960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413,507</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firstLine="80"/>
              <w:jc w:val="right"/>
              <w:rPr/>
            </w:pPr>
            <w:r>
              <w:rPr/>
              <w:t> </w:t>
            </w:r>
          </w:p>
        </w:tc>
      </w:tr>
      <w:tr>
        <w:trPr/>
        <w:tc>
          <w:tcPr>
            <w:tcW w:w="991" w:type="dxa"/>
            <w:tcBorders/>
            <w:vAlign w:val="center"/>
          </w:tcPr>
          <w:p>
            <w:pPr>
              <w:pStyle w:val="TableContents"/>
              <w:bidi w:val="0"/>
              <w:spacing w:before="0" w:after="0"/>
              <w:ind w:left="80" w:right="0" w:hanging="0"/>
              <w:jc w:val="left"/>
              <w:rPr>
                <w:rFonts w:ascii="Times New Roman;serif" w:hAnsi="Times New Roman;serif"/>
                <w:b/>
                <w:sz w:val="14"/>
              </w:rPr>
            </w:pPr>
            <w:r>
              <w:rPr>
                <w:rFonts w:ascii="Times New Roman;serif" w:hAnsi="Times New Roman;serif"/>
                <w:b/>
                <w:sz w:val="14"/>
              </w:rPr>
              <w:t>For the Three Months Ended June 30, 2022</w:t>
            </w:r>
          </w:p>
        </w:tc>
        <w:tc>
          <w:tcPr>
            <w:tcW w:w="146" w:type="dxa"/>
            <w:tcBorders/>
            <w:vAlign w:val="center"/>
          </w:tcPr>
          <w:p>
            <w:pPr>
              <w:pStyle w:val="TableContents"/>
              <w:bidi w:val="0"/>
              <w:spacing w:before="0" w:after="0"/>
              <w:ind w:left="0" w:right="0" w:hanging="0"/>
              <w:jc w:val="righ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March 31, 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26,643,873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463,138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242,138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(1,792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5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(37,744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8,853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6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433,044</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Restricted stock grants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5,001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Amortization of share awards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1,073</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Exercise of options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Director share awards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60,787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356" w:type="dxa"/>
            <w:tcBorders/>
            <w:vAlign w:val="center"/>
          </w:tcPr>
          <w:p>
            <w:pPr>
              <w:pStyle w:val="TableContents"/>
              <w:bidi w:val="0"/>
              <w:spacing w:before="0" w:after="0"/>
              <w:ind w:left="0" w:right="0" w:firstLine="160"/>
              <w:jc w:val="left"/>
              <w:rPr/>
            </w:pPr>
            <w:r>
              <w:rPr/>
              <w:t> </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Director restricted stock vesting</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(6,500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(19,120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(19,117</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Other comprehensive loss</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1,446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(2,893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(1,447</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June 30, 2022</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26,705,661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464,222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248,638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(1,852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(55,418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5,960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413,507</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 w:hAnsi="Times New Roman"/>
          <w:sz w:val="20"/>
        </w:rPr>
      </w:pPr>
      <w:r>
        <w:rPr>
          <w:rFonts w:ascii="Times New Roman;serif" w:hAnsi="Times New Roman;serif"/>
          <w:b w:val="false"/>
          <w:sz w:val="16"/>
        </w:rPr>
        <w:t>The accompanying notes are an integral part of these condensed consolidated financial statements and should be read in conjunction herewith.</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4"/>
        </w:rPr>
      </w:pPr>
      <w:r>
        <w:rPr>
          <w:rFonts w:ascii="Times New Roman;serif" w:hAnsi="Times New Roman;serif"/>
          <w:b/>
          <w:sz w:val="24"/>
        </w:rPr>
        <w:t>SEACOR MARINE HOLDINGS INC.</w:t>
      </w:r>
    </w:p>
    <w:p>
      <w:pPr>
        <w:pStyle w:val="TextBody"/>
        <w:bidi w:val="0"/>
        <w:spacing w:before="0" w:after="0"/>
        <w:jc w:val="center"/>
        <w:rPr>
          <w:rFonts w:ascii="Times New Roman;serif" w:hAnsi="Times New Roman;serif"/>
          <w:b/>
          <w:sz w:val="24"/>
        </w:rPr>
      </w:pPr>
      <w:bookmarkStart w:id="9" w:name="unaudited_consolidated_cash_flow"/>
      <w:bookmarkEnd w:id="9"/>
      <w:r>
        <w:rPr>
          <w:rFonts w:ascii="Times New Roman;serif" w:hAnsi="Times New Roman;serif"/>
          <w:b/>
          <w:sz w:val="24"/>
        </w:rPr>
        <w:t>UNAUDITED CONDENSED CONSOLIDATED STATEMENTS OF CASH FLOWS</w:t>
      </w:r>
    </w:p>
    <w:p>
      <w:pPr>
        <w:pStyle w:val="TextBody"/>
        <w:bidi w:val="0"/>
        <w:spacing w:before="0" w:after="0"/>
        <w:jc w:val="center"/>
        <w:rPr>
          <w:rFonts w:ascii="Times New Roman;serif" w:hAnsi="Times New Roman;serif"/>
          <w:b/>
          <w:sz w:val="24"/>
        </w:rPr>
      </w:pPr>
      <w:r>
        <w:rPr>
          <w:rFonts w:ascii="Times New Roman;serif" w:hAnsi="Times New Roman;serif"/>
          <w:b/>
          <w:sz w:val="24"/>
        </w:rPr>
        <w:t>(in thousands)</w:t>
      </w:r>
    </w:p>
    <w:p>
      <w:pPr>
        <w:pStyle w:val="TextBody"/>
        <w:bidi w:val="0"/>
        <w:spacing w:before="0" w:after="0"/>
        <w:jc w:val="center"/>
        <w:rPr/>
      </w:pPr>
      <w:r>
        <w:rPr/>
        <w:t> </w:t>
      </w:r>
    </w:p>
    <w:tbl>
      <w:tblPr>
        <w:tblW w:w="8124" w:type="dxa"/>
        <w:jc w:val="left"/>
        <w:tblInd w:w="0" w:type="dxa"/>
        <w:tblLayout w:type="fixed"/>
        <w:tblCellMar>
          <w:top w:w="28" w:type="dxa"/>
          <w:left w:w="28" w:type="dxa"/>
          <w:bottom w:w="28" w:type="dxa"/>
          <w:right w:w="28" w:type="dxa"/>
        </w:tblCellMar>
      </w:tblPr>
      <w:tblGrid>
        <w:gridCol w:w="5386"/>
        <w:gridCol w:w="146"/>
        <w:gridCol w:w="181"/>
        <w:gridCol w:w="571"/>
        <w:gridCol w:w="346"/>
        <w:gridCol w:w="146"/>
        <w:gridCol w:w="181"/>
        <w:gridCol w:w="571"/>
        <w:gridCol w:w="596"/>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Six Months Ended June 30,</w:t>
            </w:r>
          </w:p>
        </w:tc>
        <w:tc>
          <w:tcPr>
            <w:tcW w:w="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96" w:type="dxa"/>
            <w:tcBorders/>
            <w:vAlign w:val="center"/>
          </w:tcPr>
          <w:p>
            <w:pPr>
              <w:pStyle w:val="TableContents"/>
              <w:bidi w:val="0"/>
              <w:spacing w:before="0" w:after="0"/>
              <w:ind w:left="0" w:right="0" w:hanging="0"/>
              <w:jc w:val="righ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Net Loss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(14,160</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(33,954</w:t>
            </w:r>
          </w:p>
        </w:tc>
        <w:tc>
          <w:tcPr>
            <w:tcW w:w="59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Adjustments to reconcile net loss to net cash provided by (used in) operating activities:</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96" w:type="dxa"/>
            <w:tcBorders/>
            <w:vAlign w:val="center"/>
          </w:tcPr>
          <w:p>
            <w:pPr>
              <w:pStyle w:val="TableContents"/>
              <w:bidi w:val="0"/>
              <w:spacing w:before="0" w:after="0"/>
              <w:ind w:left="0" w:right="0" w:firstLine="200"/>
              <w:jc w:val="righ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27,337</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28,579</w:t>
            </w:r>
          </w:p>
        </w:tc>
        <w:tc>
          <w:tcPr>
            <w:tcW w:w="596"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Deferred financing costs amortization</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841</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655</w:t>
            </w:r>
          </w:p>
        </w:tc>
        <w:tc>
          <w:tcPr>
            <w:tcW w:w="596"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2,950</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2,150</w:t>
            </w:r>
          </w:p>
        </w:tc>
        <w:tc>
          <w:tcPr>
            <w:tcW w:w="596"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Debt discount amortization</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3,185</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3,427</w:t>
            </w:r>
          </w:p>
        </w:tc>
        <w:tc>
          <w:tcPr>
            <w:tcW w:w="596"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Allowance for credit losses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2,659</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530</w:t>
            </w:r>
          </w:p>
        </w:tc>
        <w:tc>
          <w:tcPr>
            <w:tcW w:w="596"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Gain from equipment sales, retirements or impairments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(3,864</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(2,164</w:t>
            </w:r>
          </w:p>
        </w:tc>
        <w:tc>
          <w:tcPr>
            <w:tcW w:w="596" w:type="dxa"/>
            <w:tcBorders/>
            <w:vAlign w:val="center"/>
          </w:tcPr>
          <w:p>
            <w:pPr>
              <w:pStyle w:val="TableContents"/>
              <w:bidi w:val="0"/>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Derivative losses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w:t>
            </w:r>
          </w:p>
        </w:tc>
        <w:tc>
          <w:tcPr>
            <w:tcW w:w="596"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Interest on finance leases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142</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98</w:t>
            </w:r>
          </w:p>
        </w:tc>
        <w:tc>
          <w:tcPr>
            <w:tcW w:w="596"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Settlements on derivative transactions, net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380</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(651</w:t>
            </w:r>
          </w:p>
        </w:tc>
        <w:tc>
          <w:tcPr>
            <w:tcW w:w="596" w:type="dxa"/>
            <w:tcBorders/>
            <w:vAlign w:val="center"/>
          </w:tcPr>
          <w:p>
            <w:pPr>
              <w:pStyle w:val="TableContents"/>
              <w:bidi w:val="0"/>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Currency losses (gains)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1,428</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(1,991</w:t>
            </w:r>
          </w:p>
        </w:tc>
        <w:tc>
          <w:tcPr>
            <w:tcW w:w="596" w:type="dxa"/>
            <w:tcBorders/>
            <w:vAlign w:val="center"/>
          </w:tcPr>
          <w:p>
            <w:pPr>
              <w:pStyle w:val="TableContents"/>
              <w:bidi w:val="0"/>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Deferred income taxes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(6,741</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(6,939</w:t>
            </w:r>
          </w:p>
        </w:tc>
        <w:tc>
          <w:tcPr>
            <w:tcW w:w="596" w:type="dxa"/>
            <w:tcBorders/>
            <w:vAlign w:val="center"/>
          </w:tcPr>
          <w:p>
            <w:pPr>
              <w:pStyle w:val="TableContents"/>
              <w:bidi w:val="0"/>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Equity earnings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(909</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(6,089</w:t>
            </w:r>
          </w:p>
        </w:tc>
        <w:tc>
          <w:tcPr>
            <w:tcW w:w="596" w:type="dxa"/>
            <w:tcBorders/>
            <w:vAlign w:val="center"/>
          </w:tcPr>
          <w:p>
            <w:pPr>
              <w:pStyle w:val="TableContents"/>
              <w:bidi w:val="0"/>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Dividends received from equity investees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1,044</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1,887</w:t>
            </w:r>
          </w:p>
        </w:tc>
        <w:tc>
          <w:tcPr>
            <w:tcW w:w="596"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96" w:type="dxa"/>
            <w:tcBorders/>
            <w:vAlign w:val="center"/>
          </w:tcPr>
          <w:p>
            <w:pPr>
              <w:pStyle w:val="TableContents"/>
              <w:bidi w:val="0"/>
              <w:spacing w:before="0" w:after="0"/>
              <w:ind w:left="0" w:right="0" w:firstLine="200"/>
              <w:jc w:val="righ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Accounts receivables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(12,996</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(571</w:t>
            </w:r>
          </w:p>
        </w:tc>
        <w:tc>
          <w:tcPr>
            <w:tcW w:w="596" w:type="dxa"/>
            <w:tcBorders/>
            <w:vAlign w:val="center"/>
          </w:tcPr>
          <w:p>
            <w:pPr>
              <w:pStyle w:val="TableContents"/>
              <w:bidi w:val="0"/>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Other assets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1,062</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(1,703</w:t>
            </w:r>
          </w:p>
        </w:tc>
        <w:tc>
          <w:tcPr>
            <w:tcW w:w="596" w:type="dxa"/>
            <w:tcBorders/>
            <w:vAlign w:val="center"/>
          </w:tcPr>
          <w:p>
            <w:pPr>
              <w:pStyle w:val="TableContents"/>
              <w:bidi w:val="0"/>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Accounts payable and accrued liabilities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973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11,632</w:t>
            </w:r>
          </w:p>
        </w:tc>
        <w:tc>
          <w:tcPr>
            <w:tcW w:w="59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386"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Net cash provided by (used in) operating activities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3,331</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(5,103</w:t>
            </w:r>
          </w:p>
        </w:tc>
        <w:tc>
          <w:tcPr>
            <w:tcW w:w="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96" w:type="dxa"/>
            <w:tcBorders/>
            <w:vAlign w:val="center"/>
          </w:tcPr>
          <w:p>
            <w:pPr>
              <w:pStyle w:val="TableContents"/>
              <w:bidi w:val="0"/>
              <w:spacing w:before="0" w:after="0"/>
              <w:ind w:left="0" w:right="0" w:firstLine="200"/>
              <w:jc w:val="righ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(505</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(37</w:t>
            </w:r>
          </w:p>
        </w:tc>
        <w:tc>
          <w:tcPr>
            <w:tcW w:w="596" w:type="dxa"/>
            <w:tcBorders/>
            <w:vAlign w:val="center"/>
          </w:tcPr>
          <w:p>
            <w:pPr>
              <w:pStyle w:val="TableContents"/>
              <w:bidi w:val="0"/>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Proceeds from disposition of property and equipment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8,038</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6,681</w:t>
            </w:r>
          </w:p>
        </w:tc>
        <w:tc>
          <w:tcPr>
            <w:tcW w:w="596"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Principal payments on notes due from equity investees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351</w:t>
            </w:r>
          </w:p>
        </w:tc>
        <w:tc>
          <w:tcPr>
            <w:tcW w:w="596"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Principal payments on notes due from others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10,000</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6" w:type="dxa"/>
            <w:tcBorders/>
            <w:vAlign w:val="center"/>
          </w:tcPr>
          <w:p>
            <w:pPr>
              <w:pStyle w:val="TableContents"/>
              <w:bidi w:val="0"/>
              <w:spacing w:before="0" w:after="0"/>
              <w:ind w:left="0" w:right="0" w:firstLine="400"/>
              <w:jc w:val="left"/>
              <w:rPr/>
            </w:pPr>
            <w:r>
              <w:rPr/>
              <w:t> </w:t>
            </w:r>
          </w:p>
        </w:tc>
      </w:tr>
      <w:tr>
        <w:trPr/>
        <w:tc>
          <w:tcPr>
            <w:tcW w:w="5386"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Net cash provided by investing activities</w:t>
            </w:r>
          </w:p>
        </w:tc>
        <w:tc>
          <w:tcPr>
            <w:tcW w:w="146" w:type="dxa"/>
            <w:tcBorders/>
            <w:vAlign w:val="center"/>
          </w:tcPr>
          <w:p>
            <w:pPr>
              <w:pStyle w:val="TableContents"/>
              <w:bidi w:val="0"/>
              <w:spacing w:before="0" w:after="0"/>
              <w:ind w:left="0" w:right="0" w:hanging="0"/>
              <w:jc w:val="left"/>
              <w:rPr/>
            </w:pPr>
            <w:r>
              <w:rPr/>
              <w:t> </w:t>
            </w:r>
          </w:p>
        </w:tc>
        <w:tc>
          <w:tcPr>
            <w:tcW w:w="1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57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17,533</w:t>
            </w:r>
          </w:p>
        </w:tc>
        <w:tc>
          <w:tcPr>
            <w:tcW w:w="3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57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6,995</w:t>
            </w:r>
          </w:p>
        </w:tc>
        <w:tc>
          <w:tcPr>
            <w:tcW w:w="5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96" w:type="dxa"/>
            <w:tcBorders/>
            <w:vAlign w:val="center"/>
          </w:tcPr>
          <w:p>
            <w:pPr>
              <w:pStyle w:val="TableContents"/>
              <w:bidi w:val="0"/>
              <w:spacing w:before="0" w:after="0"/>
              <w:ind w:left="0" w:right="0" w:firstLine="200"/>
              <w:jc w:val="righ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Payments on long-term debt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(18,091</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(16,500</w:t>
            </w:r>
          </w:p>
        </w:tc>
        <w:tc>
          <w:tcPr>
            <w:tcW w:w="596" w:type="dxa"/>
            <w:tcBorders/>
            <w:vAlign w:val="center"/>
          </w:tcPr>
          <w:p>
            <w:pPr>
              <w:pStyle w:val="TableContents"/>
              <w:bidi w:val="0"/>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Payments on debt extinguishment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(26,772</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6"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Proceeds from issuance of long-term debt, net of issuance costs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27,181</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6"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Payments on finance leases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(318</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(123</w:t>
            </w:r>
          </w:p>
        </w:tc>
        <w:tc>
          <w:tcPr>
            <w:tcW w:w="596" w:type="dxa"/>
            <w:tcBorders/>
            <w:vAlign w:val="center"/>
          </w:tcPr>
          <w:p>
            <w:pPr>
              <w:pStyle w:val="TableContents"/>
              <w:bidi w:val="0"/>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Proceeds from exercise of stock options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151</w:t>
            </w:r>
          </w:p>
        </w:tc>
        <w:tc>
          <w:tcPr>
            <w:tcW w:w="596"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Tax withholdings on restricted stock vesting and director share awards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(2,368</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(732</w:t>
            </w:r>
          </w:p>
        </w:tc>
        <w:tc>
          <w:tcPr>
            <w:tcW w:w="59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(20,362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(17,204</w:t>
            </w:r>
          </w:p>
        </w:tc>
        <w:tc>
          <w:tcPr>
            <w:tcW w:w="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Effects of Exchange Rate Changes on Cash and Cash Equivalents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w:t>
            </w:r>
          </w:p>
        </w:tc>
        <w:tc>
          <w:tcPr>
            <w:tcW w:w="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Net Change in Cash, Restricted Cash and Cash Equivalents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501</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(15,316</w:t>
            </w:r>
          </w:p>
        </w:tc>
        <w:tc>
          <w:tcPr>
            <w:tcW w:w="59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Cash, Restricted Cash and Cash Equivalents, Beginning of Period</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43,045</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41,220</w:t>
            </w:r>
          </w:p>
        </w:tc>
        <w:tc>
          <w:tcPr>
            <w:tcW w:w="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Cash, Restricted Cash and Cash Equivalents, End of Period</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43,546</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25,904</w:t>
            </w:r>
          </w:p>
        </w:tc>
        <w:tc>
          <w:tcPr>
            <w:tcW w:w="5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Supplemental disclosures:</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Cash paid for interest, excluding capitalized interest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14,291</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10,341</w:t>
            </w:r>
          </w:p>
        </w:tc>
        <w:tc>
          <w:tcPr>
            <w:tcW w:w="596"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Income taxes paid (refunded), net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556</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(887</w:t>
            </w:r>
          </w:p>
        </w:tc>
        <w:tc>
          <w:tcPr>
            <w:tcW w:w="596" w:type="dxa"/>
            <w:tcBorders/>
            <w:vAlign w:val="center"/>
          </w:tcPr>
          <w:p>
            <w:pPr>
              <w:pStyle w:val="TableContents"/>
              <w:bidi w:val="0"/>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firstLine="400"/>
              <w:jc w:val="left"/>
              <w:rPr/>
            </w:pPr>
            <w:r>
              <w:rPr/>
              <w:t> </w:t>
            </w:r>
          </w:p>
        </w:tc>
      </w:tr>
      <w:tr>
        <w:trPr/>
        <w:tc>
          <w:tcPr>
            <w:tcW w:w="5386" w:type="dxa"/>
            <w:tcBorders/>
            <w:vAlign w:val="center"/>
          </w:tcPr>
          <w:p>
            <w:pPr>
              <w:pStyle w:val="TableContents"/>
              <w:bidi w:val="0"/>
              <w:spacing w:before="0" w:after="0"/>
              <w:ind w:left="0" w:right="0" w:firstLine="200"/>
              <w:jc w:val="left"/>
              <w:rPr>
                <w:rFonts w:ascii="Times New Roman;serif" w:hAnsi="Times New Roman;serif"/>
                <w:b w:val="false"/>
                <w:sz w:val="15"/>
              </w:rPr>
            </w:pPr>
            <w:r>
              <w:rPr>
                <w:rFonts w:ascii="Times New Roman;serif" w:hAnsi="Times New Roman;serif"/>
                <w:b w:val="false"/>
                <w:sz w:val="15"/>
              </w:rPr>
              <w:t>Increase in capital expenditures in accounts payable and accrued liabilities</w:t>
            </w:r>
          </w:p>
        </w:tc>
        <w:tc>
          <w:tcPr>
            <w:tcW w:w="146" w:type="dxa"/>
            <w:tcBorders/>
            <w:vAlign w:val="center"/>
          </w:tcPr>
          <w:p>
            <w:pPr>
              <w:pStyle w:val="TableContents"/>
              <w:bidi w:val="0"/>
              <w:spacing w:before="0" w:after="0"/>
              <w:ind w:left="20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51</w:t>
            </w:r>
          </w:p>
        </w:tc>
        <w:tc>
          <w:tcPr>
            <w:tcW w:w="3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6" w:type="dxa"/>
            <w:tcBorders/>
            <w:vAlign w:val="center"/>
          </w:tcPr>
          <w:p>
            <w:pPr>
              <w:pStyle w:val="TableContents"/>
              <w:bidi w:val="0"/>
              <w:spacing w:before="0" w:after="0"/>
              <w:ind w:left="0" w:right="0" w:firstLine="400"/>
              <w:jc w:val="left"/>
              <w:rPr/>
            </w:pPr>
            <w:r>
              <w:rPr/>
              <w:t> </w:t>
            </w:r>
          </w:p>
        </w:tc>
      </w:tr>
      <w:tr>
        <w:trPr/>
        <w:tc>
          <w:tcPr>
            <w:tcW w:w="5386"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Recognition of a new right-of-use asset - operating leases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348</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163</w:t>
            </w:r>
          </w:p>
        </w:tc>
        <w:tc>
          <w:tcPr>
            <w:tcW w:w="596" w:type="dxa"/>
            <w:tcBorders/>
            <w:vAlign w:val="center"/>
          </w:tcPr>
          <w:p>
            <w:pPr>
              <w:pStyle w:val="TableContents"/>
              <w:bidi w:val="0"/>
              <w:spacing w:before="0" w:after="0"/>
              <w:ind w:left="0" w:right="0" w:firstLine="400"/>
              <w:jc w:val="left"/>
              <w:rPr/>
            </w:pPr>
            <w:r>
              <w:rPr/>
              <w:t> </w:t>
            </w:r>
          </w:p>
        </w:tc>
      </w:tr>
      <w:tr>
        <w:trPr/>
        <w:tc>
          <w:tcPr>
            <w:tcW w:w="5386"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Recognition of a new right-of-use asset - financing leases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7,248</w:t>
            </w:r>
          </w:p>
        </w:tc>
        <w:tc>
          <w:tcPr>
            <w:tcW w:w="596"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both"/>
        <w:rPr/>
      </w:pPr>
      <w:r>
        <w:rPr/>
        <w:t> </w:t>
      </w:r>
    </w:p>
    <w:p>
      <w:pPr>
        <w:pStyle w:val="TextBody"/>
        <w:bidi w:val="0"/>
        <w:spacing w:before="120" w:after="0"/>
        <w:jc w:val="center"/>
        <w:rPr>
          <w:rFonts w:ascii="Times New Roman" w:hAnsi="Times New Roman"/>
          <w:sz w:val="20"/>
        </w:rPr>
      </w:pPr>
      <w:r>
        <w:rPr>
          <w:rFonts w:ascii="Times New Roman;serif" w:hAnsi="Times New Roman;serif"/>
          <w:b w:val="false"/>
          <w:sz w:val="16"/>
        </w:rPr>
        <w:t>The accompanying notes are an integral part of these condensed consolidated financial statements and should be read in conjunction herewith.</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4"/>
        </w:rPr>
      </w:pPr>
      <w:r>
        <w:rPr>
          <w:rFonts w:ascii="Times New Roman;serif" w:hAnsi="Times New Roman;serif"/>
          <w:b/>
          <w:sz w:val="24"/>
        </w:rPr>
        <w:t>SEACOR MARINE HOLDINGS INC.</w:t>
      </w:r>
    </w:p>
    <w:p>
      <w:pPr>
        <w:pStyle w:val="TextBody"/>
        <w:bidi w:val="0"/>
        <w:spacing w:before="0" w:after="0"/>
        <w:jc w:val="center"/>
        <w:rPr>
          <w:rFonts w:ascii="Times New Roman;serif" w:hAnsi="Times New Roman;serif"/>
          <w:b/>
          <w:sz w:val="24"/>
        </w:rPr>
      </w:pPr>
      <w:bookmarkStart w:id="10" w:name="notes_to_condensed_consolidated_financia"/>
      <w:bookmarkEnd w:id="10"/>
      <w:r>
        <w:rPr>
          <w:rFonts w:ascii="Times New Roman;serif" w:hAnsi="Times New Roman;serif"/>
          <w:b/>
          <w:sz w:val="24"/>
        </w:rPr>
        <w:t>NOTES TO CONDENSED CONSOLIDATED FINANCIAL STATEMENTS</w:t>
      </w:r>
    </w:p>
    <w:p>
      <w:pPr>
        <w:pStyle w:val="TextBody"/>
        <w:bidi w:val="0"/>
        <w:spacing w:before="0" w:after="0"/>
        <w:jc w:val="center"/>
        <w:rPr>
          <w:rFonts w:ascii="Times New Roman;serif" w:hAnsi="Times New Roman;serif"/>
          <w:b/>
          <w:sz w:val="24"/>
        </w:rPr>
      </w:pPr>
      <w:r>
        <w:rPr>
          <w:rFonts w:ascii="Times New Roman;serif" w:hAnsi="Times New Roman;serif"/>
          <w:b/>
          <w:sz w:val="24"/>
        </w:rPr>
        <w:t>(unaudited)</w:t>
      </w:r>
    </w:p>
    <w:p>
      <w:pPr>
        <w:pStyle w:val="TextBody"/>
        <w:bidi w:val="0"/>
        <w:spacing w:before="200" w:after="0"/>
        <w:jc w:val="left"/>
        <w:rPr>
          <w:rFonts w:ascii="Times New Roman" w:hAnsi="Times New Roman"/>
          <w:b/>
          <w:sz w:val="24"/>
        </w:rPr>
      </w:pPr>
      <w:r>
        <w:rPr>
          <w:rFonts w:ascii="Times New Roman" w:hAnsi="Times New Roman"/>
          <w:b/>
          <w:sz w:val="24"/>
        </w:rPr>
        <w:t>1.</w:t>
      </w:r>
    </w:p>
    <w:p>
      <w:pPr>
        <w:pStyle w:val="TextBody"/>
        <w:bidi w:val="0"/>
        <w:spacing w:before="200" w:after="283"/>
        <w:jc w:val="left"/>
        <w:rPr>
          <w:rFonts w:ascii="Times New Roman;serif" w:hAnsi="Times New Roman;serif"/>
          <w:b/>
          <w:sz w:val="24"/>
        </w:rPr>
      </w:pPr>
      <w:r>
        <w:rPr>
          <w:rFonts w:ascii="Times New Roman;serif" w:hAnsi="Times New Roman;serif"/>
          <w:b/>
          <w:sz w:val="24"/>
        </w:rPr>
        <w:t>BASIS OF PRESENTATION AND ACCOUNTING POLICIES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Certain information and footnote disclosures normally included in financial statements prepared in accordance with generally accepted accounting principles in the United States (“GAAP”) have been condensed or omitted. These condensed consolidated financial statements should be read in conjunction with the Company’s financial statements and related notes thereto included in the Company’s Annual Report on Form 10-K for the year ended December 31, 2022 (the “2022 Annual Report”).</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pStyle w:val="TextBody"/>
        <w:bidi w:val="0"/>
        <w:spacing w:before="200" w:after="0"/>
        <w:jc w:val="both"/>
        <w:rPr>
          <w:rFonts w:ascii="Times New Roman;serif" w:hAnsi="Times New Roman;serif"/>
          <w:b/>
          <w:i/>
          <w:sz w:val="24"/>
          <w:u w:val="single"/>
        </w:rPr>
      </w:pPr>
      <w:r>
        <w:rPr>
          <w:rFonts w:ascii="Times New Roman;serif" w:hAnsi="Times New Roman;serif"/>
          <w:b/>
          <w:i/>
          <w:sz w:val="24"/>
          <w:u w:val="single"/>
        </w:rPr>
        <w:t>Recently Adopted Accounting Standards.</w:t>
      </w:r>
    </w:p>
    <w:p>
      <w:pPr>
        <w:pStyle w:val="TextBody"/>
        <w:bidi w:val="0"/>
        <w:spacing w:before="200" w:after="0"/>
        <w:jc w:val="both"/>
        <w:rPr>
          <w:rFonts w:ascii="Times New Roman" w:hAnsi="Times New Roman"/>
          <w:sz w:val="20"/>
        </w:rPr>
      </w:pPr>
      <w:r>
        <w:rPr>
          <w:rFonts w:ascii="Times New Roman;serif" w:hAnsi="Times New Roman;serif"/>
          <w:b w:val="false"/>
          <w:sz w:val="24"/>
        </w:rPr>
        <w:t>On October 29, 2020, the FASB issued ASU 2020-10, Codification Improvements: Amendments that improve the consistency of the Codification by including all disclosure guidance in the appropriate disclosure section. The guidance was effective for annual periods beginning after December 15, 2020, and interim periods within the annual periods beginning after December 15, 2022. The adoption</w:t>
      </w:r>
      <w:r>
        <w:rPr>
          <w:rFonts w:ascii="Times New Roman" w:hAnsi="Times New Roman"/>
          <w:sz w:val="20"/>
        </w:rPr>
        <w:t xml:space="preserve"> </w:t>
      </w:r>
      <w:r>
        <w:rPr>
          <w:rFonts w:ascii="Times New Roman;serif" w:hAnsi="Times New Roman;serif"/>
          <w:b w:val="false"/>
          <w:sz w:val="24"/>
        </w:rPr>
        <w:t>of the standard did not</w:t>
      </w:r>
      <w:r>
        <w:rPr>
          <w:rFonts w:ascii="Times New Roman" w:hAnsi="Times New Roman"/>
          <w:sz w:val="20"/>
        </w:rPr>
        <w:t xml:space="preserve"> </w:t>
      </w:r>
      <w:r>
        <w:rPr>
          <w:rFonts w:ascii="Times New Roman;serif" w:hAnsi="Times New Roman;serif"/>
          <w:b w:val="false"/>
          <w:sz w:val="24"/>
        </w:rPr>
        <w:t>have a material effect on the disclosures included herein.</w:t>
      </w:r>
    </w:p>
    <w:p>
      <w:pPr>
        <w:pStyle w:val="TextBody"/>
        <w:bidi w:val="0"/>
        <w:spacing w:before="200" w:after="0"/>
        <w:jc w:val="both"/>
        <w:rPr>
          <w:rFonts w:ascii="Times New Roman" w:hAnsi="Times New Roman"/>
          <w:sz w:val="20"/>
        </w:rPr>
      </w:pPr>
      <w:r>
        <w:rPr>
          <w:rFonts w:ascii="Times New Roman;serif" w:hAnsi="Times New Roman;serif"/>
          <w:b/>
          <w:i/>
          <w:sz w:val="24"/>
          <w:u w:val="single"/>
        </w:rPr>
        <w:t>Critical Accounting Policies.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4"/>
        </w:rPr>
        <w:t xml:space="preserve">Basis of Consolidation. </w:t>
      </w:r>
      <w:r>
        <w:rPr>
          <w:rFonts w:ascii="Times New Roman;serif" w:hAnsi="Times New Roman;serif"/>
          <w:b w:val="false"/>
          <w:sz w:val="24"/>
        </w:rPr>
        <w:t>The consolidated financial statements include the accounts of SEACOR Marine and its controlled subsidiaries. Control is generally deemed to exist if the Company has greater than 50% of the voting rights of a subsidiary. All significant intercompany accounts and transactions are eliminated in the combination and consolidation.</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noncontrolling equity investment in the former controlled subsidiary is measured at fair value and a gain or loss is recognized in net income (loss) based on such fair value. If a subsidiary is consolidated upon the business acquisition of controlling interests by the Company, any previous noncontrolled equity investment in the subsidiary is measured at fair value and a gain or loss is recognized in net income (loss) based on such fair value.</w:t>
      </w:r>
    </w:p>
    <w:p>
      <w:pPr>
        <w:pStyle w:val="TextBody"/>
        <w:bidi w:val="0"/>
        <w:spacing w:before="200" w:after="0"/>
        <w:jc w:val="both"/>
        <w:rPr>
          <w:rFonts w:ascii="Times New Roman" w:hAnsi="Times New Roman"/>
          <w:sz w:val="20"/>
        </w:rPr>
      </w:pPr>
      <w:r>
        <w:rPr>
          <w:rFonts w:ascii="Times New Roman;serif" w:hAnsi="Times New Roman;serif"/>
          <w:b w:val="false"/>
          <w:sz w:val="24"/>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advances to 50% or less owned companies. The Company reports its share of earnings from investments in 50% or less owned companies in the accompanying consolidated statements of income (loss) as equity in earnings of 50% or less owned companies, net of tax.</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Certain reclassifications were made to previously reported amounts in the consolidated financial statements and notes thereto to make them consistent with the current period presentation.</w:t>
      </w:r>
    </w:p>
    <w:p>
      <w:pPr>
        <w:pStyle w:val="TextBody"/>
        <w:bidi w:val="0"/>
        <w:spacing w:before="200" w:after="0"/>
        <w:jc w:val="both"/>
        <w:rPr>
          <w:rFonts w:ascii="Times New Roman" w:hAnsi="Times New Roman"/>
          <w:sz w:val="20"/>
        </w:rPr>
      </w:pPr>
      <w:r>
        <w:rPr>
          <w:rFonts w:ascii="Times New Roman;serif" w:hAnsi="Times New Roman;serif"/>
          <w:b/>
          <w:i/>
          <w:sz w:val="24"/>
        </w:rPr>
        <w:t>Use of Estimates.</w:t>
      </w:r>
      <w:r>
        <w:rPr>
          <w:rFonts w:ascii="Times New Roman" w:hAnsi="Times New Roman"/>
          <w:sz w:val="20"/>
        </w:rPr>
        <w:t xml:space="preserve"> </w:t>
      </w:r>
      <w:r>
        <w:rPr>
          <w:rFonts w:ascii="Times New Roman;serif" w:hAnsi="Times New Roman;serif"/>
          <w:b w:val="false"/>
          <w:sz w:val="24"/>
        </w:rPr>
        <w:t>The preparation of financial statements in conformity with accounting principles generally accepted in the United States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credit loss accounts, useful lives of property and equipment, impairments, income tax provisions and certain accrued liabilities. Actual results could differ from estimates and those differences may be material.</w:t>
      </w:r>
    </w:p>
    <w:p>
      <w:pPr>
        <w:pStyle w:val="TextBody"/>
        <w:bidi w:val="0"/>
        <w:spacing w:before="200" w:after="0"/>
        <w:jc w:val="both"/>
        <w:rPr>
          <w:rFonts w:ascii="Times New Roman" w:hAnsi="Times New Roman"/>
          <w:sz w:val="20"/>
        </w:rPr>
      </w:pPr>
      <w:r>
        <w:rPr>
          <w:rFonts w:ascii="Times New Roman;serif" w:hAnsi="Times New Roman;serif"/>
          <w:b/>
          <w:i/>
          <w:sz w:val="24"/>
        </w:rPr>
        <w:t>Revenue Recognition</w:t>
      </w:r>
      <w:r>
        <w:rPr>
          <w:rFonts w:ascii="Times New Roman;serif" w:hAnsi="Times New Roman;serif"/>
          <w:b w:val="false"/>
          <w:sz w:val="24"/>
        </w:rPr>
        <w:t>. Revenue is recognized when (or as) the Company transfers promised goods or services to its customers in amounts that reflect the consideration to which the Company expects to be entitled to in exchange for those goods or services, which occurs when (or as) the Company satisfies its contractual obligations and transfers over control of the promised goods or services to its customers. The Company recognizes revenue, net of sales taxes, based on its estimates of the consideration the Company expects to receive. Costs to obtain or fulfill a contract are expensed as incurred.</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In the Company’s operating areas, contract or charters vary in length from several days to multi-year periods. Many of the Company’s contracts and charters include cancellation clauses without early termination penalties. As a result of options and frequent renewals, the stated duration of charters may not correlate with the length of time the vessel is contracted for to provide services to a particular customer.</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The Company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thereunder. The Company also contracts with various customers to carry out management services regarding engineering for vessel construction and vessel conversions. The vast majority of the ship management agreements span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w:t>
      </w:r>
    </w:p>
    <w:p>
      <w:pPr>
        <w:pStyle w:val="TextBody"/>
        <w:bidi w:val="0"/>
        <w:spacing w:before="200" w:after="200"/>
        <w:jc w:val="both"/>
        <w:rPr>
          <w:rFonts w:ascii="Times New Roman" w:hAnsi="Times New Roman"/>
          <w:sz w:val="20"/>
        </w:rPr>
      </w:pPr>
      <w:r>
        <w:rPr>
          <w:rFonts w:ascii="Times New Roman;serif" w:hAnsi="Times New Roman;serif"/>
          <w:b w:val="false"/>
          <w:sz w:val="24"/>
        </w:rPr>
        <w:t>Revenue that does not meet these criteria is deferred until the criteria is met and is considered a contract liability and is recognized as such. Contract liabilities, which are included in deferred revenue and unearned</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w:t>
      </w:r>
    </w:p>
    <w:p>
      <w:pPr>
        <w:pStyle w:val="HorizontalLine"/>
        <w:pBdr>
          <w:bottom w:val="double" w:sz="2" w:space="0" w:color="808080"/>
        </w:pBdr>
        <w:bidi w:val="0"/>
        <w:spacing w:before="0" w:after="283"/>
        <w:jc w:val="left"/>
        <w:rPr/>
      </w:pPr>
      <w:r>
        <w:rPr/>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revenue in the accompanying consolidated balance sheets, as of June 30, 2023 and December 31, 2022 were as follows (in thousands):</w:t>
      </w:r>
    </w:p>
    <w:tbl>
      <w:tblPr>
        <w:tblW w:w="6734" w:type="dxa"/>
        <w:jc w:val="left"/>
        <w:tblInd w:w="0" w:type="dxa"/>
        <w:tblLayout w:type="fixed"/>
        <w:tblCellMar>
          <w:top w:w="28" w:type="dxa"/>
          <w:left w:w="28" w:type="dxa"/>
          <w:bottom w:w="28" w:type="dxa"/>
          <w:right w:w="28" w:type="dxa"/>
        </w:tblCellMar>
      </w:tblPr>
      <w:tblGrid>
        <w:gridCol w:w="4351"/>
        <w:gridCol w:w="146"/>
        <w:gridCol w:w="196"/>
        <w:gridCol w:w="571"/>
        <w:gridCol w:w="166"/>
        <w:gridCol w:w="146"/>
        <w:gridCol w:w="196"/>
        <w:gridCol w:w="571"/>
        <w:gridCol w:w="3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beginning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1,606</w:t>
            </w:r>
          </w:p>
        </w:tc>
        <w:tc>
          <w:tcPr>
            <w:tcW w:w="391" w:type="dxa"/>
            <w:tcBorders/>
            <w:vAlign w:val="center"/>
          </w:tcPr>
          <w:p>
            <w:pPr>
              <w:pStyle w:val="TableContents"/>
              <w:bidi w:val="0"/>
              <w:spacing w:before="0" w:after="0"/>
              <w:ind w:left="0" w:right="0" w:firstLine="200"/>
              <w:jc w:val="left"/>
              <w:rPr/>
            </w:pPr>
            <w:r>
              <w:rPr/>
              <w:t> </w:t>
            </w:r>
          </w:p>
        </w:tc>
      </w:tr>
      <w:tr>
        <w:trPr/>
        <w:tc>
          <w:tcPr>
            <w:tcW w:w="43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Revenues deferred during the period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4,288</w:t>
            </w:r>
          </w:p>
        </w:tc>
        <w:tc>
          <w:tcPr>
            <w:tcW w:w="391" w:type="dxa"/>
            <w:tcBorders/>
            <w:vAlign w:val="center"/>
          </w:tcPr>
          <w:p>
            <w:pPr>
              <w:pStyle w:val="TableContents"/>
              <w:bidi w:val="0"/>
              <w:spacing w:before="0" w:after="0"/>
              <w:ind w:left="0" w:right="0" w:firstLine="200"/>
              <w:jc w:val="left"/>
              <w:rPr/>
            </w:pPr>
            <w:r>
              <w:rPr/>
              <w:t> </w:t>
            </w:r>
          </w:p>
        </w:tc>
      </w:tr>
      <w:tr>
        <w:trPr/>
        <w:tc>
          <w:tcPr>
            <w:tcW w:w="43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Revenues recognized and reclassifications during the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(3,561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2,333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val="false"/>
          <w:sz w:val="24"/>
        </w:rPr>
        <w:t>As of June 30, 2023, the Company had $3.6</w:t>
      </w:r>
      <w:r>
        <w:rPr>
          <w:rFonts w:ascii="Times New Roman" w:hAnsi="Times New Roman"/>
          <w:sz w:val="20"/>
        </w:rPr>
        <w:t xml:space="preserve"> </w:t>
      </w:r>
      <w:r>
        <w:rPr>
          <w:rFonts w:ascii="Times New Roman;serif" w:hAnsi="Times New Roman;serif"/>
          <w:b w:val="false"/>
          <w:sz w:val="24"/>
        </w:rPr>
        <w:t>million of unearned revenue primarily related to mobilization of vessels and had no</w:t>
      </w:r>
      <w:r>
        <w:rPr>
          <w:rFonts w:ascii="Times New Roman" w:hAnsi="Times New Roman"/>
          <w:sz w:val="20"/>
        </w:rPr>
        <w:t xml:space="preserve"> </w:t>
      </w:r>
      <w:r>
        <w:rPr>
          <w:rFonts w:ascii="Times New Roman;serif" w:hAnsi="Times New Roman;serif"/>
          <w:b w:val="false"/>
          <w:sz w:val="24"/>
        </w:rPr>
        <w:t>deferred revenues.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4"/>
        </w:rPr>
        <w:t>Cash and Cash Equivalents.</w:t>
      </w:r>
      <w:r>
        <w:rPr>
          <w:rFonts w:ascii="Times New Roman" w:hAnsi="Times New Roman"/>
          <w:sz w:val="20"/>
        </w:rPr>
        <w:t xml:space="preserve"> </w:t>
      </w:r>
      <w:r>
        <w:rPr>
          <w:rFonts w:ascii="Times New Roman;serif" w:hAnsi="Times New Roman;serif"/>
          <w:b w:val="false"/>
          <w:sz w:val="24"/>
        </w:rPr>
        <w:t>The Company considers all highly liquid investments, with an original maturity of three months or less from the date purchased, to be cash equivalents.</w:t>
      </w:r>
    </w:p>
    <w:p>
      <w:pPr>
        <w:pStyle w:val="TextBody"/>
        <w:bidi w:val="0"/>
        <w:spacing w:before="200" w:after="0"/>
        <w:jc w:val="both"/>
        <w:rPr>
          <w:rFonts w:ascii="Times New Roman" w:hAnsi="Times New Roman"/>
          <w:sz w:val="20"/>
        </w:rPr>
      </w:pPr>
      <w:r>
        <w:rPr>
          <w:rFonts w:ascii="Times New Roman;serif" w:hAnsi="Times New Roman;serif"/>
          <w:b/>
          <w:i/>
          <w:sz w:val="24"/>
        </w:rPr>
        <w:t xml:space="preserve">Restricted Cash. </w:t>
      </w:r>
      <w:r>
        <w:rPr>
          <w:rFonts w:ascii="Times New Roman;serif" w:hAnsi="Times New Roman;serif"/>
          <w:b w:val="false"/>
          <w:sz w:val="24"/>
        </w:rPr>
        <w:t>Restricted cash primarily relates to banking facility requirements.</w:t>
      </w:r>
    </w:p>
    <w:p>
      <w:pPr>
        <w:pStyle w:val="TextBody"/>
        <w:bidi w:val="0"/>
        <w:spacing w:before="200" w:after="0"/>
        <w:jc w:val="both"/>
        <w:rPr>
          <w:rFonts w:ascii="Times New Roman" w:hAnsi="Times New Roman"/>
          <w:sz w:val="20"/>
        </w:rPr>
      </w:pPr>
      <w:r>
        <w:rPr>
          <w:rFonts w:ascii="Times New Roman;serif" w:hAnsi="Times New Roman;serif"/>
          <w:b/>
          <w:i/>
          <w:sz w:val="24"/>
        </w:rPr>
        <w:t>Trade and Other Receivables.</w:t>
      </w:r>
      <w:r>
        <w:rPr>
          <w:rFonts w:ascii="Times New Roman" w:hAnsi="Times New Roman"/>
          <w:sz w:val="20"/>
        </w:rPr>
        <w:t xml:space="preserve"> </w:t>
      </w:r>
      <w:r>
        <w:rPr>
          <w:rFonts w:ascii="Times New Roman;serif" w:hAnsi="Times New Roman;serif"/>
          <w:b w:val="false"/>
          <w:sz w:val="24"/>
        </w:rPr>
        <w:t>Customers are primarily major integrated national, international oil companies, large independent oil and natural gas exploration and production companies and established wind farm construction companies. Customers are granted credit on a short-term basis and the related credit risks are minimal. Other receivables consist primarily of operating expenses the Company incurs in relation to vessels it manages for other entities, as well as insurance and income tax receivables, but excludes our short-term note receivable. The Company routinely reviews its receivables and makes provisions for the credit losses utilizing the Current Expected Credit Losses model (“CECL”). The CECL model utilizes a lifetime expected credit loss measurement objective for the recognition of credit losses for loans and other receivables at the time the financial asset is originated or acquired. However, those provisions are estimates and actual results may materially differ from those estimates. Trade receivables are deemed uncollectible and are removed from accounts receivable and the allowance for credit losses when collection efforts have been exhausted.</w:t>
      </w:r>
    </w:p>
    <w:p>
      <w:pPr>
        <w:pStyle w:val="TextBody"/>
        <w:bidi w:val="0"/>
        <w:spacing w:before="200" w:after="0"/>
        <w:jc w:val="both"/>
        <w:rPr>
          <w:rFonts w:ascii="Times New Roman" w:hAnsi="Times New Roman"/>
          <w:sz w:val="20"/>
        </w:rPr>
      </w:pPr>
      <w:r>
        <w:rPr>
          <w:rFonts w:ascii="Times New Roman;serif" w:hAnsi="Times New Roman;serif"/>
          <w:b/>
          <w:i/>
          <w:sz w:val="24"/>
        </w:rPr>
        <w:t>Property and Equipment.</w:t>
      </w:r>
      <w:r>
        <w:rPr>
          <w:rFonts w:ascii="Times New Roman" w:hAnsi="Times New Roman"/>
          <w:sz w:val="20"/>
        </w:rPr>
        <w:t xml:space="preserve"> </w:t>
      </w:r>
      <w:r>
        <w:rPr>
          <w:rFonts w:ascii="Times New Roman;serif" w:hAnsi="Times New Roman;serif"/>
          <w:b w:val="false"/>
          <w:sz w:val="24"/>
        </w:rPr>
        <w:t>Equipment, stated at cost, is depreciated using the straight-line method over the estimated useful life 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vessels that have already exceeded the Company’s useful life policy, in which case the Company depreciates such assets based on its best estimate of remaining useful life, typically the next survey or certification date. As of June 30, 2023, the estimated useful life of the Company’s new offshore support vessels was 20</w:t>
      </w:r>
      <w:r>
        <w:rPr>
          <w:rFonts w:ascii="Times New Roman" w:hAnsi="Times New Roman"/>
          <w:sz w:val="20"/>
        </w:rPr>
        <w:t xml:space="preserve"> </w:t>
      </w:r>
      <w:r>
        <w:rPr>
          <w:rFonts w:ascii="Times New Roman;serif" w:hAnsi="Times New Roman;serif"/>
          <w:b w:val="false"/>
          <w:sz w:val="24"/>
        </w:rPr>
        <w:t>years.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pStyle w:val="TextBody"/>
        <w:bidi w:val="0"/>
        <w:spacing w:before="200" w:after="0"/>
        <w:jc w:val="both"/>
        <w:rPr>
          <w:rFonts w:ascii="Times New Roman" w:hAnsi="Times New Roman"/>
          <w:sz w:val="20"/>
        </w:rPr>
      </w:pPr>
      <w:r>
        <w:rPr>
          <w:rFonts w:ascii="Times New Roman;serif" w:hAnsi="Times New Roman;serif"/>
          <w:b w:val="false"/>
          <w:sz w:val="24"/>
        </w:rPr>
        <w:t>Certain interest costs incurred during the construction of equipment are capitalized as part of the assets’ carrying values and are amortized over such assets’ estimated useful lives. There was no</w:t>
      </w:r>
      <w:r>
        <w:rPr>
          <w:rFonts w:ascii="Times New Roman" w:hAnsi="Times New Roman"/>
          <w:sz w:val="20"/>
        </w:rPr>
        <w:t xml:space="preserve"> </w:t>
      </w:r>
      <w:r>
        <w:rPr>
          <w:rFonts w:ascii="Times New Roman;serif" w:hAnsi="Times New Roman;serif"/>
          <w:b w:val="false"/>
          <w:sz w:val="24"/>
        </w:rPr>
        <w:t>capitalized interest recognized during the six months ended June 30, 2023 and 2022.</w:t>
      </w:r>
    </w:p>
    <w:p>
      <w:pPr>
        <w:pStyle w:val="TextBody"/>
        <w:bidi w:val="0"/>
        <w:spacing w:before="200" w:after="0"/>
        <w:jc w:val="both"/>
        <w:rPr>
          <w:rFonts w:ascii="Times New Roman" w:hAnsi="Times New Roman"/>
          <w:sz w:val="20"/>
        </w:rPr>
      </w:pPr>
      <w:r>
        <w:rPr>
          <w:rFonts w:ascii="Times New Roman;serif" w:hAnsi="Times New Roman;serif"/>
          <w:b/>
          <w:i/>
          <w:sz w:val="24"/>
        </w:rPr>
        <w:t>Impairment of Long-Lived Assets.</w:t>
      </w:r>
      <w:r>
        <w:rPr>
          <w:rFonts w:ascii="Times New Roman" w:hAnsi="Times New Roman"/>
          <w:sz w:val="20"/>
        </w:rPr>
        <w:t xml:space="preserve"> </w:t>
      </w:r>
      <w:r>
        <w:rPr>
          <w:rFonts w:ascii="Times New Roman;serif" w:hAnsi="Times New Roman;serif"/>
          <w:b w:val="false"/>
          <w:sz w:val="24"/>
        </w:rPr>
        <w:t>The Company performs an impairment analysis of long-lived assets used in operations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or asset groups are compared to their current carrying values and impairment charges are recorded if the carrying value exceeds fair value.</w:t>
      </w:r>
    </w:p>
    <w:p>
      <w:pPr>
        <w:pStyle w:val="TextBody"/>
        <w:bidi w:val="0"/>
        <w:spacing w:before="200" w:after="0"/>
        <w:jc w:val="both"/>
        <w:rPr>
          <w:rFonts w:ascii="Times New Roman" w:hAnsi="Times New Roman"/>
          <w:sz w:val="20"/>
        </w:rPr>
      </w:pPr>
      <w:r>
        <w:rPr>
          <w:rFonts w:ascii="Times New Roman;serif" w:hAnsi="Times New Roman;serif"/>
          <w:b w:val="false"/>
          <w:sz w:val="24"/>
        </w:rPr>
        <w:t>For the six months ended June 30, 2023, the Company did not record an impairment on any owned or leased-in vessels. For the six months ended June 30, 2022, the Company recorded impairment</w:t>
      </w:r>
      <w:r>
        <w:rPr>
          <w:rFonts w:ascii="Times New Roman" w:hAnsi="Times New Roman"/>
          <w:sz w:val="20"/>
        </w:rPr>
        <w:t xml:space="preserve"> </w:t>
      </w:r>
      <w:r>
        <w:rPr>
          <w:rFonts w:ascii="Times New Roman;serif" w:hAnsi="Times New Roman;serif"/>
          <w:b w:val="false"/>
          <w:sz w:val="24"/>
        </w:rPr>
        <w:t>charges of $0.9</w:t>
      </w:r>
      <w:r>
        <w:rPr>
          <w:rFonts w:ascii="Times New Roman" w:hAnsi="Times New Roman"/>
          <w:sz w:val="20"/>
        </w:rPr>
        <w:t xml:space="preserve"> </w:t>
      </w:r>
      <w:r>
        <w:rPr>
          <w:rFonts w:ascii="Times New Roman;serif" w:hAnsi="Times New Roman;serif"/>
          <w:b w:val="false"/>
          <w:sz w:val="24"/>
        </w:rPr>
        <w:t>million for one fast support vessel (“FSV”) classified as held for sale during the first quarter of 2022 and sold during the second quarter of 2022. Estimated fair values for the Company owned vessels were established by independent appraisers based on researched market information, replacement cost information and other data.</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For vessel classes and individual vessels with indicators of impairment as of June 30, 2023, the Company estimated that their future undiscounted cash flows exceeded their current carrying values. However, the Company’s estimates of future undiscounted cash flows are highly subjective as utilization and rates per day worked are uncertain, especially in light of the continued volatility in commodity prices as well as the timing and cost of reactivating cold-stacked vessels. If market conditions decline, changes in the Company’s expectations on future cash flows may result in recognizing additional impairment charges related to its long-lived assets in future periods. For any vessel or vessel class that has indicators of impairment and is deemed not recoverable through future operations, the Company determines the fair value of the vessel or vessel class. If the fair value determination is less than the carrying value of the vessel or vessel class, an impairment is recognized to reduce the carrying value to fair value. Fair value determination is primarily accomplished by obtaining independent valuations of vessel or vessel classes from qualified third-party appraisers.</w:t>
      </w:r>
    </w:p>
    <w:p>
      <w:pPr>
        <w:pStyle w:val="TextBody"/>
        <w:bidi w:val="0"/>
        <w:spacing w:before="200" w:after="0"/>
        <w:jc w:val="both"/>
        <w:rPr>
          <w:rFonts w:ascii="Times New Roman" w:hAnsi="Times New Roman"/>
          <w:sz w:val="20"/>
        </w:rPr>
      </w:pPr>
      <w:r>
        <w:rPr>
          <w:rFonts w:ascii="Times New Roman;serif" w:hAnsi="Times New Roman;serif"/>
          <w:b/>
          <w:i/>
          <w:sz w:val="24"/>
        </w:rPr>
        <w:t xml:space="preserve">Impairment of </w:t>
      </w:r>
      <w:r>
        <w:rPr>
          <w:rFonts w:ascii="Times New Roman;serif" w:hAnsi="Times New Roman;serif"/>
          <w:b/>
          <w:sz w:val="24"/>
        </w:rPr>
        <w:t>50%</w:t>
      </w:r>
      <w:r>
        <w:rPr>
          <w:rFonts w:ascii="Times New Roman" w:hAnsi="Times New Roman"/>
          <w:sz w:val="20"/>
        </w:rPr>
        <w:t xml:space="preserve"> </w:t>
      </w:r>
      <w:r>
        <w:rPr>
          <w:rFonts w:ascii="Times New Roman;serif" w:hAnsi="Times New Roman;serif"/>
          <w:b/>
          <w:i/>
          <w:sz w:val="24"/>
        </w:rPr>
        <w:t>or Less Owned Companies.</w:t>
      </w:r>
      <w:r>
        <w:rPr>
          <w:rFonts w:ascii="Times New Roman" w:hAnsi="Times New Roman"/>
          <w:sz w:val="20"/>
        </w:rPr>
        <w:t xml:space="preserve"> </w:t>
      </w:r>
      <w:r>
        <w:rPr>
          <w:rFonts w:ascii="Times New Roman;serif" w:hAnsi="Times New Roman;serif"/>
          <w:b w:val="false"/>
          <w:sz w:val="24"/>
        </w:rPr>
        <w:t>Investments in 50% or less owned companies are reviewed periodically to 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six months ended June 30, 2023 and 2022, the Company did not recognize any impairment charges related to its 50% or less owned companies.</w:t>
      </w:r>
    </w:p>
    <w:p>
      <w:pPr>
        <w:pStyle w:val="TextBody"/>
        <w:bidi w:val="0"/>
        <w:spacing w:before="200" w:after="0"/>
        <w:jc w:val="both"/>
        <w:rPr>
          <w:rFonts w:ascii="Times New Roman" w:hAnsi="Times New Roman"/>
          <w:sz w:val="20"/>
        </w:rPr>
      </w:pPr>
      <w:r>
        <w:rPr>
          <w:rFonts w:ascii="Times New Roman;serif" w:hAnsi="Times New Roman;serif"/>
          <w:b/>
          <w:i/>
          <w:sz w:val="24"/>
        </w:rPr>
        <w:t>Income Taxes.</w:t>
      </w:r>
      <w:r>
        <w:rPr>
          <w:rFonts w:ascii="Times New Roman" w:hAnsi="Times New Roman"/>
          <w:sz w:val="20"/>
        </w:rPr>
        <w:t xml:space="preserve"> </w:t>
      </w:r>
      <w:r>
        <w:rPr>
          <w:rFonts w:ascii="Times New Roman;serif" w:hAnsi="Times New Roman;serif"/>
          <w:b w:val="false"/>
          <w:sz w:val="24"/>
        </w:rPr>
        <w:t>During the six months ended June 30, 2023, the Company’s effective income tax rate of 0.40% was primarily due to foreign taxes paid that are not creditable against U.S. income taxes.</w:t>
      </w:r>
    </w:p>
    <w:p>
      <w:pPr>
        <w:pStyle w:val="TextBody"/>
        <w:bidi w:val="0"/>
        <w:spacing w:before="200" w:after="200"/>
        <w:jc w:val="both"/>
        <w:rPr>
          <w:rFonts w:ascii="Times New Roman" w:hAnsi="Times New Roman"/>
          <w:sz w:val="20"/>
        </w:rPr>
      </w:pPr>
      <w:r>
        <w:rPr>
          <w:rFonts w:ascii="Times New Roman;serif" w:hAnsi="Times New Roman;serif"/>
          <w:b/>
          <w:i/>
          <w:sz w:val="24"/>
        </w:rPr>
        <w:t>Accumulated Other Comprehensive Income (Loss).</w:t>
      </w:r>
      <w:r>
        <w:rPr>
          <w:rFonts w:ascii="Times New Roman" w:hAnsi="Times New Roman"/>
          <w:sz w:val="20"/>
        </w:rPr>
        <w:t xml:space="preserve"> </w:t>
      </w:r>
      <w:r>
        <w:rPr>
          <w:rFonts w:ascii="Times New Roman;serif" w:hAnsi="Times New Roman;serif"/>
          <w:b w:val="false"/>
          <w:sz w:val="24"/>
        </w:rPr>
        <w:t>The components of accumulated other comprehensive income were as follows (in thousands):</w:t>
      </w:r>
    </w:p>
    <w:tbl>
      <w:tblPr>
        <w:tblW w:w="7219" w:type="dxa"/>
        <w:jc w:val="left"/>
        <w:tblInd w:w="0" w:type="dxa"/>
        <w:tblLayout w:type="fixed"/>
        <w:tblCellMar>
          <w:top w:w="28" w:type="dxa"/>
          <w:left w:w="28" w:type="dxa"/>
          <w:bottom w:w="28" w:type="dxa"/>
          <w:right w:w="28" w:type="dxa"/>
        </w:tblCellMar>
      </w:tblPr>
      <w:tblGrid>
        <w:gridCol w:w="2191"/>
        <w:gridCol w:w="146"/>
        <w:gridCol w:w="308"/>
        <w:gridCol w:w="803"/>
        <w:gridCol w:w="146"/>
        <w:gridCol w:w="146"/>
        <w:gridCol w:w="454"/>
        <w:gridCol w:w="1016"/>
        <w:gridCol w:w="166"/>
        <w:gridCol w:w="146"/>
        <w:gridCol w:w="362"/>
        <w:gridCol w:w="944"/>
        <w:gridCol w:w="3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491"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SEACOR Marine Holdings Inc.</w:t>
              <w:br/>
              <w:t>Stockholders’ Equity</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Foreign</w:t>
              <w:br/>
              <w:t>Currency</w:t>
              <w:br/>
              <w:t>Translation</w:t>
              <w:br/>
              <w:t>Adjustments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Derivative</w:t>
              <w:br/>
              <w:t>Gains (Losses) on</w:t>
              <w:br/>
              <w:t>Cash Flow</w:t>
              <w:br/>
              <w:t>Hedges, net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 Other</w:t>
              <w:br/>
              <w:t>Comprehensive</w:t>
              <w:br/>
              <w:t>Income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9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December 31, 2022</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4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6,847</w:t>
            </w:r>
          </w:p>
        </w:tc>
        <w:tc>
          <w:tcPr>
            <w:tcW w:w="391" w:type="dxa"/>
            <w:tcBorders/>
            <w:vAlign w:val="center"/>
          </w:tcPr>
          <w:p>
            <w:pPr>
              <w:pStyle w:val="TableContents"/>
              <w:bidi w:val="0"/>
              <w:spacing w:before="0" w:after="0"/>
              <w:ind w:left="0" w:right="0" w:firstLine="200"/>
              <w:jc w:val="left"/>
              <w:rPr/>
            </w:pPr>
            <w:r>
              <w:rPr/>
              <w:t> </w:t>
            </w:r>
          </w:p>
        </w:tc>
      </w:tr>
      <w:tr>
        <w:trPr/>
        <w:tc>
          <w:tcPr>
            <w:tcW w:w="219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comprehensive income</w:t>
            </w:r>
          </w:p>
        </w:tc>
        <w:tc>
          <w:tcPr>
            <w:tcW w:w="146" w:type="dxa"/>
            <w:tcBorders/>
            <w:vAlign w:val="center"/>
          </w:tcPr>
          <w:p>
            <w:pPr>
              <w:pStyle w:val="TableContents"/>
              <w:bidi w:val="0"/>
              <w:spacing w:before="0" w:after="0"/>
              <w:ind w:left="0" w:right="0" w:hanging="0"/>
              <w:jc w:val="left"/>
              <w:rPr/>
            </w:pPr>
            <w:r>
              <w:rPr/>
              <w:t> </w:t>
            </w:r>
          </w:p>
        </w:tc>
        <w:tc>
          <w:tcPr>
            <w:tcW w:w="3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9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June 30, 2023</w:t>
            </w:r>
          </w:p>
        </w:tc>
        <w:tc>
          <w:tcPr>
            <w:tcW w:w="146" w:type="dxa"/>
            <w:tcBorders/>
            <w:vAlign w:val="center"/>
          </w:tcPr>
          <w:p>
            <w:pPr>
              <w:pStyle w:val="TableContents"/>
              <w:bidi w:val="0"/>
              <w:spacing w:before="0" w:after="0"/>
              <w:ind w:left="0" w:right="0" w:hanging="0"/>
              <w:jc w:val="left"/>
              <w:rPr/>
            </w:pPr>
            <w:r>
              <w:rPr/>
              <w:t> </w:t>
            </w:r>
          </w:p>
        </w:tc>
        <w:tc>
          <w:tcPr>
            <w:tcW w:w="3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8,128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i/>
          <w:sz w:val="24"/>
        </w:rPr>
        <w:t>Earnings</w:t>
      </w:r>
      <w:r>
        <w:rPr>
          <w:rFonts w:ascii="Times New Roman" w:hAnsi="Times New Roman"/>
          <w:sz w:val="20"/>
        </w:rPr>
        <w:t xml:space="preserve"> </w:t>
      </w:r>
      <w:r>
        <w:rPr>
          <w:rFonts w:ascii="Times New Roman;serif" w:hAnsi="Times New Roman;serif"/>
          <w:b w:val="false"/>
          <w:sz w:val="24"/>
        </w:rPr>
        <w:t>(</w:t>
      </w:r>
      <w:r>
        <w:rPr>
          <w:rFonts w:ascii="Times New Roman;serif" w:hAnsi="Times New Roman;serif"/>
          <w:b/>
          <w:i/>
          <w:sz w:val="24"/>
        </w:rPr>
        <w:t>Loss) Per Share.</w:t>
      </w:r>
      <w:r>
        <w:rPr>
          <w:rFonts w:ascii="Times New Roman" w:hAnsi="Times New Roman"/>
          <w:sz w:val="20"/>
        </w:rPr>
        <w:t xml:space="preserve"> </w:t>
      </w:r>
      <w:r>
        <w:rPr>
          <w:rFonts w:ascii="Times New Roman;serif" w:hAnsi="Times New Roman;serif"/>
          <w:b w:val="false"/>
          <w:sz w:val="24"/>
        </w:rPr>
        <w:t>Basic earnings/loss per share of Common Stock of the Company is computed based on the weighted average number of shares of Common Stock and warrants to purchase Common Stock at an exercise price of $0.01</w:t>
      </w:r>
      <w:r>
        <w:rPr>
          <w:rFonts w:ascii="Times New Roman" w:hAnsi="Times New Roman"/>
          <w:sz w:val="20"/>
        </w:rPr>
        <w:t xml:space="preserve"> </w:t>
      </w:r>
      <w:r>
        <w:rPr>
          <w:rFonts w:ascii="Times New Roman;serif" w:hAnsi="Times New Roman;serif"/>
          <w:b w:val="false"/>
          <w:sz w:val="24"/>
        </w:rPr>
        <w:t>per share (“Warrants”) issued and outstanding during the relevant periods. The Warrants are included in the basic earnings/loss per share of Common Stock because the shares issuable upon exercise of</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the Warrants are issuable for de minimis cash consideration and therefore not anti-dilutive. Diluted earnings/loss per share of Common Stock is computed based on the weighted average number of shares of Common Stock and Warrants issued and outstanding plus the effect of other potentially dilutive securities through the application of the treasury stock method and the if-converted method that assumes all shares of Common Stock have been issued and outstanding during the relevant periods pursuant to the conversion of the Old Convertible Notes and the New Convertible Notes unless anti-dilutive.</w:t>
      </w:r>
    </w:p>
    <w:p>
      <w:pPr>
        <w:pStyle w:val="TextBody"/>
        <w:bidi w:val="0"/>
        <w:spacing w:before="200" w:after="0"/>
        <w:jc w:val="both"/>
        <w:rPr>
          <w:rFonts w:ascii="Times New Roman" w:hAnsi="Times New Roman"/>
          <w:sz w:val="20"/>
        </w:rPr>
      </w:pPr>
      <w:r>
        <w:rPr>
          <w:rFonts w:ascii="Times New Roman;serif" w:hAnsi="Times New Roman;serif"/>
          <w:b w:val="false"/>
          <w:sz w:val="24"/>
        </w:rPr>
        <w:t>For the three and six months ended June 30, 2023, diluted loss per share of Common Stock excluded 2,978,274</w:t>
      </w:r>
      <w:r>
        <w:rPr>
          <w:rFonts w:ascii="Times New Roman" w:hAnsi="Times New Roman"/>
          <w:sz w:val="20"/>
        </w:rPr>
        <w:t xml:space="preserve"> </w:t>
      </w:r>
      <w:r>
        <w:rPr>
          <w:rFonts w:ascii="Times New Roman;serif" w:hAnsi="Times New Roman;serif"/>
          <w:b w:val="false"/>
          <w:sz w:val="24"/>
        </w:rPr>
        <w:t>shares of Common Stock issuable upon conversion of the New Convertible Notes as the effect of their inclusion in the computation would be anti-dilutive.</w:t>
      </w:r>
    </w:p>
    <w:p>
      <w:pPr>
        <w:pStyle w:val="TextBody"/>
        <w:bidi w:val="0"/>
        <w:spacing w:before="200" w:after="0"/>
        <w:jc w:val="both"/>
        <w:rPr>
          <w:rFonts w:ascii="Times New Roman" w:hAnsi="Times New Roman"/>
          <w:sz w:val="20"/>
        </w:rPr>
      </w:pPr>
      <w:r>
        <w:rPr>
          <w:rFonts w:ascii="Times New Roman;serif" w:hAnsi="Times New Roman;serif"/>
          <w:b w:val="false"/>
          <w:sz w:val="24"/>
        </w:rPr>
        <w:t>For the three and six months ended June 30, 2022, diluted loss per share of Common Stock excluded 2,907,500</w:t>
      </w:r>
      <w:r>
        <w:rPr>
          <w:rFonts w:ascii="Times New Roman" w:hAnsi="Times New Roman"/>
          <w:sz w:val="20"/>
        </w:rPr>
        <w:t xml:space="preserve"> </w:t>
      </w:r>
      <w:r>
        <w:rPr>
          <w:rFonts w:ascii="Times New Roman;serif" w:hAnsi="Times New Roman;serif"/>
          <w:b w:val="false"/>
          <w:sz w:val="24"/>
        </w:rPr>
        <w:t>shares of Common Stock issuable upon conversion of the Old Convertible Notes as the effect of their inclusion in the computation would be anti-dilutive.</w:t>
      </w:r>
    </w:p>
    <w:p>
      <w:pPr>
        <w:pStyle w:val="TextBody"/>
        <w:bidi w:val="0"/>
        <w:spacing w:before="200" w:after="0"/>
        <w:jc w:val="both"/>
        <w:rPr>
          <w:rFonts w:ascii="Times New Roman" w:hAnsi="Times New Roman"/>
          <w:sz w:val="20"/>
        </w:rPr>
      </w:pPr>
      <w:r>
        <w:rPr>
          <w:rFonts w:ascii="Times New Roman;serif" w:hAnsi="Times New Roman;serif"/>
          <w:b w:val="false"/>
          <w:sz w:val="24"/>
        </w:rPr>
        <w:t>In addition, for the three and six months ended June 30, 2023 and 2022</w:t>
      </w:r>
      <w:r>
        <w:rPr>
          <w:rFonts w:ascii="Times New Roman" w:hAnsi="Times New Roman"/>
          <w:sz w:val="20"/>
        </w:rPr>
        <w:t xml:space="preserve"> </w:t>
      </w:r>
      <w:r>
        <w:rPr>
          <w:rFonts w:ascii="Times New Roman;serif" w:hAnsi="Times New Roman;serif"/>
          <w:b w:val="false"/>
          <w:sz w:val="24"/>
        </w:rPr>
        <w:t>diluted loss per share of Common Stock excluded 1,642,084</w:t>
      </w:r>
      <w:r>
        <w:rPr>
          <w:rFonts w:ascii="Times New Roman" w:hAnsi="Times New Roman"/>
          <w:sz w:val="20"/>
        </w:rPr>
        <w:t xml:space="preserve"> </w:t>
      </w:r>
      <w:r>
        <w:rPr>
          <w:rFonts w:ascii="Times New Roman;serif" w:hAnsi="Times New Roman;serif"/>
          <w:b w:val="false"/>
          <w:sz w:val="24"/>
        </w:rPr>
        <w:t>and 1,648,707</w:t>
      </w:r>
      <w:r>
        <w:rPr>
          <w:rFonts w:ascii="Times New Roman" w:hAnsi="Times New Roman"/>
          <w:sz w:val="20"/>
        </w:rPr>
        <w:t xml:space="preserve"> </w:t>
      </w:r>
      <w:r>
        <w:rPr>
          <w:rFonts w:ascii="Times New Roman;serif" w:hAnsi="Times New Roman;serif"/>
          <w:b w:val="false"/>
          <w:sz w:val="24"/>
        </w:rPr>
        <w:t>shares of restricted stock, respectively, and 1,026,031</w:t>
      </w:r>
      <w:r>
        <w:rPr>
          <w:rFonts w:ascii="Times New Roman" w:hAnsi="Times New Roman"/>
          <w:sz w:val="20"/>
        </w:rPr>
        <w:t xml:space="preserve"> </w:t>
      </w:r>
      <w:r>
        <w:rPr>
          <w:rFonts w:ascii="Times New Roman;serif" w:hAnsi="Times New Roman;serif"/>
          <w:b w:val="false"/>
          <w:sz w:val="24"/>
        </w:rPr>
        <w:t>and 1,026,865</w:t>
      </w:r>
      <w:r>
        <w:rPr>
          <w:rFonts w:ascii="Times New Roman" w:hAnsi="Times New Roman"/>
          <w:sz w:val="20"/>
        </w:rPr>
        <w:t xml:space="preserve"> </w:t>
      </w:r>
      <w:r>
        <w:rPr>
          <w:rFonts w:ascii="Times New Roman;serif" w:hAnsi="Times New Roman;serif"/>
          <w:b w:val="false"/>
          <w:sz w:val="24"/>
        </w:rPr>
        <w:t>shares of Common Stock, respectively, issuable upon exercise of outstanding stock options as the effect of their inclusion in the computation would be anti-dilutive.</w:t>
      </w:r>
    </w:p>
    <w:p>
      <w:pPr>
        <w:pStyle w:val="TextBody"/>
        <w:bidi w:val="0"/>
        <w:spacing w:before="200" w:after="0"/>
        <w:jc w:val="both"/>
        <w:rPr>
          <w:rFonts w:ascii="Times New Roman" w:hAnsi="Times New Roman"/>
          <w:b/>
          <w:sz w:val="24"/>
        </w:rPr>
      </w:pPr>
      <w:r>
        <w:rPr>
          <w:rFonts w:ascii="Times New Roman" w:hAnsi="Times New Roman"/>
          <w:b/>
          <w:sz w:val="24"/>
        </w:rPr>
        <w:t>2.</w:t>
      </w:r>
    </w:p>
    <w:p>
      <w:pPr>
        <w:pStyle w:val="TextBody"/>
        <w:bidi w:val="0"/>
        <w:spacing w:before="200" w:after="283"/>
        <w:jc w:val="both"/>
        <w:rPr>
          <w:rFonts w:ascii="Times New Roman;serif" w:hAnsi="Times New Roman;serif"/>
          <w:b/>
          <w:sz w:val="24"/>
        </w:rPr>
      </w:pPr>
      <w:r>
        <w:rPr>
          <w:rFonts w:ascii="Times New Roman;serif" w:hAnsi="Times New Roman;serif"/>
          <w:b/>
          <w:sz w:val="24"/>
        </w:rPr>
        <w:t>NOTE RECEIVABLE</w:t>
      </w:r>
    </w:p>
    <w:p>
      <w:pPr>
        <w:pStyle w:val="TextBody"/>
        <w:bidi w:val="0"/>
        <w:spacing w:before="200" w:after="0"/>
        <w:jc w:val="both"/>
        <w:rPr>
          <w:rFonts w:ascii="Times New Roman" w:hAnsi="Times New Roman"/>
          <w:sz w:val="20"/>
        </w:rPr>
      </w:pPr>
      <w:r>
        <w:rPr>
          <w:rFonts w:ascii="Times New Roman;serif" w:hAnsi="Times New Roman;serif"/>
          <w:b w:val="false"/>
          <w:sz w:val="24"/>
        </w:rPr>
        <w:t>In connection with the closing of the framework agreement transactions (the “Framework Agreement Transactions”), on September 29, 2022, SEACOR Marine Capital Inc., a wholly-owned subsidiary of SEACOR Marine (“SEACOR Marine Capital”) purchased all of the outstanding loans under the MexMar Original Facility Agreement for an aggregate amount of $28.8</w:t>
      </w:r>
      <w:r>
        <w:rPr>
          <w:rFonts w:ascii="Times New Roman" w:hAnsi="Times New Roman"/>
          <w:sz w:val="20"/>
        </w:rPr>
        <w:t xml:space="preserve"> </w:t>
      </w:r>
      <w:r>
        <w:rPr>
          <w:rFonts w:ascii="Times New Roman;serif" w:hAnsi="Times New Roman;serif"/>
          <w:b w:val="false"/>
          <w:sz w:val="24"/>
        </w:rPr>
        <w:t>million, representing par value of the loan using proceeds received from the Framework Agreement Transactions. On the same date, the MexMar Original Facility Agreement was amended and restated in the MexMar Third A&amp;R Facility Agreement pursuant to which, among other things, Mantenimiento Express Marítimo, S.A.P.I. de C.V. (“MexMar”) repaid approximately $8.8</w:t>
      </w:r>
      <w:r>
        <w:rPr>
          <w:rFonts w:ascii="Times New Roman" w:hAnsi="Times New Roman"/>
          <w:sz w:val="20"/>
        </w:rPr>
        <w:t xml:space="preserve"> </w:t>
      </w:r>
      <w:r>
        <w:rPr>
          <w:rFonts w:ascii="Times New Roman;serif" w:hAnsi="Times New Roman;serif"/>
          <w:b w:val="false"/>
          <w:sz w:val="24"/>
        </w:rPr>
        <w:t>million of the outstanding loan amount and agreed to repay the $20.0</w:t>
      </w:r>
      <w:r>
        <w:rPr>
          <w:rFonts w:ascii="Times New Roman" w:hAnsi="Times New Roman"/>
          <w:sz w:val="20"/>
        </w:rPr>
        <w:t xml:space="preserve"> </w:t>
      </w:r>
      <w:r>
        <w:rPr>
          <w:rFonts w:ascii="Times New Roman;serif" w:hAnsi="Times New Roman;serif"/>
          <w:b w:val="false"/>
          <w:sz w:val="24"/>
        </w:rPr>
        <w:t>million of the loan that remained outstanding by September 30, 2023</w:t>
      </w:r>
      <w:r>
        <w:rPr>
          <w:rFonts w:ascii="Times New Roman" w:hAnsi="Times New Roman"/>
          <w:sz w:val="20"/>
        </w:rPr>
        <w:t xml:space="preserve"> </w:t>
      </w:r>
      <w:r>
        <w:rPr>
          <w:rFonts w:ascii="Times New Roman;serif" w:hAnsi="Times New Roman;serif"/>
          <w:b w:val="false"/>
          <w:sz w:val="24"/>
        </w:rPr>
        <w:t>through four quarterly installments</w:t>
      </w:r>
      <w:r>
        <w:rPr>
          <w:rFonts w:ascii="Times New Roman" w:hAnsi="Times New Roman"/>
          <w:sz w:val="20"/>
        </w:rPr>
        <w:t xml:space="preserve"> </w:t>
      </w:r>
      <w:r>
        <w:rPr>
          <w:rFonts w:ascii="Times New Roman;serif" w:hAnsi="Times New Roman;serif"/>
          <w:b w:val="false"/>
          <w:sz w:val="24"/>
        </w:rPr>
        <w:t>of $5.0</w:t>
      </w:r>
      <w:r>
        <w:rPr>
          <w:rFonts w:ascii="Times New Roman" w:hAnsi="Times New Roman"/>
          <w:sz w:val="20"/>
        </w:rPr>
        <w:t xml:space="preserve"> </w:t>
      </w:r>
      <w:r>
        <w:rPr>
          <w:rFonts w:ascii="Times New Roman;serif" w:hAnsi="Times New Roman;serif"/>
          <w:b w:val="false"/>
          <w:sz w:val="24"/>
        </w:rPr>
        <w:t>million. As of June 30, 2023, the loan balance due from MexMar was $5.0</w:t>
      </w:r>
      <w:r>
        <w:rPr>
          <w:rFonts w:ascii="Times New Roman" w:hAnsi="Times New Roman"/>
          <w:sz w:val="20"/>
        </w:rPr>
        <w:t xml:space="preserve"> </w:t>
      </w:r>
      <w:r>
        <w:rPr>
          <w:rFonts w:ascii="Times New Roman;serif" w:hAnsi="Times New Roman;serif"/>
          <w:b w:val="false"/>
          <w:sz w:val="24"/>
        </w:rPr>
        <w:t>million.</w:t>
      </w:r>
    </w:p>
    <w:p>
      <w:pPr>
        <w:pStyle w:val="TextBody"/>
        <w:bidi w:val="0"/>
        <w:spacing w:before="200" w:after="0"/>
        <w:jc w:val="both"/>
        <w:rPr>
          <w:rFonts w:ascii="Times New Roman" w:hAnsi="Times New Roman"/>
          <w:b/>
          <w:sz w:val="24"/>
        </w:rPr>
      </w:pPr>
      <w:r>
        <w:rPr>
          <w:rFonts w:ascii="Times New Roman" w:hAnsi="Times New Roman"/>
          <w:b/>
          <w:sz w:val="24"/>
        </w:rPr>
        <w:t>3.</w:t>
      </w:r>
    </w:p>
    <w:p>
      <w:pPr>
        <w:pStyle w:val="TextBody"/>
        <w:bidi w:val="0"/>
        <w:spacing w:before="200" w:after="283"/>
        <w:jc w:val="both"/>
        <w:rPr>
          <w:rFonts w:ascii="Times New Roman;serif" w:hAnsi="Times New Roman;serif"/>
          <w:b/>
          <w:sz w:val="24"/>
        </w:rPr>
      </w:pPr>
      <w:r>
        <w:rPr>
          <w:rFonts w:ascii="Times New Roman;serif" w:hAnsi="Times New Roman;serif"/>
          <w:b/>
          <w:sz w:val="24"/>
        </w:rPr>
        <w:t>EQUIPMENT ACQUISITIONS AND DISPOSITIONS</w:t>
      </w:r>
    </w:p>
    <w:p>
      <w:pPr>
        <w:pStyle w:val="TextBody"/>
        <w:bidi w:val="0"/>
        <w:spacing w:before="200" w:after="0"/>
        <w:jc w:val="both"/>
        <w:rPr>
          <w:rFonts w:ascii="Times New Roman" w:hAnsi="Times New Roman"/>
          <w:sz w:val="20"/>
        </w:rPr>
      </w:pPr>
      <w:r>
        <w:rPr>
          <w:rFonts w:ascii="Times New Roman;serif" w:hAnsi="Times New Roman;serif"/>
          <w:b w:val="false"/>
          <w:sz w:val="24"/>
        </w:rPr>
        <w:t>During the six months ended June 30, 2023, capital expenditures were $0.5</w:t>
      </w:r>
      <w:r>
        <w:rPr>
          <w:rFonts w:ascii="Times New Roman" w:hAnsi="Times New Roman"/>
          <w:sz w:val="20"/>
        </w:rPr>
        <w:t xml:space="preserve"> </w:t>
      </w:r>
      <w:r>
        <w:rPr>
          <w:rFonts w:ascii="Times New Roman;serif" w:hAnsi="Times New Roman;serif"/>
          <w:b w:val="false"/>
          <w:sz w:val="24"/>
        </w:rPr>
        <w:t>million and there were no</w:t>
      </w:r>
      <w:r>
        <w:rPr>
          <w:rFonts w:ascii="Times New Roman" w:hAnsi="Times New Roman"/>
          <w:sz w:val="20"/>
        </w:rPr>
        <w:t xml:space="preserve"> </w:t>
      </w:r>
      <w:r>
        <w:rPr>
          <w:rFonts w:ascii="Times New Roman;serif" w:hAnsi="Times New Roman;serif"/>
          <w:b w:val="false"/>
          <w:sz w:val="24"/>
        </w:rPr>
        <w:t>equipment deliveries. During the six months ended June 30, 2023, the Company sold three liftboats, one specialty vessel, previously removed from service, and other equipment, previously classified as held for sale, as well as other equipment not previously classified as such, for net cash proceeds of $8.0</w:t>
      </w:r>
      <w:r>
        <w:rPr>
          <w:rFonts w:ascii="Times New Roman" w:hAnsi="Times New Roman"/>
          <w:sz w:val="20"/>
        </w:rPr>
        <w:t xml:space="preserve"> </w:t>
      </w:r>
      <w:r>
        <w:rPr>
          <w:rFonts w:ascii="Times New Roman;serif" w:hAnsi="Times New Roman;serif"/>
          <w:b w:val="false"/>
          <w:sz w:val="24"/>
        </w:rPr>
        <w:t>million, after transaction costs, and a gain of $2.9</w:t>
      </w:r>
      <w:r>
        <w:rPr>
          <w:rFonts w:ascii="Times New Roman" w:hAnsi="Times New Roman"/>
          <w:sz w:val="20"/>
        </w:rPr>
        <w:t xml:space="preserve"> </w:t>
      </w:r>
      <w:r>
        <w:rPr>
          <w:rFonts w:ascii="Times New Roman;serif" w:hAnsi="Times New Roman;serif"/>
          <w:b w:val="false"/>
          <w:sz w:val="24"/>
        </w:rPr>
        <w:t>million. During the six months ended June 30, 2022, the Company sold one</w:t>
      </w:r>
      <w:r>
        <w:rPr>
          <w:rFonts w:ascii="Times New Roman" w:hAnsi="Times New Roman"/>
          <w:sz w:val="20"/>
        </w:rPr>
        <w:t xml:space="preserve"> </w:t>
      </w:r>
      <w:r>
        <w:rPr>
          <w:rFonts w:ascii="Times New Roman;serif" w:hAnsi="Times New Roman;serif"/>
          <w:b w:val="false"/>
          <w:sz w:val="24"/>
        </w:rPr>
        <w:t>FSV, one</w:t>
      </w:r>
      <w:r>
        <w:rPr>
          <w:rFonts w:ascii="Times New Roman" w:hAnsi="Times New Roman"/>
          <w:sz w:val="20"/>
        </w:rPr>
        <w:t xml:space="preserve"> </w:t>
      </w:r>
      <w:r>
        <w:rPr>
          <w:rFonts w:ascii="Times New Roman;serif" w:hAnsi="Times New Roman;serif"/>
          <w:b w:val="false"/>
          <w:sz w:val="24"/>
        </w:rPr>
        <w:t>liftboat, previously removed from service, office space, and other equipment for net cash proceeds of $6.7</w:t>
      </w:r>
      <w:r>
        <w:rPr>
          <w:rFonts w:ascii="Times New Roman" w:hAnsi="Times New Roman"/>
          <w:sz w:val="20"/>
        </w:rPr>
        <w:t xml:space="preserve"> </w:t>
      </w:r>
      <w:r>
        <w:rPr>
          <w:rFonts w:ascii="Times New Roman;serif" w:hAnsi="Times New Roman;serif"/>
          <w:b w:val="false"/>
          <w:sz w:val="24"/>
        </w:rPr>
        <w:t>million, after transaction costs, and a gain of $2.2</w:t>
      </w:r>
      <w:r>
        <w:rPr>
          <w:rFonts w:ascii="Times New Roman" w:hAnsi="Times New Roman"/>
          <w:sz w:val="20"/>
        </w:rPr>
        <w:t xml:space="preserve"> </w:t>
      </w:r>
      <w:r>
        <w:rPr>
          <w:rFonts w:ascii="Times New Roman;serif" w:hAnsi="Times New Roman;serif"/>
          <w:b w:val="false"/>
          <w:sz w:val="24"/>
        </w:rPr>
        <w:t>million, which included impairment charges of $0.9</w:t>
      </w:r>
      <w:r>
        <w:rPr>
          <w:rFonts w:ascii="Times New Roman" w:hAnsi="Times New Roman"/>
          <w:sz w:val="20"/>
        </w:rPr>
        <w:t xml:space="preserve"> </w:t>
      </w:r>
      <w:r>
        <w:rPr>
          <w:rFonts w:ascii="Times New Roman;serif" w:hAnsi="Times New Roman;serif"/>
          <w:b w:val="false"/>
          <w:sz w:val="24"/>
        </w:rPr>
        <w:t>million for the FSV classified as held for sale during the first quarter of 2022 and sold during the second quarter of 2022.</w:t>
      </w:r>
    </w:p>
    <w:p>
      <w:pPr>
        <w:pStyle w:val="TextBody"/>
        <w:bidi w:val="0"/>
        <w:spacing w:before="200" w:after="0"/>
        <w:jc w:val="both"/>
        <w:rPr>
          <w:rFonts w:ascii="Times New Roman" w:hAnsi="Times New Roman"/>
          <w:b/>
          <w:sz w:val="24"/>
        </w:rPr>
      </w:pPr>
      <w:r>
        <w:rPr>
          <w:rFonts w:ascii="Times New Roman" w:hAnsi="Times New Roman"/>
          <w:b/>
          <w:sz w:val="24"/>
        </w:rPr>
        <w:t>4.</w:t>
      </w:r>
    </w:p>
    <w:p>
      <w:pPr>
        <w:pStyle w:val="TextBody"/>
        <w:bidi w:val="0"/>
        <w:spacing w:before="200" w:after="283"/>
        <w:jc w:val="both"/>
        <w:rPr>
          <w:rFonts w:ascii="Times New Roman;serif" w:hAnsi="Times New Roman;serif"/>
          <w:b/>
          <w:sz w:val="24"/>
        </w:rPr>
      </w:pPr>
      <w:r>
        <w:rPr>
          <w:rFonts w:ascii="Times New Roman;serif" w:hAnsi="Times New Roman;serif"/>
          <w:b/>
          <w:sz w:val="24"/>
        </w:rPr>
        <w:t>INVESTMENTS, AT EQUITY AND ADVANCES TO 50% OR LESS OWNED COMPANIES</w:t>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Investments, at equity, and advances to 50% or less owned companies as of June 30, 2023 and December 31, 2022 were as follows (in thousands):</w:t>
      </w:r>
    </w:p>
    <w:tbl>
      <w:tblPr>
        <w:tblW w:w="4996" w:type="dxa"/>
        <w:jc w:val="left"/>
        <w:tblInd w:w="0" w:type="dxa"/>
        <w:tblLayout w:type="fixed"/>
        <w:tblCellMar>
          <w:top w:w="28" w:type="dxa"/>
          <w:left w:w="28" w:type="dxa"/>
          <w:bottom w:w="28" w:type="dxa"/>
          <w:right w:w="28" w:type="dxa"/>
        </w:tblCellMar>
      </w:tblPr>
      <w:tblGrid>
        <w:gridCol w:w="1366"/>
        <w:gridCol w:w="146"/>
        <w:gridCol w:w="304"/>
        <w:gridCol w:w="881"/>
        <w:gridCol w:w="256"/>
        <w:gridCol w:w="146"/>
        <w:gridCol w:w="196"/>
        <w:gridCol w:w="511"/>
        <w:gridCol w:w="146"/>
        <w:gridCol w:w="146"/>
        <w:gridCol w:w="196"/>
        <w:gridCol w:w="511"/>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Ownership</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Seabulk Angola</w:t>
            </w:r>
          </w:p>
        </w:tc>
        <w:tc>
          <w:tcPr>
            <w:tcW w:w="1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1,683</w:t>
            </w:r>
          </w:p>
        </w:tc>
        <w:tc>
          <w:tcPr>
            <w:tcW w:w="191" w:type="dxa"/>
            <w:tcBorders/>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SEACOR Arabia</w:t>
            </w:r>
          </w:p>
        </w:tc>
        <w:tc>
          <w:tcPr>
            <w:tcW w:w="1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1,265</w:t>
            </w:r>
          </w:p>
        </w:tc>
        <w:tc>
          <w:tcPr>
            <w:tcW w:w="191" w:type="dxa"/>
            <w:tcBorders/>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20.0% - 50.0%</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3,024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 w:hAnsi="Times New Roman"/>
          <w:b/>
          <w:sz w:val="24"/>
        </w:rPr>
      </w:pPr>
      <w:r>
        <w:rPr>
          <w:rFonts w:ascii="Times New Roman" w:hAnsi="Times New Roman"/>
          <w:b/>
          <w:sz w:val="24"/>
        </w:rPr>
        <w:t>5.</w:t>
      </w:r>
    </w:p>
    <w:p>
      <w:pPr>
        <w:pStyle w:val="TextBody"/>
        <w:bidi w:val="0"/>
        <w:spacing w:before="200" w:after="283"/>
        <w:jc w:val="both"/>
        <w:rPr>
          <w:rFonts w:ascii="Times New Roman;serif" w:hAnsi="Times New Roman;serif"/>
          <w:b/>
          <w:sz w:val="24"/>
        </w:rPr>
      </w:pPr>
      <w:r>
        <w:rPr>
          <w:rFonts w:ascii="Times New Roman;serif" w:hAnsi="Times New Roman;serif"/>
          <w:b/>
          <w:sz w:val="24"/>
        </w:rPr>
        <w:t>LONG-TERM DEBT</w:t>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The Company’s long-term debt obligations as of June 30, 2023 and December 31, 2022 were as follows (in thousands):</w:t>
      </w:r>
    </w:p>
    <w:tbl>
      <w:tblPr>
        <w:tblW w:w="8245" w:type="dxa"/>
        <w:jc w:val="left"/>
        <w:tblInd w:w="0" w:type="dxa"/>
        <w:tblLayout w:type="fixed"/>
        <w:tblCellMar>
          <w:top w:w="28" w:type="dxa"/>
          <w:left w:w="28" w:type="dxa"/>
          <w:bottom w:w="28" w:type="dxa"/>
          <w:right w:w="28" w:type="dxa"/>
        </w:tblCellMar>
      </w:tblPr>
      <w:tblGrid>
        <w:gridCol w:w="4696"/>
        <w:gridCol w:w="146"/>
        <w:gridCol w:w="255"/>
        <w:gridCol w:w="900"/>
        <w:gridCol w:w="166"/>
        <w:gridCol w:w="146"/>
        <w:gridCol w:w="341"/>
        <w:gridCol w:w="1204"/>
        <w:gridCol w:w="3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96"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i/>
                <w:sz w:val="18"/>
              </w:rPr>
              <w:t>Recourse long-term debt</w:t>
            </w:r>
            <w:r>
              <w:rPr>
                <w:rFonts w:ascii="Times New Roman;serif" w:hAnsi="Times New Roman;serif"/>
                <w:b w:val="false"/>
                <w:i/>
                <w:sz w:val="12"/>
              </w:rPr>
              <w:t>(1)</w:t>
            </w:r>
            <w:r>
              <w:rPr>
                <w:rFonts w:ascii="Times New Roman;serif" w:hAnsi="Times New Roman;serif"/>
                <w:b w:val="false"/>
                <w:i/>
                <w:sz w:val="18"/>
              </w:rPr>
              <w:t>:</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6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Guaranteed Notes</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90,000</w:t>
            </w:r>
          </w:p>
        </w:tc>
        <w:tc>
          <w:tcPr>
            <w:tcW w:w="391" w:type="dxa"/>
            <w:tcBorders/>
            <w:vAlign w:val="center"/>
          </w:tcPr>
          <w:p>
            <w:pPr>
              <w:pStyle w:val="TableContents"/>
              <w:bidi w:val="0"/>
              <w:spacing w:before="0" w:after="0"/>
              <w:ind w:left="0" w:right="0" w:firstLine="200"/>
              <w:jc w:val="left"/>
              <w:rPr/>
            </w:pPr>
            <w:r>
              <w:rPr/>
              <w:t> </w:t>
            </w:r>
          </w:p>
        </w:tc>
      </w:tr>
      <w:tr>
        <w:trPr/>
        <w:tc>
          <w:tcPr>
            <w:tcW w:w="46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New Convertible Notes</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35,000</w:t>
            </w:r>
          </w:p>
        </w:tc>
        <w:tc>
          <w:tcPr>
            <w:tcW w:w="391" w:type="dxa"/>
            <w:tcBorders/>
            <w:vAlign w:val="center"/>
          </w:tcPr>
          <w:p>
            <w:pPr>
              <w:pStyle w:val="TableContents"/>
              <w:bidi w:val="0"/>
              <w:spacing w:before="0" w:after="0"/>
              <w:ind w:left="0" w:right="0" w:firstLine="200"/>
              <w:jc w:val="left"/>
              <w:rPr/>
            </w:pPr>
            <w:r>
              <w:rPr/>
              <w:t> </w:t>
            </w:r>
          </w:p>
        </w:tc>
      </w:tr>
      <w:tr>
        <w:trPr/>
        <w:tc>
          <w:tcPr>
            <w:tcW w:w="46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SEACOR Marine Foreign Holdings Credit Facility</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61,103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67,910</w:t>
            </w:r>
          </w:p>
        </w:tc>
        <w:tc>
          <w:tcPr>
            <w:tcW w:w="391" w:type="dxa"/>
            <w:tcBorders/>
            <w:vAlign w:val="center"/>
          </w:tcPr>
          <w:p>
            <w:pPr>
              <w:pStyle w:val="TableContents"/>
              <w:bidi w:val="0"/>
              <w:spacing w:before="0" w:after="0"/>
              <w:ind w:left="0" w:right="0" w:firstLine="200"/>
              <w:jc w:val="left"/>
              <w:rPr/>
            </w:pPr>
            <w:r>
              <w:rPr/>
              <w:t> </w:t>
            </w:r>
          </w:p>
        </w:tc>
      </w:tr>
      <w:tr>
        <w:trPr/>
        <w:tc>
          <w:tcPr>
            <w:tcW w:w="46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Sea-Cat Crewzer III Term Loan Facility</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15,465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16,703</w:t>
            </w:r>
          </w:p>
        </w:tc>
        <w:tc>
          <w:tcPr>
            <w:tcW w:w="391" w:type="dxa"/>
            <w:tcBorders/>
            <w:vAlign w:val="center"/>
          </w:tcPr>
          <w:p>
            <w:pPr>
              <w:pStyle w:val="TableContents"/>
              <w:bidi w:val="0"/>
              <w:spacing w:before="0" w:after="0"/>
              <w:ind w:left="0" w:right="0" w:firstLine="200"/>
              <w:jc w:val="left"/>
              <w:rPr/>
            </w:pPr>
            <w:r>
              <w:rPr/>
              <w:t> </w:t>
            </w:r>
          </w:p>
        </w:tc>
      </w:tr>
      <w:tr>
        <w:trPr/>
        <w:tc>
          <w:tcPr>
            <w:tcW w:w="46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SEACOR Offshore Delta (f/k/a SEACOSCO) Acquisition Debt</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13,705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16,205</w:t>
            </w:r>
          </w:p>
        </w:tc>
        <w:tc>
          <w:tcPr>
            <w:tcW w:w="391" w:type="dxa"/>
            <w:tcBorders/>
            <w:vAlign w:val="center"/>
          </w:tcPr>
          <w:p>
            <w:pPr>
              <w:pStyle w:val="TableContents"/>
              <w:bidi w:val="0"/>
              <w:spacing w:before="0" w:after="0"/>
              <w:ind w:left="0" w:right="0" w:firstLine="200"/>
              <w:jc w:val="left"/>
              <w:rPr/>
            </w:pPr>
            <w:r>
              <w:rPr/>
              <w:t> </w:t>
            </w:r>
          </w:p>
        </w:tc>
      </w:tr>
      <w:tr>
        <w:trPr/>
        <w:tc>
          <w:tcPr>
            <w:tcW w:w="46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SEACOR Delta (f/k/a SEACOSCO) Shipyard Financing</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73,092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77,537</w:t>
            </w:r>
          </w:p>
        </w:tc>
        <w:tc>
          <w:tcPr>
            <w:tcW w:w="391" w:type="dxa"/>
            <w:tcBorders/>
            <w:vAlign w:val="center"/>
          </w:tcPr>
          <w:p>
            <w:pPr>
              <w:pStyle w:val="TableContents"/>
              <w:bidi w:val="0"/>
              <w:spacing w:before="0" w:after="0"/>
              <w:ind w:left="0" w:right="0" w:firstLine="200"/>
              <w:jc w:val="left"/>
              <w:rPr/>
            </w:pPr>
            <w:r>
              <w:rPr/>
              <w:t> </w:t>
            </w:r>
          </w:p>
        </w:tc>
      </w:tr>
      <w:tr>
        <w:trPr/>
        <w:tc>
          <w:tcPr>
            <w:tcW w:w="4696" w:type="dxa"/>
            <w:tcBorders/>
            <w:vAlign w:val="center"/>
          </w:tcPr>
          <w:p>
            <w:pPr>
              <w:pStyle w:val="TableContents"/>
              <w:bidi w:val="0"/>
              <w:spacing w:before="0" w:after="0"/>
              <w:ind w:left="200" w:right="0" w:hanging="0"/>
              <w:jc w:val="left"/>
              <w:rPr>
                <w:rFonts w:ascii="Times New Roman" w:hAnsi="Times New Roman"/>
                <w:sz w:val="18"/>
              </w:rPr>
            </w:pPr>
            <w:r>
              <w:rPr>
                <w:rFonts w:ascii="Times New Roman;serif" w:hAnsi="Times New Roman;serif"/>
                <w:b w:val="false"/>
                <w:sz w:val="18"/>
              </w:rPr>
              <w:t>SEACOR Alpine Credit Facility</w:t>
            </w:r>
            <w:r>
              <w:rPr>
                <w:rFonts w:ascii="Times New Roman;serif" w:hAnsi="Times New Roman;serif"/>
                <w:b w:val="false"/>
                <w:sz w:val="12"/>
              </w:rPr>
              <w:t>(2)</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4696" w:type="dxa"/>
            <w:tcBorders/>
            <w:vAlign w:val="center"/>
          </w:tcPr>
          <w:p>
            <w:pPr>
              <w:pStyle w:val="TableContents"/>
              <w:bidi w:val="0"/>
              <w:spacing w:before="0" w:after="0"/>
              <w:ind w:left="200" w:right="0" w:hanging="0"/>
              <w:jc w:val="left"/>
              <w:rPr>
                <w:rFonts w:ascii="Times New Roman" w:hAnsi="Times New Roman"/>
                <w:sz w:val="18"/>
              </w:rPr>
            </w:pPr>
            <w:r>
              <w:rPr>
                <w:rFonts w:ascii="Times New Roman;serif" w:hAnsi="Times New Roman;serif"/>
                <w:b w:val="false"/>
                <w:sz w:val="18"/>
              </w:rPr>
              <w:t>SEACOR Alpine Shipyard Financing</w:t>
            </w:r>
            <w:r>
              <w:rPr>
                <w:rFonts w:ascii="Times New Roman;serif" w:hAnsi="Times New Roman;serif"/>
                <w:b w:val="false"/>
                <w:sz w:val="12"/>
              </w:rPr>
              <w:t>(2)</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27,790</w:t>
            </w:r>
          </w:p>
        </w:tc>
        <w:tc>
          <w:tcPr>
            <w:tcW w:w="391" w:type="dxa"/>
            <w:tcBorders/>
            <w:vAlign w:val="center"/>
          </w:tcPr>
          <w:p>
            <w:pPr>
              <w:pStyle w:val="TableContents"/>
              <w:bidi w:val="0"/>
              <w:spacing w:before="0" w:after="0"/>
              <w:ind w:left="0" w:right="0" w:firstLine="200"/>
              <w:jc w:val="left"/>
              <w:rPr/>
            </w:pPr>
            <w:r>
              <w:rPr/>
              <w:t> </w:t>
            </w:r>
          </w:p>
        </w:tc>
      </w:tr>
      <w:tr>
        <w:trPr/>
        <w:tc>
          <w:tcPr>
            <w:tcW w:w="46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SEACOR 88/888 Term Loan</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5,500</w:t>
            </w:r>
          </w:p>
        </w:tc>
        <w:tc>
          <w:tcPr>
            <w:tcW w:w="391" w:type="dxa"/>
            <w:tcBorders/>
            <w:vAlign w:val="center"/>
          </w:tcPr>
          <w:p>
            <w:pPr>
              <w:pStyle w:val="TableContents"/>
              <w:bidi w:val="0"/>
              <w:spacing w:before="0" w:after="0"/>
              <w:ind w:left="0" w:right="0" w:firstLine="200"/>
              <w:jc w:val="left"/>
              <w:rPr/>
            </w:pPr>
            <w:r>
              <w:rPr/>
              <w:t> </w:t>
            </w:r>
          </w:p>
        </w:tc>
      </w:tr>
      <w:tr>
        <w:trPr/>
        <w:tc>
          <w:tcPr>
            <w:tcW w:w="46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Tarahumara Shipyard Financing</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5,597</w:t>
            </w:r>
          </w:p>
        </w:tc>
        <w:tc>
          <w:tcPr>
            <w:tcW w:w="391" w:type="dxa"/>
            <w:tcBorders/>
            <w:vAlign w:val="center"/>
          </w:tcPr>
          <w:p>
            <w:pPr>
              <w:pStyle w:val="TableContents"/>
              <w:bidi w:val="0"/>
              <w:spacing w:before="0" w:after="0"/>
              <w:ind w:left="0" w:right="0" w:firstLine="200"/>
              <w:jc w:val="left"/>
              <w:rPr/>
            </w:pPr>
            <w:r>
              <w:rPr/>
              <w:t> </w:t>
            </w:r>
          </w:p>
        </w:tc>
      </w:tr>
      <w:tr>
        <w:trPr/>
        <w:tc>
          <w:tcPr>
            <w:tcW w:w="46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SEACOR Offshore OSV</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16,052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recourse long-term debt</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341,431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358,294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96"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i/>
                <w:sz w:val="18"/>
              </w:rPr>
              <w:t>Non-recourse long-term debt</w:t>
            </w:r>
            <w:r>
              <w:rPr>
                <w:rFonts w:ascii="Times New Roman;serif" w:hAnsi="Times New Roman;serif"/>
                <w:b w:val="false"/>
                <w:i/>
                <w:sz w:val="12"/>
              </w:rPr>
              <w:t>(3)</w:t>
            </w:r>
            <w:r>
              <w:rPr>
                <w:rFonts w:ascii="Times New Roman;serif" w:hAnsi="Times New Roman;serif"/>
                <w:b w:val="false"/>
                <w:i/>
                <w:sz w:val="18"/>
              </w:rPr>
              <w:t>:</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6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SEACOR 88/888 Term Loan</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5,500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non-recourse long-term debt</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5,500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principal due for long-term debt</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346,931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363,794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portion due within one year</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(63,959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(61,512</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Unamortized debt discount</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(34,326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(37,511</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Deferred financing costs</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(4,652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Long-term debt, less current portion</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243,960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260,119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(1)</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Recourse debt represents debt issued by SEACOR Marine and/or its subsidiaries and guaranteed by SEACOR Marine or one of its operating subsidiaries as provided in the relevant debt agreements.</w:t>
      </w:r>
    </w:p>
    <w:p>
      <w:pPr>
        <w:pStyle w:val="TextBody"/>
        <w:bidi w:val="0"/>
        <w:spacing w:before="0" w:after="0"/>
        <w:jc w:val="both"/>
        <w:rPr>
          <w:rFonts w:ascii="Times New Roman" w:hAnsi="Times New Roman"/>
          <w:b w:val="false"/>
          <w:sz w:val="16"/>
        </w:rPr>
      </w:pPr>
      <w:r>
        <w:rPr>
          <w:rFonts w:ascii="Times New Roman" w:hAnsi="Times New Roman"/>
          <w:b w:val="false"/>
          <w:sz w:val="16"/>
        </w:rPr>
        <w:t>(2)</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On June 27, 2023, proceeds from the SEACOR Alpine Credit Facility were used to satisfy in full the SEACOR Alpine Shipyard Financing. See details below.</w:t>
      </w:r>
    </w:p>
    <w:p>
      <w:pPr>
        <w:pStyle w:val="TextBody"/>
        <w:bidi w:val="0"/>
        <w:spacing w:before="0" w:after="0"/>
        <w:jc w:val="both"/>
        <w:rPr>
          <w:rFonts w:ascii="Times New Roman" w:hAnsi="Times New Roman"/>
          <w:b w:val="false"/>
          <w:sz w:val="16"/>
        </w:rPr>
      </w:pPr>
      <w:r>
        <w:rPr>
          <w:rFonts w:ascii="Times New Roman" w:hAnsi="Times New Roman"/>
          <w:b w:val="false"/>
          <w:sz w:val="16"/>
        </w:rPr>
        <w:t>(3)</w:t>
      </w:r>
    </w:p>
    <w:p>
      <w:pPr>
        <w:pStyle w:val="TextBody"/>
        <w:bidi w:val="0"/>
        <w:jc w:val="both"/>
        <w:rPr>
          <w:rFonts w:ascii="Times New Roman;serif" w:hAnsi="Times New Roman;serif"/>
          <w:b w:val="false"/>
          <w:sz w:val="16"/>
        </w:rPr>
      </w:pPr>
      <w:r>
        <w:rPr>
          <w:rFonts w:ascii="Times New Roman;serif" w:hAnsi="Times New Roman;serif"/>
          <w:b w:val="false"/>
          <w:sz w:val="16"/>
        </w:rPr>
        <w:t>Non-recourse debt represents debt issued by one of the Company’s consolidated subsidiaries with no recourse to SEACOR Marine or its other non-debtor operating subsidiaries with respect to the applicable instrument, other than certain limited support obligations as provided in the respective debt agreements, which in aggregate are not considered to be material to the Company’s business and financial condition.</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As of June 30, 2023, the Company was in compliance with all debt covenants and lender requirements.</w:t>
      </w:r>
    </w:p>
    <w:p>
      <w:pPr>
        <w:pStyle w:val="TextBody"/>
        <w:bidi w:val="0"/>
        <w:spacing w:before="200" w:after="0"/>
        <w:jc w:val="both"/>
        <w:rPr>
          <w:rFonts w:ascii="Times New Roman" w:hAnsi="Times New Roman"/>
          <w:sz w:val="20"/>
        </w:rPr>
      </w:pPr>
      <w:r>
        <w:rPr>
          <w:rFonts w:ascii="Times New Roman;serif" w:hAnsi="Times New Roman;serif"/>
          <w:b/>
          <w:i/>
          <w:sz w:val="24"/>
        </w:rPr>
        <w:t>SEACOR Alpine Credit Facility.</w:t>
      </w:r>
      <w:r>
        <w:rPr>
          <w:rFonts w:ascii="Times New Roman" w:hAnsi="Times New Roman"/>
          <w:sz w:val="20"/>
        </w:rPr>
        <w:t xml:space="preserve"> </w:t>
      </w:r>
      <w:r>
        <w:rPr>
          <w:rFonts w:ascii="Times New Roman;serif" w:hAnsi="Times New Roman;serif"/>
          <w:b w:val="false"/>
          <w:sz w:val="24"/>
        </w:rPr>
        <w:t>On June 16, 2023, SEACOR Marine, as a guarantor, and SEACOR Alps LLC (“SEACOR Alps”), SEACOR Andes LLC (“SEACOR Andes”), SEACOR Atlas LLC (“SEACOR Atlas” and, together with SEACOR Alps and SEACOR Atlas, the “SEACOR Alpine Borrowers”), as borrowers, and SEACOR Marine Alpine LLC (“SM Alpine”), as a guarantor, each a wholly-owned subsidiary of SEACOR Marine, entered into a $28.0</w:t>
      </w:r>
      <w:r>
        <w:rPr>
          <w:rFonts w:ascii="Times New Roman" w:hAnsi="Times New Roman"/>
          <w:sz w:val="20"/>
        </w:rPr>
        <w:t xml:space="preserve"> </w:t>
      </w:r>
      <w:r>
        <w:rPr>
          <w:rFonts w:ascii="Times New Roman;serif" w:hAnsi="Times New Roman;serif"/>
          <w:b w:val="false"/>
          <w:sz w:val="24"/>
        </w:rPr>
        <w:t>million senior secured term loan facility with Mountain Supply LLC, an affiliate of Hudson Structured Capital Management, as lender, facility agent and security trustee (the “SEACOR Alpine Credit Facility” and such agreement being the “SEACOR Alpine Credit Agreement”). The proceeds of the SEACOR Alpine Credit Facility were made available to the SEACOR Alpine Borrowers in three tranches and were used to satisfy in full amounts outstanding under certain shipyard financing provided by COSCO Shipping Heavy Industry (Zhoushan) Co. in connection with the newbuild delivery of three Marshall Islands flagged platform supply vessels to the SEACOR Alpine Borrowers during 2019 and 2020. The funds available under the SEACOR Alpine Credit Facility were fully drawn on June 27, 2023.</w:t>
      </w:r>
    </w:p>
    <w:p>
      <w:pPr>
        <w:pStyle w:val="TextBody"/>
        <w:bidi w:val="0"/>
        <w:spacing w:before="200" w:after="0"/>
        <w:jc w:val="both"/>
        <w:rPr>
          <w:rFonts w:ascii="Times New Roman" w:hAnsi="Times New Roman"/>
          <w:sz w:val="20"/>
        </w:rPr>
      </w:pPr>
      <w:r>
        <w:rPr>
          <w:rFonts w:ascii="Times New Roman;serif" w:hAnsi="Times New Roman;serif"/>
          <w:b w:val="false"/>
          <w:sz w:val="24"/>
        </w:rPr>
        <w:t>The SEACOR Alpine Credit Facility matures in June 2028 (the “SEACOR Alpine Maturity Date”). The principal amount of each of the three tranches of the SEACOR Alpine Credit Facility is to be repaid in monthly installments of (i) $100,000</w:t>
      </w:r>
      <w:r>
        <w:rPr>
          <w:rFonts w:ascii="Times New Roman" w:hAnsi="Times New Roman"/>
          <w:sz w:val="20"/>
        </w:rPr>
        <w:t xml:space="preserve"> </w:t>
      </w:r>
      <w:r>
        <w:rPr>
          <w:rFonts w:ascii="Times New Roman;serif" w:hAnsi="Times New Roman;serif"/>
          <w:b w:val="false"/>
          <w:sz w:val="24"/>
        </w:rPr>
        <w:t>for the first eight (8) installments, (ii) $140,000</w:t>
      </w:r>
      <w:r>
        <w:rPr>
          <w:rFonts w:ascii="Times New Roman" w:hAnsi="Times New Roman"/>
          <w:sz w:val="20"/>
        </w:rPr>
        <w:t xml:space="preserve"> </w:t>
      </w:r>
      <w:r>
        <w:rPr>
          <w:rFonts w:ascii="Times New Roman;serif" w:hAnsi="Times New Roman;serif"/>
          <w:b w:val="false"/>
          <w:sz w:val="24"/>
        </w:rPr>
        <w:t>for the following twenty-four (24) installments, and (iii) $100,000</w:t>
      </w:r>
      <w:r>
        <w:rPr>
          <w:rFonts w:ascii="Times New Roman" w:hAnsi="Times New Roman"/>
          <w:sz w:val="20"/>
        </w:rPr>
        <w:t xml:space="preserve"> </w:t>
      </w:r>
      <w:r>
        <w:rPr>
          <w:rFonts w:ascii="Times New Roman;serif" w:hAnsi="Times New Roman;serif"/>
          <w:b w:val="false"/>
          <w:sz w:val="24"/>
        </w:rPr>
        <w:t>for each installment thereafter until the SEACOR Alpine Maturity Date. The SEACOR Alpine Credit Facility bears interest at a fixed rate of 10.25% per annum. The loan may be prepaid at any time in amounts of $500,000</w:t>
      </w:r>
      <w:r>
        <w:rPr>
          <w:rFonts w:ascii="Times New Roman;serif" w:hAnsi="Times New Roman;serif"/>
          <w:sz w:val="24"/>
        </w:rPr>
        <w:t xml:space="preserve"> </w:t>
      </w:r>
      <w:r>
        <w:rPr>
          <w:rFonts w:ascii="Times New Roman;serif" w:hAnsi="Times New Roman;serif"/>
          <w:b w:val="false"/>
          <w:sz w:val="24"/>
        </w:rPr>
        <w:t xml:space="preserve">or greater, subject to the payment of prepayment interest in respect of the loan or tranche (or portions thereof) being prepaid as follows: (A) if such prepayment is made prior to the first anniversary of the drawdown date, an amount equal to the greater of (x) the amount of unpaid interest which would have accrued until the first anniversary of the drawdown date and (y) 1.5% of the principal amount of the loan which was prepaid, (B) if such prepayment is made on or after the first anniversary of the drawdown date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 w:hAnsi="Times New Roman"/>
          <w:sz w:val="20"/>
        </w:rPr>
      </w:pPr>
      <w:r>
        <w:rPr>
          <w:rFonts w:ascii="Times New Roman;serif" w:hAnsi="Times New Roman;serif"/>
          <w:b w:val="false"/>
          <w:sz w:val="24"/>
        </w:rPr>
        <w:t>but prior to the third anniversary of the drawdown date, 1.0% of the principal amount of the loan which was prepaid, and (C) if such prepayment is made on or after the third anniversary of the drawdown date, no</w:t>
      </w:r>
      <w:r>
        <w:rPr>
          <w:rFonts w:ascii="Times New Roman" w:hAnsi="Times New Roman"/>
          <w:sz w:val="20"/>
        </w:rPr>
        <w:t xml:space="preserve"> </w:t>
      </w:r>
      <w:r>
        <w:rPr>
          <w:rFonts w:ascii="Times New Roman;serif" w:hAnsi="Times New Roman;serif"/>
          <w:b w:val="false"/>
          <w:sz w:val="24"/>
        </w:rPr>
        <w:t>prepayment interest shall be payable.</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The SEACOR Alpine Credit Facility contains customary covenants for financings of this type including financial maintenance and restrictive covenants, including the maintenance of certain ratios such as the aggregate collateral vessel value to the sum of the outstanding principal amounts of the loans. The SEACOR Alpine Credit Facility restricts the payment of dividends and distributions and the ability of the SEACOR Alpine Borrowers to make certain investments. In addition, the SEACOR Alpine Credit Facility includes customary events of default.</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In connection with the SEACOR Alpine Credit Facility, SEACOR Marine issued a guaranty with respect to the obligations of the SEACOR Alpine Borrowers under the SEACOR Alpine Credit Agreement and related documents. This guaranty includes, among other customary covenants, various financial covenants, including minimum liquidity, and debt-to-capitalization and interest coverage ratios.</w:t>
      </w:r>
    </w:p>
    <w:p>
      <w:pPr>
        <w:pStyle w:val="TextBody"/>
        <w:bidi w:val="0"/>
        <w:spacing w:before="200" w:after="0"/>
        <w:jc w:val="both"/>
        <w:rPr>
          <w:rFonts w:ascii="Times New Roman" w:hAnsi="Times New Roman"/>
          <w:sz w:val="20"/>
        </w:rPr>
      </w:pPr>
      <w:r>
        <w:rPr>
          <w:rFonts w:ascii="Times New Roman;serif" w:hAnsi="Times New Roman;serif"/>
          <w:b/>
          <w:i/>
          <w:sz w:val="24"/>
        </w:rPr>
        <w:t>Letters of Credit</w:t>
      </w:r>
      <w:r>
        <w:rPr>
          <w:rFonts w:ascii="Times New Roman;serif" w:hAnsi="Times New Roman;serif"/>
          <w:b w:val="false"/>
          <w:sz w:val="24"/>
        </w:rPr>
        <w:t>. As of June 30, 2023, the Company had outstanding letters of credit of $1.1</w:t>
      </w:r>
      <w:r>
        <w:rPr>
          <w:rFonts w:ascii="Times New Roman" w:hAnsi="Times New Roman"/>
          <w:sz w:val="20"/>
        </w:rPr>
        <w:t xml:space="preserve"> </w:t>
      </w:r>
      <w:r>
        <w:rPr>
          <w:rFonts w:ascii="Times New Roman;serif" w:hAnsi="Times New Roman;serif"/>
          <w:b w:val="false"/>
          <w:sz w:val="24"/>
        </w:rPr>
        <w:t>million securing lease obligations, labor and performance guaranties.</w:t>
      </w:r>
    </w:p>
    <w:p>
      <w:pPr>
        <w:pStyle w:val="TextBody"/>
        <w:bidi w:val="0"/>
        <w:spacing w:before="200" w:after="0"/>
        <w:jc w:val="both"/>
        <w:rPr>
          <w:rFonts w:ascii="Times New Roman" w:hAnsi="Times New Roman"/>
          <w:b/>
          <w:sz w:val="24"/>
        </w:rPr>
      </w:pPr>
      <w:r>
        <w:rPr>
          <w:rFonts w:ascii="Times New Roman" w:hAnsi="Times New Roman"/>
          <w:b/>
          <w:sz w:val="24"/>
        </w:rPr>
        <w:t>6.</w:t>
      </w:r>
    </w:p>
    <w:p>
      <w:pPr>
        <w:pStyle w:val="TextBody"/>
        <w:bidi w:val="0"/>
        <w:spacing w:before="200" w:after="283"/>
        <w:jc w:val="both"/>
        <w:rPr>
          <w:rFonts w:ascii="Times New Roman;serif" w:hAnsi="Times New Roman;serif"/>
          <w:b/>
          <w:sz w:val="24"/>
        </w:rPr>
      </w:pPr>
      <w:r>
        <w:rPr>
          <w:rFonts w:ascii="Times New Roman;serif" w:hAnsi="Times New Roman;serif"/>
          <w:b/>
          <w:sz w:val="24"/>
        </w:rPr>
        <w:t>LEASES</w:t>
      </w:r>
    </w:p>
    <w:p>
      <w:pPr>
        <w:pStyle w:val="TextBody"/>
        <w:bidi w:val="0"/>
        <w:spacing w:before="200" w:after="0"/>
        <w:jc w:val="both"/>
        <w:rPr>
          <w:rFonts w:ascii="Times New Roman" w:hAnsi="Times New Roman"/>
          <w:sz w:val="20"/>
        </w:rPr>
      </w:pPr>
      <w:r>
        <w:rPr>
          <w:rFonts w:ascii="Times New Roman;serif" w:hAnsi="Times New Roman;serif"/>
          <w:b w:val="false"/>
          <w:sz w:val="24"/>
        </w:rPr>
        <w:t>As of June 30, 2023, the Company leased-in one</w:t>
      </w:r>
      <w:r>
        <w:rPr>
          <w:rFonts w:ascii="Times New Roman" w:hAnsi="Times New Roman"/>
          <w:sz w:val="20"/>
        </w:rPr>
        <w:t xml:space="preserve"> </w:t>
      </w:r>
      <w:r>
        <w:rPr>
          <w:rFonts w:ascii="Times New Roman;serif" w:hAnsi="Times New Roman;serif"/>
          <w:b w:val="false"/>
          <w:sz w:val="24"/>
        </w:rPr>
        <w:t>anchor handling towing supply vessel (“AHTS”), one</w:t>
      </w:r>
      <w:r>
        <w:rPr>
          <w:rFonts w:ascii="Times New Roman" w:hAnsi="Times New Roman"/>
          <w:sz w:val="20"/>
        </w:rPr>
        <w:t xml:space="preserve"> </w:t>
      </w:r>
      <w:r>
        <w:rPr>
          <w:rFonts w:ascii="Times New Roman;serif" w:hAnsi="Times New Roman;serif"/>
          <w:b w:val="false"/>
          <w:sz w:val="24"/>
        </w:rPr>
        <w:t>FSV, and certain facilities and other equipment. The leases typically contain purchase and renewal options or rights of first refusal with respect to the sale or lease of the equipment. As of June 30, 2023, the remaining lease terms of the vessels had a duration ranging from 15 to 45</w:t>
      </w:r>
      <w:r>
        <w:rPr>
          <w:rFonts w:ascii="Times New Roman" w:hAnsi="Times New Roman"/>
          <w:sz w:val="20"/>
        </w:rPr>
        <w:t xml:space="preserve"> </w:t>
      </w:r>
      <w:r>
        <w:rPr>
          <w:rFonts w:ascii="Times New Roman;serif" w:hAnsi="Times New Roman;serif"/>
          <w:b w:val="false"/>
          <w:sz w:val="24"/>
        </w:rPr>
        <w:t>months. The lease terms of certain facilities and other equipment had a duration ranging from five</w:t>
      </w:r>
      <w:r>
        <w:rPr>
          <w:rFonts w:ascii="Times New Roman" w:hAnsi="Times New Roman"/>
          <w:sz w:val="20"/>
        </w:rPr>
        <w:t xml:space="preserve"> </w:t>
      </w:r>
      <w:r>
        <w:rPr>
          <w:rFonts w:ascii="Times New Roman;serif" w:hAnsi="Times New Roman;serif"/>
          <w:b w:val="false"/>
          <w:sz w:val="24"/>
        </w:rPr>
        <w:t>to 282</w:t>
      </w:r>
      <w:r>
        <w:rPr>
          <w:rFonts w:ascii="Times New Roman" w:hAnsi="Times New Roman"/>
          <w:sz w:val="20"/>
        </w:rPr>
        <w:t xml:space="preserve"> </w:t>
      </w:r>
      <w:r>
        <w:rPr>
          <w:rFonts w:ascii="Times New Roman;serif" w:hAnsi="Times New Roman;serif"/>
          <w:b w:val="false"/>
          <w:sz w:val="24"/>
        </w:rPr>
        <w:t>months.</w:t>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As of June 30, 2023, future minimum payments for leases for the remainder of 2023 and the years ended December 31, noted below, were as follows (in thousands):</w:t>
      </w:r>
    </w:p>
    <w:tbl>
      <w:tblPr>
        <w:tblW w:w="6580" w:type="dxa"/>
        <w:jc w:val="left"/>
        <w:tblInd w:w="0" w:type="dxa"/>
        <w:tblLayout w:type="fixed"/>
        <w:tblCellMar>
          <w:top w:w="28" w:type="dxa"/>
          <w:left w:w="28" w:type="dxa"/>
          <w:bottom w:w="28" w:type="dxa"/>
          <w:right w:w="28" w:type="dxa"/>
        </w:tblCellMar>
      </w:tblPr>
      <w:tblGrid>
        <w:gridCol w:w="3211"/>
        <w:gridCol w:w="146"/>
        <w:gridCol w:w="367"/>
        <w:gridCol w:w="1073"/>
        <w:gridCol w:w="166"/>
        <w:gridCol w:w="146"/>
        <w:gridCol w:w="349"/>
        <w:gridCol w:w="911"/>
        <w:gridCol w:w="2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Operating Leases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Finance Leases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Remainder of 2023</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7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408</w:t>
            </w:r>
          </w:p>
        </w:tc>
        <w:tc>
          <w:tcPr>
            <w:tcW w:w="21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2024</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946</w:t>
            </w:r>
          </w:p>
        </w:tc>
        <w:tc>
          <w:tcPr>
            <w:tcW w:w="21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2025</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959</w:t>
            </w:r>
          </w:p>
        </w:tc>
        <w:tc>
          <w:tcPr>
            <w:tcW w:w="21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2026</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953</w:t>
            </w:r>
          </w:p>
        </w:tc>
        <w:tc>
          <w:tcPr>
            <w:tcW w:w="21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2027</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4,659</w:t>
            </w:r>
          </w:p>
        </w:tc>
        <w:tc>
          <w:tcPr>
            <w:tcW w:w="21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Years subsequent to 2027</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7,925</w:t>
            </w:r>
          </w:p>
        </w:tc>
        <w:tc>
          <w:tcPr>
            <w:tcW w:w="21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component</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2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7,073</w:t>
            </w:r>
          </w:p>
        </w:tc>
        <w:tc>
          <w:tcPr>
            <w:tcW w:w="21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portion of long-term lease liabilities</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Long-term lease liabilities</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6,462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For the three and six months ended June 30, 2023 and 2022 the components of lease expense were as follows (in thousands):</w:t>
      </w:r>
    </w:p>
    <w:tbl>
      <w:tblPr>
        <w:tblW w:w="8356" w:type="dxa"/>
        <w:jc w:val="left"/>
        <w:tblInd w:w="0" w:type="dxa"/>
        <w:tblLayout w:type="fixed"/>
        <w:tblCellMar>
          <w:top w:w="28" w:type="dxa"/>
          <w:left w:w="28" w:type="dxa"/>
          <w:bottom w:w="28" w:type="dxa"/>
          <w:right w:w="28" w:type="dxa"/>
        </w:tblCellMar>
      </w:tblPr>
      <w:tblGrid>
        <w:gridCol w:w="2851"/>
        <w:gridCol w:w="146"/>
        <w:gridCol w:w="305"/>
        <w:gridCol w:w="585"/>
        <w:gridCol w:w="227"/>
        <w:gridCol w:w="227"/>
        <w:gridCol w:w="305"/>
        <w:gridCol w:w="795"/>
        <w:gridCol w:w="146"/>
        <w:gridCol w:w="146"/>
        <w:gridCol w:w="256"/>
        <w:gridCol w:w="669"/>
        <w:gridCol w:w="191"/>
        <w:gridCol w:w="191"/>
        <w:gridCol w:w="256"/>
        <w:gridCol w:w="669"/>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center"/>
              <w:rPr/>
            </w:pPr>
            <w:r>
              <w:rPr/>
              <w:t> </w:t>
            </w:r>
          </w:p>
        </w:tc>
        <w:tc>
          <w:tcPr>
            <w:tcW w:w="11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c>
          <w:tcPr>
            <w:tcW w:w="9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cost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564</w:t>
            </w:r>
          </w:p>
        </w:tc>
        <w:tc>
          <w:tcPr>
            <w:tcW w:w="22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1,110</w:t>
            </w:r>
          </w:p>
        </w:tc>
        <w:tc>
          <w:tcPr>
            <w:tcW w:w="19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1,697</w:t>
            </w:r>
          </w:p>
        </w:tc>
        <w:tc>
          <w:tcPr>
            <w:tcW w:w="3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Finance lease cost:</w:t>
            </w:r>
          </w:p>
        </w:tc>
        <w:tc>
          <w:tcPr>
            <w:tcW w:w="146" w:type="dxa"/>
            <w:tcBorders/>
            <w:vAlign w:val="center"/>
          </w:tcPr>
          <w:p>
            <w:pPr>
              <w:pStyle w:val="TableContents"/>
              <w:bidi w:val="0"/>
              <w:spacing w:before="0" w:after="0"/>
              <w:ind w:left="0" w:right="0" w:hanging="0"/>
              <w:jc w:val="left"/>
              <w:rPr/>
            </w:pPr>
            <w:r>
              <w:rPr/>
              <w:t> </w:t>
            </w:r>
          </w:p>
        </w:tc>
        <w:tc>
          <w:tcPr>
            <w:tcW w:w="890" w:type="dxa"/>
            <w:gridSpan w:val="2"/>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right"/>
              <w:rPr/>
            </w:pPr>
            <w:r>
              <w:rPr/>
              <w:t> </w:t>
            </w:r>
          </w:p>
        </w:tc>
        <w:tc>
          <w:tcPr>
            <w:tcW w:w="11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c>
          <w:tcPr>
            <w:tcW w:w="9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851" w:type="dxa"/>
            <w:tcBorders/>
            <w:vAlign w:val="center"/>
          </w:tcPr>
          <w:p>
            <w:pPr>
              <w:pStyle w:val="TableContents"/>
              <w:bidi w:val="0"/>
              <w:spacing w:before="0" w:after="0"/>
              <w:ind w:left="200" w:right="0" w:hanging="0"/>
              <w:jc w:val="left"/>
              <w:rPr>
                <w:rFonts w:ascii="Times New Roman" w:hAnsi="Times New Roman"/>
                <w:sz w:val="18"/>
              </w:rPr>
            </w:pPr>
            <w:r>
              <w:rPr>
                <w:rFonts w:ascii="Times New Roman;serif" w:hAnsi="Times New Roman;serif"/>
                <w:b w:val="false"/>
                <w:sz w:val="18"/>
              </w:rPr>
              <w:t xml:space="preserve">Amortization of finance lease assets </w:t>
            </w: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w:t>
            </w:r>
          </w:p>
        </w:tc>
        <w:tc>
          <w:tcPr>
            <w:tcW w:w="22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320</w:t>
            </w:r>
          </w:p>
        </w:tc>
        <w:tc>
          <w:tcPr>
            <w:tcW w:w="19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222</w:t>
            </w:r>
          </w:p>
        </w:tc>
        <w:tc>
          <w:tcPr>
            <w:tcW w:w="391" w:type="dxa"/>
            <w:tcBorders/>
            <w:vAlign w:val="center"/>
          </w:tcPr>
          <w:p>
            <w:pPr>
              <w:pStyle w:val="TableContents"/>
              <w:bidi w:val="0"/>
              <w:spacing w:before="0" w:after="0"/>
              <w:ind w:left="0" w:right="0" w:firstLine="200"/>
              <w:jc w:val="left"/>
              <w:rPr/>
            </w:pPr>
            <w:r>
              <w:rPr/>
              <w:t> </w:t>
            </w:r>
          </w:p>
        </w:tc>
      </w:tr>
      <w:tr>
        <w:trPr/>
        <w:tc>
          <w:tcPr>
            <w:tcW w:w="2851" w:type="dxa"/>
            <w:tcBorders/>
            <w:vAlign w:val="center"/>
          </w:tcPr>
          <w:p>
            <w:pPr>
              <w:pStyle w:val="TableContents"/>
              <w:bidi w:val="0"/>
              <w:spacing w:before="0" w:after="0"/>
              <w:ind w:left="200" w:right="0" w:hanging="0"/>
              <w:jc w:val="left"/>
              <w:rPr>
                <w:rFonts w:ascii="Times New Roman" w:hAnsi="Times New Roman"/>
                <w:sz w:val="18"/>
              </w:rPr>
            </w:pPr>
            <w:r>
              <w:rPr>
                <w:rFonts w:ascii="Times New Roman;serif" w:hAnsi="Times New Roman;serif"/>
                <w:b w:val="false"/>
                <w:sz w:val="18"/>
              </w:rPr>
              <w:t xml:space="preserve">Interest on finance lease liabilities </w:t>
            </w:r>
            <w:r>
              <w:rPr>
                <w:rFonts w:ascii="Times New Roman;serif" w:hAnsi="Times New Roman;serif"/>
                <w:b w:val="false"/>
                <w:sz w:val="12"/>
              </w:rPr>
              <w:t>(2)</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w:t>
            </w:r>
          </w:p>
        </w:tc>
        <w:tc>
          <w:tcPr>
            <w:tcW w:w="22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143</w:t>
            </w:r>
          </w:p>
        </w:tc>
        <w:tc>
          <w:tcPr>
            <w:tcW w:w="19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w:t>
            </w:r>
          </w:p>
        </w:tc>
        <w:tc>
          <w:tcPr>
            <w:tcW w:w="3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Short-term lease costs</w:t>
            </w:r>
          </w:p>
        </w:tc>
        <w:tc>
          <w:tcPr>
            <w:tcW w:w="146" w:type="dxa"/>
            <w:tcBorders/>
            <w:vAlign w:val="center"/>
          </w:tcPr>
          <w:p>
            <w:pPr>
              <w:pStyle w:val="TableContents"/>
              <w:bidi w:val="0"/>
              <w:spacing w:before="0" w:after="0"/>
              <w:ind w:left="0" w:right="0" w:hanging="0"/>
              <w:jc w:val="left"/>
              <w:rPr/>
            </w:pPr>
            <w:r>
              <w:rPr/>
              <w:t> </w:t>
            </w:r>
          </w:p>
        </w:tc>
        <w:tc>
          <w:tcPr>
            <w:tcW w:w="3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right"/>
              <w:rPr/>
            </w:pPr>
            <w:r>
              <w:rPr/>
              <w:t> </w:t>
            </w:r>
          </w:p>
        </w:tc>
        <w:tc>
          <w:tcPr>
            <w:tcW w:w="3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929</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right"/>
              <w:rPr/>
            </w:pPr>
            <w:r>
              <w:rPr/>
              <w:t> </w:t>
            </w:r>
          </w:p>
        </w:tc>
        <w:tc>
          <w:tcPr>
            <w:tcW w:w="3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1,881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2,391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Times New Roman" w:hAnsi="Times New Roman"/>
          <w:b w:val="false"/>
          <w:sz w:val="16"/>
        </w:rPr>
      </w:pPr>
      <w:r>
        <w:rPr>
          <w:rFonts w:ascii="Times New Roman" w:hAnsi="Times New Roman"/>
          <w:b w:val="false"/>
          <w:sz w:val="16"/>
        </w:rPr>
        <w:t>(1)</w:t>
      </w:r>
    </w:p>
    <w:p>
      <w:pPr>
        <w:pStyle w:val="TextBody"/>
        <w:bidi w:val="0"/>
        <w:spacing w:before="40" w:after="0"/>
        <w:jc w:val="both"/>
        <w:rPr>
          <w:rFonts w:ascii="Times New Roman;serif" w:hAnsi="Times New Roman;serif"/>
          <w:sz w:val="24"/>
        </w:rPr>
      </w:pPr>
      <w:r>
        <w:rPr>
          <w:rFonts w:ascii="Times New Roman;serif" w:hAnsi="Times New Roman;serif"/>
          <w:b w:val="false"/>
          <w:sz w:val="16"/>
        </w:rPr>
        <w:t>Included in amortization costs in the consolidated statements of income (loss).</w:t>
      </w:r>
      <w:r>
        <w:rPr>
          <w:rFonts w:ascii="Times New Roman;serif" w:hAnsi="Times New Roman;serif"/>
          <w:sz w:val="24"/>
        </w:rPr>
        <w:t xml:space="preserve"> </w:t>
      </w:r>
    </w:p>
    <w:p>
      <w:pPr>
        <w:pStyle w:val="TextBody"/>
        <w:bidi w:val="0"/>
        <w:spacing w:before="0" w:after="0"/>
        <w:jc w:val="both"/>
        <w:rPr>
          <w:rFonts w:ascii="Times New Roman" w:hAnsi="Times New Roman"/>
          <w:b w:val="false"/>
          <w:sz w:val="16"/>
        </w:rPr>
      </w:pPr>
      <w:r>
        <w:rPr>
          <w:rFonts w:ascii="Times New Roman" w:hAnsi="Times New Roman"/>
          <w:b w:val="false"/>
          <w:sz w:val="16"/>
        </w:rPr>
        <w:t>(2)</w:t>
      </w:r>
    </w:p>
    <w:p>
      <w:pPr>
        <w:pStyle w:val="TextBody"/>
        <w:bidi w:val="0"/>
        <w:jc w:val="both"/>
        <w:rPr>
          <w:rFonts w:ascii="Times New Roman;serif" w:hAnsi="Times New Roman;serif"/>
          <w:sz w:val="24"/>
        </w:rPr>
      </w:pPr>
      <w:r>
        <w:rPr>
          <w:rFonts w:ascii="Times New Roman;serif" w:hAnsi="Times New Roman;serif"/>
          <w:b w:val="false"/>
          <w:sz w:val="16"/>
        </w:rPr>
        <w:t>Included in interest expense in the consolidated statements of income (loss)</w:t>
      </w:r>
      <w:r>
        <w:rPr>
          <w:rFonts w:ascii="Times New Roman;serif" w:hAnsi="Times New Roman;serif"/>
          <w:b w:val="false"/>
          <w:sz w:val="20"/>
        </w:rPr>
        <w:t>.</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w:t>
      </w:r>
    </w:p>
    <w:p>
      <w:pPr>
        <w:pStyle w:val="HorizontalLine"/>
        <w:pBdr>
          <w:bottom w:val="double" w:sz="2" w:space="0" w:color="808080"/>
        </w:pBdr>
        <w:bidi w:val="0"/>
        <w:spacing w:before="0" w:after="283"/>
        <w:jc w:val="left"/>
        <w:rPr/>
      </w:pPr>
      <w:r>
        <w:rPr/>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For the six months ended June 30, 2023 supplemental cash flow information related to leases was as follows (in thousands):</w:t>
      </w:r>
    </w:p>
    <w:tbl>
      <w:tblPr>
        <w:tblW w:w="5200" w:type="dxa"/>
        <w:jc w:val="left"/>
        <w:tblInd w:w="0" w:type="dxa"/>
        <w:tblLayout w:type="fixed"/>
        <w:tblCellMar>
          <w:top w:w="28" w:type="dxa"/>
          <w:left w:w="28" w:type="dxa"/>
          <w:bottom w:w="28" w:type="dxa"/>
          <w:right w:w="28" w:type="dxa"/>
        </w:tblCellMar>
      </w:tblPr>
      <w:tblGrid>
        <w:gridCol w:w="4156"/>
        <w:gridCol w:w="146"/>
        <w:gridCol w:w="196"/>
        <w:gridCol w:w="511"/>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cash outflows from operating leases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1,311</w:t>
            </w:r>
          </w:p>
        </w:tc>
        <w:tc>
          <w:tcPr>
            <w:tcW w:w="191" w:type="dxa"/>
            <w:tcBorders/>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Financing cash outflows from finance leases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318</w:t>
            </w:r>
          </w:p>
        </w:tc>
        <w:tc>
          <w:tcPr>
            <w:tcW w:w="191" w:type="dxa"/>
            <w:tcBorders/>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Right-of-use assets obtained for operating lease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348</w:t>
            </w:r>
          </w:p>
        </w:tc>
        <w:tc>
          <w:tcPr>
            <w:tcW w:w="191" w:type="dxa"/>
            <w:tcBorders/>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Right-of-use assets obtained for finance lease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For the six months ended June 30, 2023 other information related to leases was as follows:</w:t>
      </w:r>
    </w:p>
    <w:tbl>
      <w:tblPr>
        <w:tblW w:w="5725" w:type="dxa"/>
        <w:jc w:val="left"/>
        <w:tblInd w:w="0" w:type="dxa"/>
        <w:tblLayout w:type="fixed"/>
        <w:tblCellMar>
          <w:top w:w="28" w:type="dxa"/>
          <w:left w:w="28" w:type="dxa"/>
          <w:bottom w:w="28" w:type="dxa"/>
          <w:right w:w="28" w:type="dxa"/>
        </w:tblCellMar>
      </w:tblPr>
      <w:tblGrid>
        <w:gridCol w:w="4801"/>
        <w:gridCol w:w="146"/>
        <w:gridCol w:w="146"/>
        <w:gridCol w:w="331"/>
        <w:gridCol w:w="30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8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Weighted average remaining lease term, in years - operating leases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w:t>
            </w:r>
          </w:p>
        </w:tc>
        <w:tc>
          <w:tcPr>
            <w:tcW w:w="301" w:type="dxa"/>
            <w:tcBorders/>
            <w:vAlign w:val="center"/>
          </w:tcPr>
          <w:p>
            <w:pPr>
              <w:pStyle w:val="TableContents"/>
              <w:bidi w:val="0"/>
              <w:spacing w:before="0" w:after="0"/>
              <w:ind w:left="0" w:right="0" w:hanging="0"/>
              <w:jc w:val="left"/>
              <w:rPr/>
            </w:pPr>
            <w:r>
              <w:rPr/>
              <w:t> </w:t>
            </w:r>
          </w:p>
        </w:tc>
      </w:tr>
      <w:tr>
        <w:trPr/>
        <w:tc>
          <w:tcPr>
            <w:tcW w:w="48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Weighted average remaining lease term, in years - finance leases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301" w:type="dxa"/>
            <w:tcBorders/>
            <w:vAlign w:val="center"/>
          </w:tcPr>
          <w:p>
            <w:pPr>
              <w:pStyle w:val="TableContents"/>
              <w:bidi w:val="0"/>
              <w:spacing w:before="0" w:after="0"/>
              <w:ind w:left="0" w:right="0" w:hanging="0"/>
              <w:jc w:val="left"/>
              <w:rPr/>
            </w:pPr>
            <w:r>
              <w:rPr/>
              <w:t> </w:t>
            </w:r>
          </w:p>
        </w:tc>
      </w:tr>
      <w:tr>
        <w:trPr/>
        <w:tc>
          <w:tcPr>
            <w:tcW w:w="48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Weighted average discount rate - operating leases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8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Weighted average discount rate - finance leases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both"/>
        <w:rPr/>
      </w:pPr>
      <w:r>
        <w:rPr/>
        <w:t> </w:t>
      </w:r>
    </w:p>
    <w:p>
      <w:pPr>
        <w:pStyle w:val="TextBody"/>
        <w:bidi w:val="0"/>
        <w:spacing w:before="100" w:after="0"/>
        <w:jc w:val="both"/>
        <w:rPr>
          <w:rFonts w:ascii="Times New Roman" w:hAnsi="Times New Roman"/>
          <w:b/>
          <w:sz w:val="24"/>
        </w:rPr>
      </w:pPr>
      <w:r>
        <w:rPr>
          <w:rFonts w:ascii="Times New Roman" w:hAnsi="Times New Roman"/>
          <w:b/>
          <w:sz w:val="24"/>
        </w:rPr>
        <w:t>7.</w:t>
      </w:r>
    </w:p>
    <w:p>
      <w:pPr>
        <w:pStyle w:val="TextBody"/>
        <w:bidi w:val="0"/>
        <w:spacing w:before="100" w:after="283"/>
        <w:jc w:val="both"/>
        <w:rPr>
          <w:rFonts w:ascii="Times New Roman;serif" w:hAnsi="Times New Roman;serif"/>
          <w:b/>
          <w:sz w:val="24"/>
        </w:rPr>
      </w:pPr>
      <w:r>
        <w:rPr>
          <w:rFonts w:ascii="Times New Roman;serif" w:hAnsi="Times New Roman;serif"/>
          <w:b/>
          <w:sz w:val="24"/>
        </w:rPr>
        <w:t>INCOME TAXES</w:t>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The following table reconciles the difference between the statutory federal income tax rate for the Company and the effective income tax rate for the six months ended June 30, 2023:</w:t>
      </w:r>
    </w:p>
    <w:tbl>
      <w:tblPr>
        <w:tblW w:w="4360" w:type="dxa"/>
        <w:jc w:val="left"/>
        <w:tblInd w:w="0" w:type="dxa"/>
        <w:tblLayout w:type="fixed"/>
        <w:tblCellMar>
          <w:top w:w="28" w:type="dxa"/>
          <w:left w:w="28" w:type="dxa"/>
          <w:bottom w:w="28" w:type="dxa"/>
          <w:right w:w="28" w:type="dxa"/>
        </w:tblCellMar>
      </w:tblPr>
      <w:tblGrid>
        <w:gridCol w:w="3136"/>
        <w:gridCol w:w="146"/>
        <w:gridCol w:w="146"/>
        <w:gridCol w:w="571"/>
        <w:gridCol w:w="36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Statutory rate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(21.00</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Foreign taxes, including withholding taxes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19.17</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2.23</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Effective income tax rate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0.40</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both"/>
        <w:rPr/>
      </w:pPr>
      <w:r>
        <w:rPr/>
        <w:t> </w:t>
      </w:r>
    </w:p>
    <w:p>
      <w:pPr>
        <w:pStyle w:val="TextBody"/>
        <w:bidi w:val="0"/>
        <w:spacing w:before="100" w:after="0"/>
        <w:jc w:val="both"/>
        <w:rPr>
          <w:rFonts w:ascii="Times New Roman" w:hAnsi="Times New Roman"/>
          <w:b/>
          <w:sz w:val="24"/>
        </w:rPr>
      </w:pPr>
      <w:r>
        <w:rPr>
          <w:rFonts w:ascii="Times New Roman" w:hAnsi="Times New Roman"/>
          <w:b/>
          <w:sz w:val="24"/>
        </w:rPr>
        <w:t>8.</w:t>
      </w:r>
    </w:p>
    <w:p>
      <w:pPr>
        <w:pStyle w:val="TextBody"/>
        <w:bidi w:val="0"/>
        <w:spacing w:before="100" w:after="283"/>
        <w:jc w:val="both"/>
        <w:rPr>
          <w:rFonts w:ascii="Times New Roman;serif" w:hAnsi="Times New Roman;serif"/>
          <w:b/>
          <w:sz w:val="24"/>
        </w:rPr>
      </w:pPr>
      <w:r>
        <w:rPr>
          <w:rFonts w:ascii="Times New Roman;serif" w:hAnsi="Times New Roman;serif"/>
          <w:b/>
          <w:sz w:val="24"/>
        </w:rPr>
        <w:t>DERIVATIVE INSTRUMENTS AND HEDGING STRATEGIES</w:t>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Derivative instruments are classified as either assets, which are included in other receivables in the accompanying consolidated balance sheets, or liabilities based on their individual fair values. The fair values of the Company’s derivative instruments were as follows (in thousands):</w:t>
      </w:r>
    </w:p>
    <w:tbl>
      <w:tblPr>
        <w:tblW w:w="8520" w:type="dxa"/>
        <w:jc w:val="left"/>
        <w:tblInd w:w="0" w:type="dxa"/>
        <w:tblLayout w:type="fixed"/>
        <w:tblCellMar>
          <w:top w:w="28" w:type="dxa"/>
          <w:left w:w="28" w:type="dxa"/>
          <w:bottom w:w="28" w:type="dxa"/>
          <w:right w:w="28" w:type="dxa"/>
        </w:tblCellMar>
      </w:tblPr>
      <w:tblGrid>
        <w:gridCol w:w="3751"/>
        <w:gridCol w:w="146"/>
        <w:gridCol w:w="303"/>
        <w:gridCol w:w="583"/>
        <w:gridCol w:w="146"/>
        <w:gridCol w:w="146"/>
        <w:gridCol w:w="320"/>
        <w:gridCol w:w="566"/>
        <w:gridCol w:w="146"/>
        <w:gridCol w:w="146"/>
        <w:gridCol w:w="295"/>
        <w:gridCol w:w="591"/>
        <w:gridCol w:w="152"/>
        <w:gridCol w:w="152"/>
        <w:gridCol w:w="335"/>
        <w:gridCol w:w="551"/>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4" w:type="dxa"/>
            <w:gridSpan w:val="6"/>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076" w:type="dxa"/>
            <w:gridSpan w:val="6"/>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1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Derivative</w:t>
              <w:br/>
              <w:t>Asset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Derivative</w:t>
              <w:br/>
              <w:t>Liability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Derivative</w:t>
              <w:br/>
              <w:t>Asset</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Derivative</w:t>
              <w:br/>
              <w:t>Liability</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Derivatives designated as hedging instruments:</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rate swap agreements (cash flow hedges)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152"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i/>
          <w:sz w:val="24"/>
        </w:rPr>
        <w:t>Economic Hedges.</w:t>
      </w:r>
      <w:r>
        <w:rPr>
          <w:rFonts w:ascii="Times New Roman" w:hAnsi="Times New Roman"/>
          <w:sz w:val="20"/>
        </w:rPr>
        <w:t xml:space="preserve"> </w:t>
      </w:r>
      <w:r>
        <w:rPr>
          <w:rFonts w:ascii="Times New Roman;serif" w:hAnsi="Times New Roman;serif"/>
          <w:b w:val="false"/>
          <w:sz w:val="24"/>
        </w:rPr>
        <w:t>The Company enters and settles forward currency exchange, option and future contracts with respect to various foreign currencies. These contracts enable the Company to buy currencies in the future at fixed exchange rates, which could offset possible consequences of changes in currency exchange rates with respect to the Company’s business conducted outside of the U.S. The Company generally does not enter into contracts with forward settlement dates beyond 12 to 18 months. As of June 30, 2023, the Company had no open forward currency exchange contracts.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14</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 w:hAnsi="Times New Roman"/>
          <w:sz w:val="20"/>
        </w:rPr>
      </w:pPr>
      <w:r>
        <w:rPr>
          <w:rFonts w:ascii="Times New Roman;serif" w:hAnsi="Times New Roman;serif"/>
          <w:b/>
          <w:i/>
          <w:sz w:val="24"/>
        </w:rPr>
        <w:t>Cash Flow Hedges.</w:t>
      </w:r>
      <w:r>
        <w:rPr>
          <w:rFonts w:ascii="Times New Roman" w:hAnsi="Times New Roman"/>
          <w:sz w:val="20"/>
        </w:rPr>
        <w:t xml:space="preserve"> </w:t>
      </w:r>
      <w:r>
        <w:rPr>
          <w:rFonts w:ascii="Times New Roman;serif" w:hAnsi="Times New Roman;serif"/>
          <w:b w:val="false"/>
          <w:sz w:val="24"/>
        </w:rPr>
        <w:t>The Company has interest rate swap agreements designated as cash flow hedges. By entering into these interest rate swap agreements, the Company has converted the variable LIBOR component of certain of their outstanding borrowings to a fixed interest rate. The Company recognized losses on derivative instruments designated as cash flow hedges of $0.3</w:t>
      </w:r>
      <w:r>
        <w:rPr>
          <w:rFonts w:ascii="Times New Roman" w:hAnsi="Times New Roman"/>
          <w:sz w:val="20"/>
        </w:rPr>
        <w:t xml:space="preserve"> </w:t>
      </w:r>
      <w:r>
        <w:rPr>
          <w:rFonts w:ascii="Times New Roman;serif" w:hAnsi="Times New Roman;serif"/>
          <w:b w:val="false"/>
          <w:sz w:val="24"/>
        </w:rPr>
        <w:t>million for the six months ended June 30, 2023</w:t>
      </w:r>
      <w:r>
        <w:rPr>
          <w:rFonts w:ascii="Times New Roman" w:hAnsi="Times New Roman"/>
          <w:sz w:val="20"/>
        </w:rPr>
        <w:t xml:space="preserve"> </w:t>
      </w:r>
      <w:r>
        <w:rPr>
          <w:rFonts w:ascii="Times New Roman;serif" w:hAnsi="Times New Roman;serif"/>
          <w:b w:val="false"/>
          <w:sz w:val="24"/>
        </w:rPr>
        <w:t>and gains of $1.8</w:t>
      </w:r>
      <w:r>
        <w:rPr>
          <w:rFonts w:ascii="Times New Roman" w:hAnsi="Times New Roman"/>
          <w:sz w:val="20"/>
        </w:rPr>
        <w:t xml:space="preserve"> </w:t>
      </w:r>
      <w:r>
        <w:rPr>
          <w:rFonts w:ascii="Times New Roman;serif" w:hAnsi="Times New Roman;serif"/>
          <w:b w:val="false"/>
          <w:sz w:val="24"/>
        </w:rPr>
        <w:t>million for the six months ended June 30, 2022, respectively, as a component of other comprehensive income (loss). As of June 30, 2023, the interest rate swaps held by the Company were as follows:</w:t>
      </w:r>
    </w:p>
    <w:p>
      <w:pPr>
        <w:pStyle w:val="TextBody"/>
        <w:bidi w:val="0"/>
        <w:spacing w:before="120" w:after="0"/>
        <w:jc w:val="both"/>
        <w:rPr/>
      </w:pPr>
      <w:r>
        <w:rPr/>
        <w:t>•</w:t>
      </w:r>
    </w:p>
    <w:p>
      <w:pPr>
        <w:pStyle w:val="TextBody"/>
        <w:bidi w:val="0"/>
        <w:spacing w:before="120" w:after="0"/>
        <w:jc w:val="both"/>
        <w:rPr/>
      </w:pPr>
      <w:r>
        <w:rPr>
          <w:rFonts w:ascii="Times New Roman;serif" w:hAnsi="Times New Roman;serif"/>
          <w:b w:val="false"/>
          <w:sz w:val="24"/>
        </w:rPr>
        <w:t>SMFH has an interest rate swap agreement maturing in 2023 that calls for SMFH to pay a fixed rate of interest of 3.32% per annum on the amortized notional value of $5.4</w:t>
      </w:r>
      <w:r>
        <w:rPr/>
        <w:t xml:space="preserve"> </w:t>
      </w:r>
      <w:r>
        <w:rPr>
          <w:rFonts w:ascii="Times New Roman;serif" w:hAnsi="Times New Roman;serif"/>
          <w:b w:val="false"/>
          <w:sz w:val="24"/>
        </w:rPr>
        <w:t>million and receive a variable interest rate based on LIBOR on the amortized notional value; and</w:t>
      </w:r>
    </w:p>
    <w:p>
      <w:pPr>
        <w:pStyle w:val="TextBody"/>
        <w:bidi w:val="0"/>
        <w:spacing w:before="120" w:after="0"/>
        <w:jc w:val="both"/>
        <w:rPr/>
      </w:pPr>
      <w:r>
        <w:rPr/>
        <w:t>•</w:t>
      </w:r>
    </w:p>
    <w:p>
      <w:pPr>
        <w:pStyle w:val="TextBody"/>
        <w:bidi w:val="0"/>
        <w:spacing w:before="120" w:after="283"/>
        <w:jc w:val="both"/>
        <w:rPr/>
      </w:pPr>
      <w:r>
        <w:rPr>
          <w:rFonts w:ascii="Times New Roman;serif" w:hAnsi="Times New Roman;serif"/>
          <w:b w:val="false"/>
          <w:sz w:val="24"/>
        </w:rPr>
        <w:t>SMFH has an interest rate swap agreement maturing in 2023 that calls for SMFH to pay a fixed rate of interest of 3.195% per annum on the amortized notional value of $29.1</w:t>
      </w:r>
      <w:r>
        <w:rPr/>
        <w:t xml:space="preserve"> </w:t>
      </w:r>
      <w:r>
        <w:rPr>
          <w:rFonts w:ascii="Times New Roman;serif" w:hAnsi="Times New Roman;serif"/>
          <w:b w:val="false"/>
          <w:sz w:val="24"/>
        </w:rPr>
        <w:t>million and receive a variable interest rate based on LIBOR on the amortized notional value.</w:t>
      </w:r>
    </w:p>
    <w:p>
      <w:pPr>
        <w:pStyle w:val="TextBody"/>
        <w:bidi w:val="0"/>
        <w:spacing w:before="200" w:after="200"/>
        <w:jc w:val="both"/>
        <w:rPr>
          <w:rFonts w:ascii="Times New Roman" w:hAnsi="Times New Roman"/>
          <w:sz w:val="20"/>
        </w:rPr>
      </w:pPr>
      <w:r>
        <w:rPr>
          <w:rFonts w:ascii="Times New Roman;serif" w:hAnsi="Times New Roman;serif"/>
          <w:b/>
          <w:i/>
          <w:sz w:val="24"/>
        </w:rPr>
        <w:t>Other Derivative Instruments.</w:t>
      </w:r>
      <w:r>
        <w:rPr>
          <w:rFonts w:ascii="Times New Roman" w:hAnsi="Times New Roman"/>
          <w:sz w:val="20"/>
        </w:rPr>
        <w:t xml:space="preserve"> </w:t>
      </w:r>
      <w:r>
        <w:rPr>
          <w:rFonts w:ascii="Times New Roman;serif" w:hAnsi="Times New Roman;serif"/>
          <w:b w:val="false"/>
          <w:sz w:val="24"/>
        </w:rPr>
        <w:t>The Company had no derivative instruments not designated as hedging instruments for the three and six months ended June 30, 2023 and recognized gains (losses) on derivative instruments not designated as hedging instruments for the three and six months ended June 30, 2022 as follows (in thousands):</w:t>
      </w:r>
    </w:p>
    <w:tbl>
      <w:tblPr>
        <w:tblW w:w="9211" w:type="dxa"/>
        <w:jc w:val="left"/>
        <w:tblInd w:w="0" w:type="dxa"/>
        <w:tblLayout w:type="fixed"/>
        <w:tblCellMar>
          <w:top w:w="28" w:type="dxa"/>
          <w:left w:w="28" w:type="dxa"/>
          <w:bottom w:w="28" w:type="dxa"/>
          <w:right w:w="28" w:type="dxa"/>
        </w:tblCellMar>
      </w:tblPr>
      <w:tblGrid>
        <w:gridCol w:w="3886"/>
        <w:gridCol w:w="146"/>
        <w:gridCol w:w="364"/>
        <w:gridCol w:w="643"/>
        <w:gridCol w:w="271"/>
        <w:gridCol w:w="271"/>
        <w:gridCol w:w="364"/>
        <w:gridCol w:w="531"/>
        <w:gridCol w:w="146"/>
        <w:gridCol w:w="146"/>
        <w:gridCol w:w="340"/>
        <w:gridCol w:w="601"/>
        <w:gridCol w:w="253"/>
        <w:gridCol w:w="253"/>
        <w:gridCol w:w="340"/>
        <w:gridCol w:w="445"/>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8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3" w:type="dxa"/>
            <w:tcBorders/>
            <w:vAlign w:val="center"/>
          </w:tcPr>
          <w:p>
            <w:pPr>
              <w:pStyle w:val="TableContents"/>
              <w:bidi w:val="0"/>
              <w:spacing w:before="0" w:after="0"/>
              <w:ind w:left="0" w:right="0" w:hanging="0"/>
              <w:jc w:val="center"/>
              <w:rPr/>
            </w:pPr>
            <w:r>
              <w:rPr/>
              <w:t> </w:t>
            </w:r>
          </w:p>
        </w:tc>
        <w:tc>
          <w:tcPr>
            <w:tcW w:w="7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Conversion option liability on Old Convertible Notes</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3"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The conversion option liability related to the bifurcated embedded conversion option in the Old Convertible Notes, issued to investment funds managed and controlled by The Carlyle Group, were exchanged for the New Convertible Notes during the fourth quarter of 2022.</w:t>
      </w:r>
    </w:p>
    <w:p>
      <w:pPr>
        <w:pStyle w:val="TextBody"/>
        <w:bidi w:val="0"/>
        <w:spacing w:before="200" w:after="0"/>
        <w:jc w:val="both"/>
        <w:rPr>
          <w:rFonts w:ascii="Times New Roman" w:hAnsi="Times New Roman"/>
          <w:b/>
          <w:sz w:val="24"/>
        </w:rPr>
      </w:pPr>
      <w:r>
        <w:rPr>
          <w:rFonts w:ascii="Times New Roman" w:hAnsi="Times New Roman"/>
          <w:b/>
          <w:sz w:val="24"/>
        </w:rPr>
        <w:t>9.</w:t>
      </w:r>
    </w:p>
    <w:p>
      <w:pPr>
        <w:pStyle w:val="TextBody"/>
        <w:bidi w:val="0"/>
        <w:spacing w:before="200" w:after="283"/>
        <w:jc w:val="both"/>
        <w:rPr>
          <w:rFonts w:ascii="Times New Roman;serif" w:hAnsi="Times New Roman;serif"/>
          <w:b/>
          <w:sz w:val="24"/>
        </w:rPr>
      </w:pPr>
      <w:r>
        <w:rPr>
          <w:rFonts w:ascii="Times New Roman;serif" w:hAnsi="Times New Roman;serif"/>
          <w:b/>
          <w:sz w:val="24"/>
        </w:rPr>
        <w:t>FAIR VALUE MEASUREMENTS</w:t>
      </w:r>
    </w:p>
    <w:p>
      <w:pPr>
        <w:pStyle w:val="TextBody"/>
        <w:bidi w:val="0"/>
        <w:spacing w:before="200" w:after="0"/>
        <w:jc w:val="both"/>
        <w:rPr>
          <w:rFonts w:ascii="Times New Roman" w:hAnsi="Times New Roman"/>
          <w:sz w:val="20"/>
        </w:rPr>
      </w:pPr>
      <w:r>
        <w:rPr>
          <w:rFonts w:ascii="Times New Roman;serif" w:hAnsi="Times New Roman;serif"/>
          <w:b w:val="false"/>
          <w:sz w:val="24"/>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Times New Roman;serif" w:hAnsi="Times New Roman;serif"/>
          <w:b w:val="false"/>
          <w:i/>
          <w:sz w:val="24"/>
        </w:rPr>
        <w:t xml:space="preserve">Level </w:t>
      </w:r>
      <w:r>
        <w:rPr>
          <w:rFonts w:ascii="Times New Roman;serif" w:hAnsi="Times New Roman;serif"/>
          <w:b w:val="false"/>
          <w:sz w:val="24"/>
        </w:rPr>
        <w:t xml:space="preserve">1 inputs are quoted prices in active markets for identical assets or liabilities. </w:t>
      </w:r>
      <w:r>
        <w:rPr>
          <w:rFonts w:ascii="Times New Roman;serif" w:hAnsi="Times New Roman;serif"/>
          <w:b w:val="false"/>
          <w:i/>
          <w:sz w:val="24"/>
        </w:rPr>
        <w:t xml:space="preserve">Level </w:t>
      </w:r>
      <w:r>
        <w:rPr>
          <w:rFonts w:ascii="Times New Roman;serif" w:hAnsi="Times New Roman;serif"/>
          <w:b w:val="false"/>
          <w:sz w:val="24"/>
        </w:rPr>
        <w:t xml:space="preserve">2 inputs are observable inputs other than quoted prices included in </w:t>
      </w:r>
      <w:r>
        <w:rPr>
          <w:rFonts w:ascii="Times New Roman;serif" w:hAnsi="Times New Roman;serif"/>
          <w:b w:val="false"/>
          <w:i/>
          <w:sz w:val="24"/>
        </w:rPr>
        <w:t xml:space="preserve">Level </w:t>
      </w:r>
      <w:r>
        <w:rPr>
          <w:rFonts w:ascii="Times New Roman;serif" w:hAnsi="Times New Roman;serif"/>
          <w:b w:val="false"/>
          <w:sz w:val="24"/>
        </w:rPr>
        <w:t xml:space="preserve">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Times New Roman;serif" w:hAnsi="Times New Roman;serif"/>
          <w:b w:val="false"/>
          <w:i/>
          <w:sz w:val="24"/>
        </w:rPr>
        <w:t xml:space="preserve">Level </w:t>
      </w:r>
      <w:r>
        <w:rPr>
          <w:rFonts w:ascii="Times New Roman;serif" w:hAnsi="Times New Roman;serif"/>
          <w:b w:val="false"/>
          <w:sz w:val="24"/>
        </w:rPr>
        <w:t>3 inputs are unobservable inputs that are supported by little or no market activity and are significant to the fair value of the assets or liabilities.</w:t>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The Company’s financial assets and liabilities as of June 30, 2023 and December 31, 2022 that are measured at fair value on a recurring basis were as follows (in thousands):</w:t>
      </w:r>
    </w:p>
    <w:tbl>
      <w:tblPr>
        <w:tblW w:w="4582" w:type="dxa"/>
        <w:jc w:val="left"/>
        <w:tblInd w:w="0" w:type="dxa"/>
        <w:tblLayout w:type="fixed"/>
        <w:tblCellMar>
          <w:top w:w="28" w:type="dxa"/>
          <w:left w:w="28" w:type="dxa"/>
          <w:bottom w:w="28" w:type="dxa"/>
          <w:right w:w="28" w:type="dxa"/>
        </w:tblCellMar>
      </w:tblPr>
      <w:tblGrid>
        <w:gridCol w:w="1726"/>
        <w:gridCol w:w="146"/>
        <w:gridCol w:w="244"/>
        <w:gridCol w:w="401"/>
        <w:gridCol w:w="146"/>
        <w:gridCol w:w="146"/>
        <w:gridCol w:w="215"/>
        <w:gridCol w:w="430"/>
        <w:gridCol w:w="146"/>
        <w:gridCol w:w="146"/>
        <w:gridCol w:w="244"/>
        <w:gridCol w:w="401"/>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June 30, 2023</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2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17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Derivative instruments</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72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December 31, 2022</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172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17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Derivative instruments</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15</w:t>
      </w:r>
    </w:p>
    <w:p>
      <w:pPr>
        <w:pStyle w:val="HorizontalLine"/>
        <w:pBdr>
          <w:bottom w:val="double" w:sz="2" w:space="0" w:color="808080"/>
        </w:pBdr>
        <w:bidi w:val="0"/>
        <w:spacing w:before="0" w:after="283"/>
        <w:jc w:val="left"/>
        <w:rPr/>
      </w:pPr>
      <w:r>
        <w:rPr/>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The estimated fair values of the Company’s other financial assets and liabilities as of June 30, 2023 and December 31, 2022 were as follows (in thousands):</w:t>
      </w:r>
    </w:p>
    <w:tbl>
      <w:tblPr>
        <w:tblW w:w="7505" w:type="dxa"/>
        <w:jc w:val="left"/>
        <w:tblInd w:w="0" w:type="dxa"/>
        <w:tblLayout w:type="fixed"/>
        <w:tblCellMar>
          <w:top w:w="28" w:type="dxa"/>
          <w:left w:w="28" w:type="dxa"/>
          <w:bottom w:w="28" w:type="dxa"/>
          <w:right w:w="28" w:type="dxa"/>
        </w:tblCellMar>
      </w:tblPr>
      <w:tblGrid>
        <w:gridCol w:w="3076"/>
        <w:gridCol w:w="146"/>
        <w:gridCol w:w="196"/>
        <w:gridCol w:w="691"/>
        <w:gridCol w:w="146"/>
        <w:gridCol w:w="146"/>
        <w:gridCol w:w="196"/>
        <w:gridCol w:w="601"/>
        <w:gridCol w:w="146"/>
        <w:gridCol w:w="146"/>
        <w:gridCol w:w="196"/>
        <w:gridCol w:w="691"/>
        <w:gridCol w:w="146"/>
        <w:gridCol w:w="146"/>
        <w:gridCol w:w="233"/>
        <w:gridCol w:w="412"/>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3"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Estimated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June 30, 2023</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43,546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43,546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LIABILITIES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Long-term debt, including current portion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307,919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301,927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December 31, 2022</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LIABILITIES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Long-term debt, including current portion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321,631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314,979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Considerable judgment was required in developing certain of the estimates of fair value, and, accordingly, the estimates presented herein are not necessarily indicative of the amounts that the Company could realize in a current market exchange.</w:t>
      </w:r>
    </w:p>
    <w:p>
      <w:pPr>
        <w:pStyle w:val="TextBody"/>
        <w:bidi w:val="0"/>
        <w:spacing w:before="200" w:after="0"/>
        <w:jc w:val="both"/>
        <w:rPr>
          <w:rFonts w:ascii="Times New Roman" w:hAnsi="Times New Roman"/>
          <w:sz w:val="20"/>
        </w:rPr>
      </w:pPr>
      <w:r>
        <w:rPr>
          <w:rFonts w:ascii="Times New Roman;serif" w:hAnsi="Times New Roman;serif"/>
          <w:b/>
          <w:i/>
          <w:sz w:val="24"/>
        </w:rPr>
        <w:t>Property and equipment</w:t>
      </w:r>
      <w:r>
        <w:rPr>
          <w:rFonts w:ascii="Times New Roman;serif" w:hAnsi="Times New Roman;serif"/>
          <w:b w:val="false"/>
          <w:sz w:val="24"/>
        </w:rPr>
        <w:t>. During the six months ended June 30, 2023, the Company recognized no</w:t>
      </w:r>
      <w:r>
        <w:rPr>
          <w:rFonts w:ascii="Times New Roman" w:hAnsi="Times New Roman"/>
          <w:sz w:val="20"/>
        </w:rPr>
        <w:t xml:space="preserve"> </w:t>
      </w:r>
      <w:r>
        <w:rPr>
          <w:rFonts w:ascii="Times New Roman;serif" w:hAnsi="Times New Roman;serif"/>
          <w:b w:val="false"/>
          <w:sz w:val="24"/>
        </w:rPr>
        <w:t>impairment charges. During the year ended December 31, 2022, the Company recognized impairment charges totaling $2.9</w:t>
      </w:r>
      <w:r>
        <w:rPr>
          <w:rFonts w:ascii="Times New Roman" w:hAnsi="Times New Roman"/>
          <w:sz w:val="20"/>
        </w:rPr>
        <w:t xml:space="preserve"> </w:t>
      </w:r>
      <w:r>
        <w:rPr>
          <w:rFonts w:ascii="Times New Roman;serif" w:hAnsi="Times New Roman;serif"/>
          <w:b w:val="false"/>
          <w:sz w:val="24"/>
        </w:rPr>
        <w:t>million. The Company recorded impairment charges of $0.9</w:t>
      </w:r>
      <w:r>
        <w:rPr>
          <w:rFonts w:ascii="Times New Roman" w:hAnsi="Times New Roman"/>
          <w:sz w:val="20"/>
        </w:rPr>
        <w:t xml:space="preserve"> </w:t>
      </w:r>
      <w:r>
        <w:rPr>
          <w:rFonts w:ascii="Times New Roman;serif" w:hAnsi="Times New Roman;serif"/>
          <w:b w:val="false"/>
          <w:sz w:val="24"/>
        </w:rPr>
        <w:t>million for one FSV classified as held for sale and sold during 2022. In addition, the Company recorded impairment charges of $0.7</w:t>
      </w:r>
      <w:r>
        <w:rPr>
          <w:rFonts w:ascii="Times New Roman" w:hAnsi="Times New Roman"/>
          <w:sz w:val="20"/>
        </w:rPr>
        <w:t xml:space="preserve"> </w:t>
      </w:r>
      <w:r>
        <w:rPr>
          <w:rFonts w:ascii="Times New Roman;serif" w:hAnsi="Times New Roman;serif"/>
          <w:b w:val="false"/>
          <w:sz w:val="24"/>
        </w:rPr>
        <w:t>million for one leased-in AHTS as it is not expected to return to active service during its remaining lease term. Additionally, the Company recorded impairment charges of $1.3</w:t>
      </w:r>
      <w:r>
        <w:rPr>
          <w:rFonts w:ascii="Times New Roman" w:hAnsi="Times New Roman"/>
          <w:sz w:val="20"/>
        </w:rPr>
        <w:t xml:space="preserve"> </w:t>
      </w:r>
      <w:r>
        <w:rPr>
          <w:rFonts w:ascii="Times New Roman;serif" w:hAnsi="Times New Roman;serif"/>
          <w:b w:val="false"/>
          <w:sz w:val="24"/>
        </w:rPr>
        <w:t>million for other equipment and classified such equipment as assets held for sale, which was subsequently sold in the first quarter of 2023.</w:t>
      </w:r>
    </w:p>
    <w:p>
      <w:pPr>
        <w:pStyle w:val="TextBody"/>
        <w:bidi w:val="0"/>
        <w:spacing w:before="200" w:after="0"/>
        <w:jc w:val="both"/>
        <w:rPr>
          <w:rFonts w:ascii="Times New Roman" w:hAnsi="Times New Roman"/>
          <w:b/>
          <w:sz w:val="24"/>
        </w:rPr>
      </w:pPr>
      <w:r>
        <w:rPr>
          <w:rFonts w:ascii="Times New Roman" w:hAnsi="Times New Roman"/>
          <w:b/>
          <w:sz w:val="24"/>
        </w:rPr>
        <w:t>10.</w:t>
      </w:r>
    </w:p>
    <w:p>
      <w:pPr>
        <w:pStyle w:val="TextBody"/>
        <w:bidi w:val="0"/>
        <w:spacing w:before="200" w:after="283"/>
        <w:jc w:val="both"/>
        <w:rPr>
          <w:rFonts w:ascii="Times New Roman;serif" w:hAnsi="Times New Roman;serif"/>
          <w:b/>
          <w:sz w:val="24"/>
        </w:rPr>
      </w:pPr>
      <w:r>
        <w:rPr>
          <w:rFonts w:ascii="Times New Roman;serif" w:hAnsi="Times New Roman;serif"/>
          <w:b/>
          <w:sz w:val="24"/>
        </w:rPr>
        <w:t>WARRANTS</w:t>
      </w:r>
    </w:p>
    <w:p>
      <w:pPr>
        <w:pStyle w:val="TextBody"/>
        <w:bidi w:val="0"/>
        <w:spacing w:before="200" w:after="0"/>
        <w:jc w:val="both"/>
        <w:rPr>
          <w:rFonts w:ascii="Times New Roman" w:hAnsi="Times New Roman"/>
          <w:sz w:val="20"/>
        </w:rPr>
      </w:pPr>
      <w:r>
        <w:rPr>
          <w:rFonts w:ascii="Times New Roman;serif" w:hAnsi="Times New Roman;serif"/>
          <w:b w:val="false"/>
          <w:sz w:val="24"/>
        </w:rPr>
        <w:t>In connection with various transactions, the Company issued 2,560,456</w:t>
      </w:r>
      <w:r>
        <w:rPr>
          <w:rFonts w:ascii="Times New Roman" w:hAnsi="Times New Roman"/>
          <w:sz w:val="20"/>
        </w:rPr>
        <w:t xml:space="preserve"> </w:t>
      </w:r>
      <w:r>
        <w:rPr>
          <w:rFonts w:ascii="Times New Roman;serif" w:hAnsi="Times New Roman;serif"/>
          <w:b w:val="false"/>
          <w:sz w:val="24"/>
        </w:rPr>
        <w:t>warrants to purchase shares of Common Stock at an exercise price of $0.01</w:t>
      </w:r>
      <w:r>
        <w:rPr>
          <w:rFonts w:ascii="Times New Roman" w:hAnsi="Times New Roman"/>
          <w:sz w:val="20"/>
        </w:rPr>
        <w:t xml:space="preserve"> </w:t>
      </w:r>
      <w:r>
        <w:rPr>
          <w:rFonts w:ascii="Times New Roman;serif" w:hAnsi="Times New Roman;serif"/>
          <w:b w:val="false"/>
          <w:sz w:val="24"/>
        </w:rPr>
        <w:t>per share (“Warrants”). As of June 30, 2023, 1,321,968</w:t>
      </w:r>
      <w:r>
        <w:rPr>
          <w:rFonts w:ascii="Times New Roman" w:hAnsi="Times New Roman"/>
          <w:sz w:val="20"/>
        </w:rPr>
        <w:t xml:space="preserve"> </w:t>
      </w:r>
      <w:r>
        <w:rPr>
          <w:rFonts w:ascii="Times New Roman;serif" w:hAnsi="Times New Roman;serif"/>
          <w:b w:val="false"/>
          <w:sz w:val="24"/>
        </w:rPr>
        <w:t>Warrants remain outstanding, which are comprised entirely of the remaining Carlyle Warrants.</w:t>
      </w:r>
    </w:p>
    <w:p>
      <w:pPr>
        <w:pStyle w:val="TextBody"/>
        <w:bidi w:val="0"/>
        <w:spacing w:before="200" w:after="0"/>
        <w:jc w:val="left"/>
        <w:rPr>
          <w:rFonts w:ascii="Times New Roman" w:hAnsi="Times New Roman"/>
          <w:b/>
          <w:sz w:val="24"/>
        </w:rPr>
      </w:pPr>
      <w:r>
        <w:rPr>
          <w:rFonts w:ascii="Times New Roman" w:hAnsi="Times New Roman"/>
          <w:b/>
          <w:sz w:val="24"/>
        </w:rPr>
        <w:t>11.</w:t>
      </w:r>
    </w:p>
    <w:p>
      <w:pPr>
        <w:pStyle w:val="TextBody"/>
        <w:bidi w:val="0"/>
        <w:spacing w:before="200" w:after="283"/>
        <w:jc w:val="left"/>
        <w:rPr>
          <w:rFonts w:ascii="Times New Roman;serif" w:hAnsi="Times New Roman;serif"/>
          <w:b/>
          <w:sz w:val="24"/>
        </w:rPr>
      </w:pPr>
      <w:r>
        <w:rPr>
          <w:rFonts w:ascii="Times New Roman;serif" w:hAnsi="Times New Roman;serif"/>
          <w:b/>
          <w:sz w:val="24"/>
        </w:rPr>
        <w:t>COMMITMENTS AND CONTINGENCIES</w:t>
      </w:r>
    </w:p>
    <w:p>
      <w:pPr>
        <w:pStyle w:val="TextBody"/>
        <w:bidi w:val="0"/>
        <w:spacing w:before="200" w:after="0"/>
        <w:jc w:val="both"/>
        <w:rPr>
          <w:rFonts w:ascii="Times New Roman" w:hAnsi="Times New Roman"/>
          <w:sz w:val="20"/>
        </w:rPr>
      </w:pPr>
      <w:r>
        <w:rPr>
          <w:rFonts w:ascii="Times New Roman;serif" w:hAnsi="Times New Roman;serif"/>
          <w:b w:val="false"/>
          <w:sz w:val="24"/>
        </w:rPr>
        <w:t>As of June 30, 2023, the Company had unfunded capital commitments of $1.7</w:t>
      </w:r>
      <w:r>
        <w:rPr>
          <w:rFonts w:ascii="Times New Roman" w:hAnsi="Times New Roman"/>
          <w:sz w:val="20"/>
        </w:rPr>
        <w:t xml:space="preserve"> </w:t>
      </w:r>
      <w:r>
        <w:rPr>
          <w:rFonts w:ascii="Times New Roman;serif" w:hAnsi="Times New Roman;serif"/>
          <w:b w:val="false"/>
          <w:sz w:val="24"/>
        </w:rPr>
        <w:t>million for miscellaneous vessel equipment payable during the remainder of 2023. The Company has indefinitely deferred an additional $9.3</w:t>
      </w:r>
      <w:r>
        <w:rPr>
          <w:rFonts w:ascii="Times New Roman" w:hAnsi="Times New Roman"/>
          <w:sz w:val="20"/>
        </w:rPr>
        <w:t xml:space="preserve"> </w:t>
      </w:r>
      <w:r>
        <w:rPr>
          <w:rFonts w:ascii="Times New Roman;serif" w:hAnsi="Times New Roman;serif"/>
          <w:b w:val="false"/>
          <w:sz w:val="24"/>
        </w:rPr>
        <w:t>million of orders with respect to one</w:t>
      </w:r>
      <w:r>
        <w:rPr>
          <w:rFonts w:ascii="Times New Roman" w:hAnsi="Times New Roman"/>
          <w:sz w:val="20"/>
        </w:rPr>
        <w:t xml:space="preserve"> </w:t>
      </w:r>
      <w:r>
        <w:rPr>
          <w:rFonts w:ascii="Times New Roman;serif" w:hAnsi="Times New Roman;serif"/>
          <w:b w:val="false"/>
          <w:sz w:val="24"/>
        </w:rPr>
        <w:t>FSV that the Company had previously reported as unfunded capital commitments.</w:t>
      </w:r>
    </w:p>
    <w:p>
      <w:pPr>
        <w:pStyle w:val="TextBody"/>
        <w:bidi w:val="0"/>
        <w:spacing w:before="200" w:after="0"/>
        <w:jc w:val="both"/>
        <w:rPr>
          <w:rFonts w:ascii="Times New Roman" w:hAnsi="Times New Roman"/>
          <w:sz w:val="20"/>
        </w:rPr>
      </w:pPr>
      <w:r>
        <w:rPr>
          <w:rFonts w:ascii="Times New Roman;serif" w:hAnsi="Times New Roman;serif"/>
          <w:b w:val="false"/>
          <w:sz w:val="24"/>
        </w:rPr>
        <w:t>In December 2015, the Brazilian Federal Revenue Office issued a tax-deficiency notice to Seabulk Offshore do Brasil Ltda, an indirect wholly-owned subsidiary of SEACOR Marine (“Seabulk Offshore do Brasil”), with respect to certain profit participation contributions (also known as “PIS”) and social security financing contributions (also known as “COFINS”) requirements alleged to be due from Seabulk Offshore do Brasil (“Deficiency Notice”) in respect of the period of January 2011 until December 2012. In January 2016, the Company administratively appealed the Deficiency Notice on the basis that, among other arguments, (i) such contributions were not applicable in the circumstances of a 70%/30% cost allocation structure, and (ii) the tax inspector had incorrectly determined that values received from outside of Brazil could not be classified as expense refunds. The initial appeal was dismissed by the Brazilian Federal Revenue Office and the Company appealed such dismissal and is currently awaiting an administrative trial. A local Brazilian law has been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16</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 w:hAnsi="Times New Roman"/>
          <w:sz w:val="20"/>
        </w:rPr>
      </w:pPr>
      <w:r>
        <w:rPr>
          <w:rFonts w:ascii="Times New Roman;serif" w:hAnsi="Times New Roman;serif"/>
          <w:b w:val="false"/>
          <w:sz w:val="24"/>
        </w:rPr>
        <w:t>cannot be assured and the matter may need to be addressed through judicial court proceedings. The potential levy arising from the Deficiency Notice is R$22.2</w:t>
      </w:r>
      <w:r>
        <w:rPr>
          <w:rFonts w:ascii="Times New Roman" w:hAnsi="Times New Roman"/>
          <w:sz w:val="20"/>
        </w:rPr>
        <w:t xml:space="preserve"> </w:t>
      </w:r>
      <w:r>
        <w:rPr>
          <w:rFonts w:ascii="Times New Roman;serif" w:hAnsi="Times New Roman;serif"/>
          <w:b w:val="false"/>
          <w:sz w:val="24"/>
        </w:rPr>
        <w:t>million based on a historical potential levy of R$12.87</w:t>
      </w:r>
      <w:r>
        <w:rPr>
          <w:rFonts w:ascii="Times New Roman" w:hAnsi="Times New Roman"/>
          <w:sz w:val="20"/>
        </w:rPr>
        <w:t xml:space="preserve"> </w:t>
      </w:r>
      <w:r>
        <w:rPr>
          <w:rFonts w:ascii="Times New Roman;serif" w:hAnsi="Times New Roman;serif"/>
          <w:b w:val="false"/>
          <w:sz w:val="24"/>
        </w:rPr>
        <w:t>million (USD $4.6</w:t>
      </w:r>
      <w:r>
        <w:rPr>
          <w:rFonts w:ascii="Times New Roman" w:hAnsi="Times New Roman"/>
          <w:sz w:val="20"/>
        </w:rPr>
        <w:t xml:space="preserve"> </w:t>
      </w:r>
      <w:r>
        <w:rPr>
          <w:rFonts w:ascii="Times New Roman;serif" w:hAnsi="Times New Roman;serif"/>
          <w:b w:val="false"/>
          <w:sz w:val="24"/>
        </w:rPr>
        <w:t>million and USD $2.7</w:t>
      </w:r>
      <w:r>
        <w:rPr>
          <w:rFonts w:ascii="Times New Roman" w:hAnsi="Times New Roman"/>
          <w:sz w:val="20"/>
        </w:rPr>
        <w:t xml:space="preserve"> </w:t>
      </w:r>
      <w:r>
        <w:rPr>
          <w:rFonts w:ascii="Times New Roman;serif" w:hAnsi="Times New Roman;serif"/>
          <w:b w:val="false"/>
          <w:sz w:val="24"/>
        </w:rPr>
        <w:t>million, respectively, based on the exchange rate as of June 30, 2023).</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On April 13, 2021, the SEACOR Power, a liftboat owned by a subsidiary of the Company with nineteen individuals on board, capsized off the coast of Port Fourchon, Louisiana. The incident resulted in the death of several crew members, including the captain of the vessel and five other employees of the Company. The incident also resulted in the constructive total loss of the SEACOR Power. The Company is responsible for the salvage operations related to the vessel in coordination with the U.S. Coast Guard (“USCG”). The salvage operations are substantially complete and the Company expects salvage costs to be covered by insurance proceeds.</w:t>
      </w:r>
    </w:p>
    <w:p>
      <w:pPr>
        <w:pStyle w:val="TextBody"/>
        <w:bidi w:val="0"/>
        <w:spacing w:before="200" w:after="0"/>
        <w:jc w:val="both"/>
        <w:rPr>
          <w:rFonts w:ascii="Times New Roman" w:hAnsi="Times New Roman"/>
          <w:sz w:val="20"/>
        </w:rPr>
      </w:pPr>
      <w:r>
        <w:rPr>
          <w:rFonts w:ascii="Times New Roman;serif" w:hAnsi="Times New Roman;serif"/>
          <w:b w:val="false"/>
          <w:sz w:val="24"/>
        </w:rPr>
        <w:t>The capsizing of the SEACOR Power garnered significant attention from the media as well as local, state and federal stakeholders. The National Transportation Safety Board (“NTSB”) and the USCG have each conducted an investigation to determine the cause of the incident. The Company has and will continue to fully cooperate with the investigations in all respects. On November 3, 2022, the NTSB publicly released its final report, as adopted on October 18, 2022, which determined that the probable cause of the capsizing of the SEACOR Power was a loss of stability that occurred when the vessel was struck by severe thunderstorm winds, which exceeded the vessel’s operation wind speed limits. The NTSB further determined that contributing to the loss of life on the vessel was the speed at which the vessel capsized and the angle at which it came to rest, which made egress difficult, and the high winds and seas in the aftermath of the capsizing, which hampered rescue efforts. The USCG also released a report, dated May 18, 2023, with respect to its investigation, which is consistent with the determinations of the NTSB.</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Numerous civil lawsuits have been filed against the Company and other third parties by the family members of deceased crew members and the surviving crew members employed by the Company or by third parties. On June 2, 2021, the Company filed a Limitation of Liability Act complaint in federal court in the Eastern District of Louisiana (“Limitation Action”), which had the effect of enjoining all existing civil lawsuits and requiring the plaintiffs to file their claims relating to the capsizing of the SEACOR Power in the Limitation Action. Nearly all injury and death claims in the Limitation Action for which the Company has financial exposure have been resolved, and the remaining claims are those for which the Company is owed contractual defense and indemnity or will be covered by insurance. There is significant uncertainty regarding the impact the incident will have on the Company’s reputation and the resulting possible impact on the Company’s business.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that such changes in estimated costs would have a material effect on the Company’s consolidated financial position, results of operations or cash flows.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Certain of the Company’s subsidiaries are participating employers in two industry-wide, multi-employer, defined benefit pension funds in the United Kingdom: the U.K Merchant Navy Officers Pension Fund (“MNOPF”) and the U.K. Merchant Navy Ratings Pension Fund (“MNRPF”). 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 As of June 30, 2023, all invoices related to MNOPF and MNRPF have been settled in full.</w:t>
      </w:r>
    </w:p>
    <w:p>
      <w:pPr>
        <w:pStyle w:val="TextBody"/>
        <w:bidi w:val="0"/>
        <w:spacing w:before="200" w:after="0"/>
        <w:jc w:val="both"/>
        <w:rPr>
          <w:rFonts w:ascii="Times New Roman" w:hAnsi="Times New Roman"/>
          <w:sz w:val="20"/>
        </w:rPr>
      </w:pPr>
      <w:r>
        <w:rPr>
          <w:rFonts w:ascii="Times New Roman;serif" w:hAnsi="Times New Roman;serif"/>
          <w:b w:val="false"/>
          <w:sz w:val="24"/>
        </w:rPr>
        <w:t>On October 19, 2021, the Company was informed by the MNRPF that two issues had been identified during a review of the MNRPF by the applicable trustee that would potentially give rise to material additional</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17</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liabilities for the MNRPF. The MNRPF has indicated that the investigations into these issues remain ongoing, and that further updates will be provided as significant developments arise. Should such additional liabilities require the MNRPF to collect additional funds from participating employers, it is possible that the Company will be invoiced for a portion of such funds and recognize payroll related operating expenses in the periods invoices are received.</w:t>
      </w:r>
    </w:p>
    <w:p>
      <w:pPr>
        <w:pStyle w:val="TextBody"/>
        <w:bidi w:val="0"/>
        <w:spacing w:before="200" w:after="0"/>
        <w:jc w:val="both"/>
        <w:rPr>
          <w:rFonts w:ascii="Times New Roman" w:hAnsi="Times New Roman"/>
          <w:b/>
          <w:sz w:val="24"/>
        </w:rPr>
      </w:pPr>
      <w:r>
        <w:rPr>
          <w:rFonts w:ascii="Times New Roman" w:hAnsi="Times New Roman"/>
          <w:b/>
          <w:sz w:val="24"/>
        </w:rPr>
        <w:t>12.</w:t>
      </w:r>
    </w:p>
    <w:p>
      <w:pPr>
        <w:pStyle w:val="TextBody"/>
        <w:bidi w:val="0"/>
        <w:spacing w:before="200" w:after="283"/>
        <w:jc w:val="both"/>
        <w:rPr>
          <w:rFonts w:ascii="Times New Roman;serif" w:hAnsi="Times New Roman;serif"/>
          <w:b/>
          <w:sz w:val="24"/>
        </w:rPr>
      </w:pPr>
      <w:r>
        <w:rPr>
          <w:rFonts w:ascii="Times New Roman;serif" w:hAnsi="Times New Roman;serif"/>
          <w:b/>
          <w:sz w:val="24"/>
        </w:rPr>
        <w:t>STOCK BASED COMPENSATION</w:t>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Transactions in connection with the Company’s Equity Incentive Plans during the six months ended June 30, 2023 were as follows:</w:t>
      </w:r>
    </w:p>
    <w:tbl>
      <w:tblPr>
        <w:tblW w:w="4150" w:type="dxa"/>
        <w:jc w:val="left"/>
        <w:tblInd w:w="0" w:type="dxa"/>
        <w:tblLayout w:type="fixed"/>
        <w:tblCellMar>
          <w:top w:w="28" w:type="dxa"/>
          <w:left w:w="28" w:type="dxa"/>
          <w:bottom w:w="28" w:type="dxa"/>
          <w:right w:w="28" w:type="dxa"/>
        </w:tblCellMar>
      </w:tblPr>
      <w:tblGrid>
        <w:gridCol w:w="2821"/>
        <w:gridCol w:w="146"/>
        <w:gridCol w:w="146"/>
        <w:gridCol w:w="826"/>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Restricted Stock Activity:</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1,682,193</w:t>
            </w:r>
          </w:p>
        </w:tc>
        <w:tc>
          <w:tcPr>
            <w:tcW w:w="21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660,307</w:t>
            </w:r>
          </w:p>
        </w:tc>
        <w:tc>
          <w:tcPr>
            <w:tcW w:w="21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(685,416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(15,000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821"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 xml:space="preserve">Outstanding as of June 30, 2023 </w:t>
            </w: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1,642,084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Stock Option Activity:</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1,026,865</w:t>
            </w:r>
          </w:p>
        </w:tc>
        <w:tc>
          <w:tcPr>
            <w:tcW w:w="21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Outstanding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1,026,031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Times New Roman" w:hAnsi="Times New Roman"/>
          <w:b w:val="false"/>
          <w:sz w:val="16"/>
        </w:rPr>
      </w:pPr>
      <w:r>
        <w:rPr>
          <w:rFonts w:ascii="Times New Roman" w:hAnsi="Times New Roman"/>
          <w:b w:val="false"/>
          <w:sz w:val="16"/>
        </w:rPr>
        <w:t>(1)</w:t>
      </w:r>
    </w:p>
    <w:p>
      <w:pPr>
        <w:pStyle w:val="TextBody"/>
        <w:bidi w:val="0"/>
        <w:spacing w:before="40" w:after="283"/>
        <w:jc w:val="both"/>
        <w:rPr>
          <w:rFonts w:ascii="Times New Roman;serif" w:hAnsi="Times New Roman;serif"/>
          <w:sz w:val="24"/>
        </w:rPr>
      </w:pPr>
      <w:r>
        <w:rPr>
          <w:rFonts w:ascii="Times New Roman;serif" w:hAnsi="Times New Roman;serif"/>
          <w:b w:val="false"/>
          <w:sz w:val="16"/>
        </w:rPr>
        <w:t>Excludes 156,620</w:t>
      </w:r>
      <w:r>
        <w:rPr>
          <w:rFonts w:ascii="Times New Roman;serif" w:hAnsi="Times New Roman;serif"/>
          <w:sz w:val="24"/>
        </w:rPr>
        <w:t xml:space="preserve"> </w:t>
      </w:r>
      <w:r>
        <w:rPr>
          <w:rFonts w:ascii="Times New Roman;serif" w:hAnsi="Times New Roman;serif"/>
          <w:b w:val="false"/>
          <w:sz w:val="16"/>
        </w:rPr>
        <w:t>grants of performance-based stock units that are not considered outstanding until such time that they become probable to vest.</w:t>
      </w:r>
    </w:p>
    <w:p>
      <w:pPr>
        <w:pStyle w:val="TextBody"/>
        <w:bidi w:val="0"/>
        <w:spacing w:before="200" w:after="0"/>
        <w:jc w:val="both"/>
        <w:rPr>
          <w:rFonts w:ascii="Times New Roman" w:hAnsi="Times New Roman"/>
          <w:sz w:val="20"/>
        </w:rPr>
      </w:pPr>
      <w:r>
        <w:rPr>
          <w:rFonts w:ascii="Times New Roman;serif" w:hAnsi="Times New Roman;serif"/>
          <w:b w:val="false"/>
          <w:sz w:val="24"/>
        </w:rPr>
        <w:t>For the six months ended June 30, 2023, the Company acquired for treasury 232,239</w:t>
      </w:r>
      <w:r>
        <w:rPr>
          <w:rFonts w:ascii="Times New Roman" w:hAnsi="Times New Roman"/>
          <w:sz w:val="20"/>
        </w:rPr>
        <w:t xml:space="preserve"> </w:t>
      </w:r>
      <w:r>
        <w:rPr>
          <w:rFonts w:ascii="Times New Roman;serif" w:hAnsi="Times New Roman;serif"/>
          <w:b w:val="false"/>
          <w:sz w:val="24"/>
        </w:rPr>
        <w:t>shares of Common Stock from its directors and/or employees to cover their tax withholding obligations upon the lapsing of restrictions on share awards for an aggregate purchase price of $2.4</w:t>
      </w:r>
      <w:r>
        <w:rPr>
          <w:rFonts w:ascii="Times New Roman" w:hAnsi="Times New Roman"/>
          <w:sz w:val="20"/>
        </w:rPr>
        <w:t xml:space="preserve"> </w:t>
      </w:r>
      <w:r>
        <w:rPr>
          <w:rFonts w:ascii="Times New Roman;serif" w:hAnsi="Times New Roman;serif"/>
          <w:b w:val="false"/>
          <w:sz w:val="24"/>
        </w:rPr>
        <w:t>million. These shares were purchased in accordance with the terms of the Company’s 2017 Equity Incentive Plan, 2020 Equity Incentive Plan and 2022 Equity Incentive Plan, as applicable.</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18</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 w:hAnsi="Times New Roman"/>
          <w:b/>
          <w:sz w:val="24"/>
        </w:rPr>
      </w:pPr>
      <w:r>
        <w:rPr>
          <w:rFonts w:ascii="Times New Roman" w:hAnsi="Times New Roman"/>
          <w:b/>
          <w:sz w:val="24"/>
        </w:rPr>
        <w:t>13.</w:t>
      </w:r>
    </w:p>
    <w:p>
      <w:pPr>
        <w:pStyle w:val="TextBody"/>
        <w:bidi w:val="0"/>
        <w:spacing w:before="200" w:after="283"/>
        <w:jc w:val="both"/>
        <w:rPr>
          <w:rFonts w:ascii="Times New Roman;serif" w:hAnsi="Times New Roman;serif"/>
          <w:b/>
          <w:sz w:val="24"/>
        </w:rPr>
      </w:pPr>
      <w:r>
        <w:rPr>
          <w:rFonts w:ascii="Times New Roman;serif" w:hAnsi="Times New Roman;serif"/>
          <w:b/>
          <w:sz w:val="24"/>
        </w:rPr>
        <w:t>SEGMENT INFORMATION</w:t>
      </w:r>
    </w:p>
    <w:p>
      <w:pPr>
        <w:pStyle w:val="TextBody"/>
        <w:bidi w:val="0"/>
        <w:spacing w:before="200" w:after="200"/>
        <w:jc w:val="both"/>
        <w:rPr>
          <w:rFonts w:ascii="Times New Roman" w:hAnsi="Times New Roman"/>
          <w:sz w:val="20"/>
        </w:rPr>
      </w:pPr>
      <w:r>
        <w:rPr>
          <w:rFonts w:ascii="Times New Roman;serif" w:hAnsi="Times New Roman;serif"/>
          <w:b w:val="false"/>
          <w:sz w:val="24"/>
        </w:rPr>
        <w:t>The Company’s segment presentation and basis of measurement of segment profit or loss are as previously described in the 2022</w:t>
      </w:r>
      <w:r>
        <w:rPr>
          <w:rFonts w:ascii="Times New Roman" w:hAnsi="Times New Roman"/>
          <w:sz w:val="20"/>
        </w:rPr>
        <w:t xml:space="preserve"> </w:t>
      </w:r>
      <w:r>
        <w:rPr>
          <w:rFonts w:ascii="Times New Roman;serif" w:hAnsi="Times New Roman;serif"/>
          <w:b w:val="false"/>
          <w:sz w:val="24"/>
        </w:rPr>
        <w:t>Annual Report. The following tables summarize the operating results, capital expenditures and assets of the Company’s reportable segments for the periods indicated (in thousands):</w:t>
      </w:r>
    </w:p>
    <w:tbl>
      <w:tblPr>
        <w:tblW w:w="9833" w:type="dxa"/>
        <w:jc w:val="left"/>
        <w:tblInd w:w="0" w:type="dxa"/>
        <w:tblLayout w:type="fixed"/>
        <w:tblCellMar>
          <w:top w:w="28" w:type="dxa"/>
          <w:left w:w="28" w:type="dxa"/>
          <w:bottom w:w="28" w:type="dxa"/>
          <w:right w:w="28" w:type="dxa"/>
        </w:tblCellMar>
      </w:tblPr>
      <w:tblGrid>
        <w:gridCol w:w="3571"/>
        <w:gridCol w:w="146"/>
        <w:gridCol w:w="217"/>
        <w:gridCol w:w="669"/>
        <w:gridCol w:w="166"/>
        <w:gridCol w:w="146"/>
        <w:gridCol w:w="251"/>
        <w:gridCol w:w="769"/>
        <w:gridCol w:w="166"/>
        <w:gridCol w:w="146"/>
        <w:gridCol w:w="196"/>
        <w:gridCol w:w="601"/>
        <w:gridCol w:w="166"/>
        <w:gridCol w:w="146"/>
        <w:gridCol w:w="196"/>
        <w:gridCol w:w="601"/>
        <w:gridCol w:w="146"/>
        <w:gridCol w:w="146"/>
        <w:gridCol w:w="196"/>
        <w:gridCol w:w="601"/>
        <w:gridCol w:w="5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United</w:t>
              <w:br/>
              <w:t>States</w:t>
              <w:br/>
              <w:t>(primarily</w:t>
              <w:br/>
              <w:t>Gulf of</w:t>
              <w:br/>
              <w:t>Mexico)</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Africa</w:t>
              <w:br/>
              <w:t>and Europe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Middle</w:t>
              <w:br/>
              <w:t>East</w:t>
              <w:br/>
              <w:t>and Asia</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Latin</w:t>
              <w:br/>
              <w:t>America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For the Three Months Ended June 30, 2023</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Revenues:</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Time charter</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24,414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13,706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60,804</w:t>
            </w:r>
          </w:p>
        </w:tc>
        <w:tc>
          <w:tcPr>
            <w:tcW w:w="591" w:type="dxa"/>
            <w:tcBorders/>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Bareboat charter</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w:t>
            </w:r>
          </w:p>
        </w:tc>
        <w:tc>
          <w:tcPr>
            <w:tcW w:w="591" w:type="dxa"/>
            <w:tcBorders/>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marine services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5,723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23,377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66,891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Costs and Expenses:</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Personnel</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19,944</w:t>
            </w:r>
          </w:p>
        </w:tc>
        <w:tc>
          <w:tcPr>
            <w:tcW w:w="591" w:type="dxa"/>
            <w:tcBorders/>
            <w:vAlign w:val="center"/>
          </w:tcPr>
          <w:p>
            <w:pPr>
              <w:pStyle w:val="TableContents"/>
              <w:bidi w:val="0"/>
              <w:spacing w:before="0" w:after="0"/>
              <w:ind w:left="0" w:right="0" w:firstLine="400"/>
              <w:jc w:val="lef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Repairs and maintenance</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5,793</w:t>
            </w:r>
          </w:p>
        </w:tc>
        <w:tc>
          <w:tcPr>
            <w:tcW w:w="591" w:type="dxa"/>
            <w:tcBorders/>
            <w:vAlign w:val="center"/>
          </w:tcPr>
          <w:p>
            <w:pPr>
              <w:pStyle w:val="TableContents"/>
              <w:bidi w:val="0"/>
              <w:spacing w:before="0" w:after="0"/>
              <w:ind w:left="0" w:right="0" w:firstLine="400"/>
              <w:jc w:val="lef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Drydocking</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2,256</w:t>
            </w:r>
          </w:p>
        </w:tc>
        <w:tc>
          <w:tcPr>
            <w:tcW w:w="591" w:type="dxa"/>
            <w:tcBorders/>
            <w:vAlign w:val="center"/>
          </w:tcPr>
          <w:p>
            <w:pPr>
              <w:pStyle w:val="TableContents"/>
              <w:bidi w:val="0"/>
              <w:spacing w:before="0" w:after="0"/>
              <w:ind w:left="0" w:right="0" w:firstLine="400"/>
              <w:jc w:val="lef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Insurance and loss reserves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2,390</w:t>
            </w:r>
          </w:p>
        </w:tc>
        <w:tc>
          <w:tcPr>
            <w:tcW w:w="591" w:type="dxa"/>
            <w:tcBorders/>
            <w:vAlign w:val="center"/>
          </w:tcPr>
          <w:p>
            <w:pPr>
              <w:pStyle w:val="TableContents"/>
              <w:bidi w:val="0"/>
              <w:spacing w:before="0" w:after="0"/>
              <w:ind w:left="0" w:right="0" w:firstLine="400"/>
              <w:jc w:val="lef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Fuel, lubes and supplies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3,638</w:t>
            </w:r>
          </w:p>
        </w:tc>
        <w:tc>
          <w:tcPr>
            <w:tcW w:w="591" w:type="dxa"/>
            <w:tcBorders/>
            <w:vAlign w:val="center"/>
          </w:tcPr>
          <w:p>
            <w:pPr>
              <w:pStyle w:val="TableContents"/>
              <w:bidi w:val="0"/>
              <w:spacing w:before="0" w:after="0"/>
              <w:ind w:left="0" w:right="0" w:firstLine="400"/>
              <w:jc w:val="lef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2,281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11,377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36,302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Direct Vessel (Loss) Profit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30,589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Costs and Expenses:</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Lease expense</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w:t>
            </w:r>
          </w:p>
        </w:tc>
        <w:tc>
          <w:tcPr>
            <w:tcW w:w="591" w:type="dxa"/>
            <w:tcBorders/>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Administrative and general</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13,704</w:t>
            </w:r>
          </w:p>
        </w:tc>
        <w:tc>
          <w:tcPr>
            <w:tcW w:w="591" w:type="dxa"/>
            <w:tcBorders/>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13,575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283"/>
              <w:ind w:left="0" w:right="0" w:firstLine="2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27,977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Gains on asset dispositions and impairments, net</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income</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2,877</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19</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534"/>
        <w:gridCol w:w="146"/>
        <w:gridCol w:w="196"/>
        <w:gridCol w:w="751"/>
        <w:gridCol w:w="166"/>
        <w:gridCol w:w="146"/>
        <w:gridCol w:w="224"/>
        <w:gridCol w:w="793"/>
        <w:gridCol w:w="166"/>
        <w:gridCol w:w="146"/>
        <w:gridCol w:w="196"/>
        <w:gridCol w:w="691"/>
        <w:gridCol w:w="166"/>
        <w:gridCol w:w="146"/>
        <w:gridCol w:w="196"/>
        <w:gridCol w:w="691"/>
        <w:gridCol w:w="166"/>
        <w:gridCol w:w="146"/>
        <w:gridCol w:w="196"/>
        <w:gridCol w:w="751"/>
        <w:gridCol w:w="592"/>
      </w:tblGrid>
      <w:tr>
        <w:trPr/>
        <w:tc>
          <w:tcPr>
            <w:tcW w:w="3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53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United</w:t>
              <w:br/>
              <w:t>States</w:t>
              <w:br/>
              <w:t>(primarily</w:t>
              <w:br/>
              <w:t>Gulf of</w:t>
              <w:br/>
              <w:t>Mexico)</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Africa</w:t>
              <w:br/>
              <w:t>and Europe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Middle</w:t>
              <w:br/>
              <w:t>East</w:t>
              <w:br/>
              <w:t>and Asia</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Latin</w:t>
              <w:br/>
              <w:t>America</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3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For the Six Months Ended June 30, 2023</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35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Revenues: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firstLine="200"/>
              <w:jc w:val="right"/>
              <w:rPr/>
            </w:pPr>
            <w:r>
              <w:rPr/>
              <w:t> </w:t>
            </w:r>
          </w:p>
        </w:tc>
      </w:tr>
      <w:tr>
        <w:trPr/>
        <w:tc>
          <w:tcPr>
            <w:tcW w:w="353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Time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43,410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32,591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116,219</w:t>
            </w:r>
          </w:p>
        </w:tc>
        <w:tc>
          <w:tcPr>
            <w:tcW w:w="592" w:type="dxa"/>
            <w:tcBorders/>
            <w:vAlign w:val="center"/>
          </w:tcPr>
          <w:p>
            <w:pPr>
              <w:pStyle w:val="TableContents"/>
              <w:bidi w:val="0"/>
              <w:spacing w:before="0" w:after="0"/>
              <w:ind w:left="0" w:right="0" w:firstLine="200"/>
              <w:jc w:val="left"/>
              <w:rPr/>
            </w:pPr>
            <w:r>
              <w:rPr/>
              <w:t> </w:t>
            </w:r>
          </w:p>
        </w:tc>
      </w:tr>
      <w:tr>
        <w:trPr/>
        <w:tc>
          <w:tcPr>
            <w:tcW w:w="353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Bareboat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724</w:t>
            </w:r>
          </w:p>
        </w:tc>
        <w:tc>
          <w:tcPr>
            <w:tcW w:w="592" w:type="dxa"/>
            <w:tcBorders/>
            <w:vAlign w:val="center"/>
          </w:tcPr>
          <w:p>
            <w:pPr>
              <w:pStyle w:val="TableContents"/>
              <w:bidi w:val="0"/>
              <w:spacing w:before="0" w:after="0"/>
              <w:ind w:left="0" w:right="0" w:firstLine="200"/>
              <w:jc w:val="left"/>
              <w:rPr/>
            </w:pPr>
            <w:r>
              <w:rPr/>
              <w:t> </w:t>
            </w:r>
          </w:p>
        </w:tc>
      </w:tr>
      <w:tr>
        <w:trPr/>
        <w:tc>
          <w:tcPr>
            <w:tcW w:w="353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marine services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9,921</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3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19,520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41,539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35,806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29,999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126,864</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Costs and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firstLine="200"/>
              <w:jc w:val="right"/>
              <w:rPr/>
            </w:pPr>
            <w:r>
              <w:rPr/>
              <w:t> </w:t>
            </w:r>
          </w:p>
        </w:tc>
      </w:tr>
      <w:tr>
        <w:trPr/>
        <w:tc>
          <w:tcPr>
            <w:tcW w:w="353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firstLine="400"/>
              <w:jc w:val="right"/>
              <w:rPr/>
            </w:pPr>
            <w:r>
              <w:rPr/>
              <w:t> </w:t>
            </w:r>
          </w:p>
        </w:tc>
      </w:tr>
      <w:tr>
        <w:trPr/>
        <w:tc>
          <w:tcPr>
            <w:tcW w:w="3534"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Personnel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39,747</w:t>
            </w:r>
          </w:p>
        </w:tc>
        <w:tc>
          <w:tcPr>
            <w:tcW w:w="592" w:type="dxa"/>
            <w:tcBorders/>
            <w:vAlign w:val="center"/>
          </w:tcPr>
          <w:p>
            <w:pPr>
              <w:pStyle w:val="TableContents"/>
              <w:bidi w:val="0"/>
              <w:spacing w:before="0" w:after="0"/>
              <w:ind w:left="0" w:right="0" w:firstLine="400"/>
              <w:jc w:val="left"/>
              <w:rPr/>
            </w:pPr>
            <w:r>
              <w:rPr/>
              <w:t> </w:t>
            </w:r>
          </w:p>
        </w:tc>
      </w:tr>
      <w:tr>
        <w:trPr/>
        <w:tc>
          <w:tcPr>
            <w:tcW w:w="3534"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Repairs and maintenance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11,804</w:t>
            </w:r>
          </w:p>
        </w:tc>
        <w:tc>
          <w:tcPr>
            <w:tcW w:w="592" w:type="dxa"/>
            <w:tcBorders/>
            <w:vAlign w:val="center"/>
          </w:tcPr>
          <w:p>
            <w:pPr>
              <w:pStyle w:val="TableContents"/>
              <w:bidi w:val="0"/>
              <w:spacing w:before="0" w:after="0"/>
              <w:ind w:left="0" w:right="0" w:firstLine="400"/>
              <w:jc w:val="left"/>
              <w:rPr/>
            </w:pPr>
            <w:r>
              <w:rPr/>
              <w:t> </w:t>
            </w:r>
          </w:p>
        </w:tc>
      </w:tr>
      <w:tr>
        <w:trPr/>
        <w:tc>
          <w:tcPr>
            <w:tcW w:w="3534"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Drydocking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2,269</w:t>
            </w:r>
          </w:p>
        </w:tc>
        <w:tc>
          <w:tcPr>
            <w:tcW w:w="592" w:type="dxa"/>
            <w:tcBorders/>
            <w:vAlign w:val="center"/>
          </w:tcPr>
          <w:p>
            <w:pPr>
              <w:pStyle w:val="TableContents"/>
              <w:bidi w:val="0"/>
              <w:spacing w:before="0" w:after="0"/>
              <w:ind w:left="0" w:right="0" w:firstLine="400"/>
              <w:jc w:val="left"/>
              <w:rPr/>
            </w:pPr>
            <w:r>
              <w:rPr/>
              <w:t> </w:t>
            </w:r>
          </w:p>
        </w:tc>
      </w:tr>
      <w:tr>
        <w:trPr/>
        <w:tc>
          <w:tcPr>
            <w:tcW w:w="3534"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Insurance and loss reserves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5,179</w:t>
            </w:r>
          </w:p>
        </w:tc>
        <w:tc>
          <w:tcPr>
            <w:tcW w:w="592" w:type="dxa"/>
            <w:tcBorders/>
            <w:vAlign w:val="center"/>
          </w:tcPr>
          <w:p>
            <w:pPr>
              <w:pStyle w:val="TableContents"/>
              <w:bidi w:val="0"/>
              <w:spacing w:before="0" w:after="0"/>
              <w:ind w:left="0" w:right="0" w:firstLine="400"/>
              <w:jc w:val="left"/>
              <w:rPr/>
            </w:pPr>
            <w:r>
              <w:rPr/>
              <w:t> </w:t>
            </w:r>
          </w:p>
        </w:tc>
      </w:tr>
      <w:tr>
        <w:trPr/>
        <w:tc>
          <w:tcPr>
            <w:tcW w:w="3534"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Fuel, lubes and supplies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8,457</w:t>
            </w:r>
          </w:p>
        </w:tc>
        <w:tc>
          <w:tcPr>
            <w:tcW w:w="592" w:type="dxa"/>
            <w:tcBorders/>
            <w:vAlign w:val="center"/>
          </w:tcPr>
          <w:p>
            <w:pPr>
              <w:pStyle w:val="TableContents"/>
              <w:bidi w:val="0"/>
              <w:spacing w:before="0" w:after="0"/>
              <w:ind w:left="0" w:right="0" w:firstLine="400"/>
              <w:jc w:val="left"/>
              <w:rPr/>
            </w:pPr>
            <w:r>
              <w:rPr/>
              <w:t> </w:t>
            </w:r>
          </w:p>
        </w:tc>
      </w:tr>
      <w:tr>
        <w:trPr/>
        <w:tc>
          <w:tcPr>
            <w:tcW w:w="3534"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6,119</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3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21,196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22,677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73,575</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3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Direct Vessel (Loss) Profit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18,862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20,549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15,554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53,289</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Costs and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firstLine="200"/>
              <w:jc w:val="right"/>
              <w:rPr/>
            </w:pPr>
            <w:r>
              <w:rPr/>
              <w:t> </w:t>
            </w:r>
          </w:p>
        </w:tc>
      </w:tr>
      <w:tr>
        <w:trPr/>
        <w:tc>
          <w:tcPr>
            <w:tcW w:w="353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Lease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1,418</w:t>
            </w:r>
          </w:p>
        </w:tc>
        <w:tc>
          <w:tcPr>
            <w:tcW w:w="592" w:type="dxa"/>
            <w:tcBorders/>
            <w:vAlign w:val="center"/>
          </w:tcPr>
          <w:p>
            <w:pPr>
              <w:pStyle w:val="TableContents"/>
              <w:bidi w:val="0"/>
              <w:spacing w:before="0" w:after="0"/>
              <w:ind w:left="0" w:right="0" w:firstLine="200"/>
              <w:jc w:val="left"/>
              <w:rPr/>
            </w:pPr>
            <w:r>
              <w:rPr/>
              <w:t> </w:t>
            </w:r>
          </w:p>
        </w:tc>
      </w:tr>
      <w:tr>
        <w:trPr/>
        <w:tc>
          <w:tcPr>
            <w:tcW w:w="353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Administrative and general</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25,336</w:t>
            </w:r>
          </w:p>
        </w:tc>
        <w:tc>
          <w:tcPr>
            <w:tcW w:w="592" w:type="dxa"/>
            <w:tcBorders/>
            <w:vAlign w:val="center"/>
          </w:tcPr>
          <w:p>
            <w:pPr>
              <w:pStyle w:val="TableContents"/>
              <w:bidi w:val="0"/>
              <w:spacing w:before="0" w:after="0"/>
              <w:ind w:left="0" w:right="0" w:firstLine="200"/>
              <w:jc w:val="left"/>
              <w:rPr/>
            </w:pPr>
            <w:r>
              <w:rPr/>
              <w:t> </w:t>
            </w:r>
          </w:p>
        </w:tc>
      </w:tr>
      <w:tr>
        <w:trPr/>
        <w:tc>
          <w:tcPr>
            <w:tcW w:w="353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27,337</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534" w:type="dxa"/>
            <w:tcBorders/>
            <w:vAlign w:val="center"/>
          </w:tcPr>
          <w:p>
            <w:pPr>
              <w:pStyle w:val="TableContents"/>
              <w:bidi w:val="0"/>
              <w:spacing w:before="0" w:after="283"/>
              <w:ind w:left="0" w:right="0" w:firstLine="2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54,091</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Gains on asset dispositions and impairments, net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3,864</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income</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3,062</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3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 of June 30, 2023</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35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firstLine="200"/>
              <w:jc w:val="right"/>
              <w:rPr/>
            </w:pPr>
            <w:r>
              <w:rPr/>
              <w:t> </w:t>
            </w:r>
          </w:p>
        </w:tc>
      </w:tr>
      <w:tr>
        <w:trPr/>
        <w:tc>
          <w:tcPr>
            <w:tcW w:w="353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Historical Cost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230,432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287,289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285,722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162,895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966,338</w:t>
            </w:r>
          </w:p>
        </w:tc>
        <w:tc>
          <w:tcPr>
            <w:tcW w:w="592" w:type="dxa"/>
            <w:tcBorders/>
            <w:vAlign w:val="center"/>
          </w:tcPr>
          <w:p>
            <w:pPr>
              <w:pStyle w:val="TableContents"/>
              <w:bidi w:val="0"/>
              <w:spacing w:before="0" w:after="0"/>
              <w:ind w:left="0" w:right="0" w:firstLine="200"/>
              <w:jc w:val="left"/>
              <w:rPr/>
            </w:pPr>
            <w:r>
              <w:rPr/>
              <w:t> </w:t>
            </w:r>
          </w:p>
        </w:tc>
      </w:tr>
      <w:tr>
        <w:trPr/>
        <w:tc>
          <w:tcPr>
            <w:tcW w:w="353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Accumulated Depreciation</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(107,901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(99,994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(94,761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(334,678</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534"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122,531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187,295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190,961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130,873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631,660</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34"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 xml:space="preserve">Total Assets </w:t>
            </w: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162,973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213,128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212,695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148,576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737,372</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200"/>
        <w:jc w:val="both"/>
        <w:rPr>
          <w:rFonts w:ascii="Times New Roman" w:hAnsi="Times New Roman"/>
          <w:b w:val="false"/>
          <w:sz w:val="16"/>
        </w:rPr>
      </w:pPr>
      <w:r>
        <w:rPr>
          <w:rFonts w:ascii="Times New Roman" w:hAnsi="Times New Roman"/>
          <w:b w:val="false"/>
          <w:sz w:val="16"/>
        </w:rPr>
        <w:t>(1)</w:t>
      </w:r>
    </w:p>
    <w:p>
      <w:pPr>
        <w:pStyle w:val="TextBody"/>
        <w:bidi w:val="0"/>
        <w:spacing w:before="40" w:after="200"/>
        <w:jc w:val="both"/>
        <w:rPr>
          <w:rFonts w:ascii="Calibri;sans-serif" w:hAnsi="Calibri;sans-serif"/>
          <w:sz w:val="24"/>
        </w:rPr>
      </w:pPr>
      <w:r>
        <w:rPr>
          <w:rFonts w:ascii="Times New Roman;serif" w:hAnsi="Times New Roman;serif"/>
          <w:b w:val="false"/>
          <w:sz w:val="16"/>
        </w:rPr>
        <w:t>Total assets by region does not include corporate assets of $46.8</w:t>
      </w:r>
      <w:r>
        <w:rPr>
          <w:rFonts w:ascii="Calibri;sans-serif" w:hAnsi="Calibri;sans-serif"/>
          <w:sz w:val="24"/>
        </w:rPr>
        <w:t xml:space="preserve"> </w:t>
      </w:r>
      <w:r>
        <w:rPr>
          <w:rFonts w:ascii="Times New Roman;serif" w:hAnsi="Times New Roman;serif"/>
          <w:b w:val="false"/>
          <w:sz w:val="16"/>
        </w:rPr>
        <w:t>million as of June 30, 2023</w:t>
      </w:r>
      <w:r>
        <w:rPr>
          <w:rFonts w:ascii="Times New Roman;serif" w:hAnsi="Times New Roman;serif"/>
          <w:b w:val="false"/>
          <w:sz w:val="20"/>
        </w:rPr>
        <w:t>.</w:t>
      </w:r>
    </w:p>
    <w:tbl>
      <w:tblPr>
        <w:tblW w:w="9853" w:type="dxa"/>
        <w:jc w:val="left"/>
        <w:tblInd w:w="0" w:type="dxa"/>
        <w:tblLayout w:type="fixed"/>
        <w:tblCellMar>
          <w:top w:w="28" w:type="dxa"/>
          <w:left w:w="28" w:type="dxa"/>
          <w:bottom w:w="28" w:type="dxa"/>
          <w:right w:w="28" w:type="dxa"/>
        </w:tblCellMar>
      </w:tblPr>
      <w:tblGrid>
        <w:gridCol w:w="3571"/>
        <w:gridCol w:w="146"/>
        <w:gridCol w:w="217"/>
        <w:gridCol w:w="669"/>
        <w:gridCol w:w="166"/>
        <w:gridCol w:w="146"/>
        <w:gridCol w:w="251"/>
        <w:gridCol w:w="769"/>
        <w:gridCol w:w="146"/>
        <w:gridCol w:w="146"/>
        <w:gridCol w:w="196"/>
        <w:gridCol w:w="601"/>
        <w:gridCol w:w="146"/>
        <w:gridCol w:w="146"/>
        <w:gridCol w:w="196"/>
        <w:gridCol w:w="601"/>
        <w:gridCol w:w="146"/>
        <w:gridCol w:w="146"/>
        <w:gridCol w:w="196"/>
        <w:gridCol w:w="661"/>
        <w:gridCol w:w="5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United</w:t>
              <w:br/>
              <w:t>States</w:t>
              <w:br/>
              <w:t>(primarily</w:t>
              <w:br/>
              <w:t>Gulf of</w:t>
              <w:br/>
              <w:t>Mexico)</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Africa</w:t>
              <w:br/>
              <w:t>and Europe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Middle</w:t>
              <w:br/>
              <w:t>East</w:t>
              <w:br/>
              <w:t>and Asia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Latin</w:t>
              <w:br/>
              <w:t>America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For the Three Months Ended June 30, 2022</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Revenues:</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Time charter</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13,906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49,504</w:t>
            </w:r>
          </w:p>
        </w:tc>
        <w:tc>
          <w:tcPr>
            <w:tcW w:w="591" w:type="dxa"/>
            <w:tcBorders/>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Bareboat charter</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591" w:type="dxa"/>
            <w:tcBorders/>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marine services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4,465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14,366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54,017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Costs and Expenses:</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Personnel</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18,346</w:t>
            </w:r>
          </w:p>
        </w:tc>
        <w:tc>
          <w:tcPr>
            <w:tcW w:w="591" w:type="dxa"/>
            <w:tcBorders/>
            <w:vAlign w:val="center"/>
          </w:tcPr>
          <w:p>
            <w:pPr>
              <w:pStyle w:val="TableContents"/>
              <w:bidi w:val="0"/>
              <w:spacing w:before="0" w:after="0"/>
              <w:ind w:left="0" w:right="0" w:firstLine="400"/>
              <w:jc w:val="lef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Repairs and maintenance</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8,380</w:t>
            </w:r>
          </w:p>
        </w:tc>
        <w:tc>
          <w:tcPr>
            <w:tcW w:w="591" w:type="dxa"/>
            <w:tcBorders/>
            <w:vAlign w:val="center"/>
          </w:tcPr>
          <w:p>
            <w:pPr>
              <w:pStyle w:val="TableContents"/>
              <w:bidi w:val="0"/>
              <w:spacing w:before="0" w:after="0"/>
              <w:ind w:left="0" w:right="0" w:firstLine="400"/>
              <w:jc w:val="lef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Drydocking</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6,474</w:t>
            </w:r>
          </w:p>
        </w:tc>
        <w:tc>
          <w:tcPr>
            <w:tcW w:w="591" w:type="dxa"/>
            <w:tcBorders/>
            <w:vAlign w:val="center"/>
          </w:tcPr>
          <w:p>
            <w:pPr>
              <w:pStyle w:val="TableContents"/>
              <w:bidi w:val="0"/>
              <w:spacing w:before="0" w:after="0"/>
              <w:ind w:left="0" w:right="0" w:firstLine="400"/>
              <w:jc w:val="lef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Insurance and loss reserves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2,545</w:t>
            </w:r>
          </w:p>
        </w:tc>
        <w:tc>
          <w:tcPr>
            <w:tcW w:w="591" w:type="dxa"/>
            <w:tcBorders/>
            <w:vAlign w:val="center"/>
          </w:tcPr>
          <w:p>
            <w:pPr>
              <w:pStyle w:val="TableContents"/>
              <w:bidi w:val="0"/>
              <w:spacing w:before="0" w:after="0"/>
              <w:ind w:left="0" w:right="0" w:firstLine="400"/>
              <w:jc w:val="lef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Fuel, lubes and supplies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4,350</w:t>
            </w:r>
          </w:p>
        </w:tc>
        <w:tc>
          <w:tcPr>
            <w:tcW w:w="591" w:type="dxa"/>
            <w:tcBorders/>
            <w:vAlign w:val="center"/>
          </w:tcPr>
          <w:p>
            <w:pPr>
              <w:pStyle w:val="TableContents"/>
              <w:bidi w:val="0"/>
              <w:spacing w:before="0" w:after="0"/>
              <w:ind w:left="0" w:right="0" w:firstLine="400"/>
              <w:jc w:val="lef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4,050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13,765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44,145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Direct Vessel (Loss) Profit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9,872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Costs and Expenses:</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Lease expense</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1,008</w:t>
            </w:r>
          </w:p>
        </w:tc>
        <w:tc>
          <w:tcPr>
            <w:tcW w:w="591" w:type="dxa"/>
            <w:tcBorders/>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Administrative and general</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10,210</w:t>
            </w:r>
          </w:p>
        </w:tc>
        <w:tc>
          <w:tcPr>
            <w:tcW w:w="591" w:type="dxa"/>
            <w:tcBorders/>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14,208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283"/>
              <w:ind w:left="0" w:right="0" w:firstLine="2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25,426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Gains on asset dispositions and impairments, net</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loss</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(15,529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20</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462"/>
        <w:gridCol w:w="146"/>
        <w:gridCol w:w="196"/>
        <w:gridCol w:w="751"/>
        <w:gridCol w:w="166"/>
        <w:gridCol w:w="146"/>
        <w:gridCol w:w="223"/>
        <w:gridCol w:w="790"/>
        <w:gridCol w:w="166"/>
        <w:gridCol w:w="146"/>
        <w:gridCol w:w="196"/>
        <w:gridCol w:w="691"/>
        <w:gridCol w:w="166"/>
        <w:gridCol w:w="146"/>
        <w:gridCol w:w="196"/>
        <w:gridCol w:w="691"/>
        <w:gridCol w:w="166"/>
        <w:gridCol w:w="146"/>
        <w:gridCol w:w="196"/>
        <w:gridCol w:w="826"/>
        <w:gridCol w:w="593"/>
      </w:tblGrid>
      <w:tr>
        <w:trPr/>
        <w:tc>
          <w:tcPr>
            <w:tcW w:w="3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6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United</w:t>
              <w:br/>
              <w:t>States</w:t>
              <w:br/>
              <w:t>(primarily</w:t>
              <w:br/>
              <w:t>Gulf of</w:t>
              <w:br/>
              <w:t>Mexico)</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Africa</w:t>
              <w:br/>
              <w:t>and Europe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Middle</w:t>
              <w:br/>
              <w:t>East</w:t>
              <w:br/>
              <w:t>and Asia</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Latin</w:t>
              <w:br/>
              <w:t>America</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2"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For the Six Months Ended June 30, 2022</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346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Revenues:</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46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Time charter</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17,623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27,210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19,846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92,245</w:t>
            </w:r>
          </w:p>
        </w:tc>
        <w:tc>
          <w:tcPr>
            <w:tcW w:w="593" w:type="dxa"/>
            <w:tcBorders/>
            <w:vAlign w:val="center"/>
          </w:tcPr>
          <w:p>
            <w:pPr>
              <w:pStyle w:val="TableContents"/>
              <w:bidi w:val="0"/>
              <w:spacing w:before="0" w:after="0"/>
              <w:ind w:left="0" w:right="0" w:firstLine="200"/>
              <w:jc w:val="left"/>
              <w:rPr/>
            </w:pPr>
            <w:r>
              <w:rPr/>
              <w:t> </w:t>
            </w:r>
          </w:p>
        </w:tc>
      </w:tr>
      <w:tr>
        <w:trPr/>
        <w:tc>
          <w:tcPr>
            <w:tcW w:w="346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Bareboat charter</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666</w:t>
            </w:r>
          </w:p>
        </w:tc>
        <w:tc>
          <w:tcPr>
            <w:tcW w:w="593" w:type="dxa"/>
            <w:tcBorders/>
            <w:vAlign w:val="center"/>
          </w:tcPr>
          <w:p>
            <w:pPr>
              <w:pStyle w:val="TableContents"/>
              <w:bidi w:val="0"/>
              <w:spacing w:before="0" w:after="0"/>
              <w:ind w:left="0" w:right="0" w:firstLine="200"/>
              <w:jc w:val="left"/>
              <w:rPr/>
            </w:pPr>
            <w:r>
              <w:rPr/>
              <w:t> </w:t>
            </w:r>
          </w:p>
        </w:tc>
      </w:tr>
      <w:tr>
        <w:trPr/>
        <w:tc>
          <w:tcPr>
            <w:tcW w:w="346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6,697</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22,074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27,666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28,075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21,793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99,608</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Costs and Expenses:</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46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346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Personnel</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36,781</w:t>
            </w:r>
          </w:p>
        </w:tc>
        <w:tc>
          <w:tcPr>
            <w:tcW w:w="593" w:type="dxa"/>
            <w:tcBorders/>
            <w:vAlign w:val="center"/>
          </w:tcPr>
          <w:p>
            <w:pPr>
              <w:pStyle w:val="TableContents"/>
              <w:bidi w:val="0"/>
              <w:spacing w:before="0" w:after="0"/>
              <w:ind w:left="0" w:right="0" w:firstLine="400"/>
              <w:jc w:val="left"/>
              <w:rPr/>
            </w:pPr>
            <w:r>
              <w:rPr/>
              <w:t> </w:t>
            </w:r>
          </w:p>
        </w:tc>
      </w:tr>
      <w:tr>
        <w:trPr/>
        <w:tc>
          <w:tcPr>
            <w:tcW w:w="346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Repairs and maintenance</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15,171</w:t>
            </w:r>
          </w:p>
        </w:tc>
        <w:tc>
          <w:tcPr>
            <w:tcW w:w="593" w:type="dxa"/>
            <w:tcBorders/>
            <w:vAlign w:val="center"/>
          </w:tcPr>
          <w:p>
            <w:pPr>
              <w:pStyle w:val="TableContents"/>
              <w:bidi w:val="0"/>
              <w:spacing w:before="0" w:after="0"/>
              <w:ind w:left="0" w:right="0" w:firstLine="400"/>
              <w:jc w:val="left"/>
              <w:rPr/>
            </w:pPr>
            <w:r>
              <w:rPr/>
              <w:t> </w:t>
            </w:r>
          </w:p>
        </w:tc>
      </w:tr>
      <w:tr>
        <w:trPr/>
        <w:tc>
          <w:tcPr>
            <w:tcW w:w="346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Drydocking</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11,447</w:t>
            </w:r>
          </w:p>
        </w:tc>
        <w:tc>
          <w:tcPr>
            <w:tcW w:w="593" w:type="dxa"/>
            <w:tcBorders/>
            <w:vAlign w:val="center"/>
          </w:tcPr>
          <w:p>
            <w:pPr>
              <w:pStyle w:val="TableContents"/>
              <w:bidi w:val="0"/>
              <w:spacing w:before="0" w:after="0"/>
              <w:ind w:left="0" w:right="0" w:firstLine="400"/>
              <w:jc w:val="left"/>
              <w:rPr/>
            </w:pPr>
            <w:r>
              <w:rPr/>
              <w:t> </w:t>
            </w:r>
          </w:p>
        </w:tc>
      </w:tr>
      <w:tr>
        <w:trPr/>
        <w:tc>
          <w:tcPr>
            <w:tcW w:w="346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Insurance and loss reserves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3,731</w:t>
            </w:r>
          </w:p>
        </w:tc>
        <w:tc>
          <w:tcPr>
            <w:tcW w:w="593" w:type="dxa"/>
            <w:tcBorders/>
            <w:vAlign w:val="center"/>
          </w:tcPr>
          <w:p>
            <w:pPr>
              <w:pStyle w:val="TableContents"/>
              <w:bidi w:val="0"/>
              <w:spacing w:before="0" w:after="0"/>
              <w:ind w:left="0" w:right="0" w:firstLine="400"/>
              <w:jc w:val="left"/>
              <w:rPr/>
            </w:pPr>
            <w:r>
              <w:rPr/>
              <w:t> </w:t>
            </w:r>
          </w:p>
        </w:tc>
      </w:tr>
      <w:tr>
        <w:trPr/>
        <w:tc>
          <w:tcPr>
            <w:tcW w:w="346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Fuel, lubes and supplies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8,079</w:t>
            </w:r>
          </w:p>
        </w:tc>
        <w:tc>
          <w:tcPr>
            <w:tcW w:w="593" w:type="dxa"/>
            <w:tcBorders/>
            <w:vAlign w:val="center"/>
          </w:tcPr>
          <w:p>
            <w:pPr>
              <w:pStyle w:val="TableContents"/>
              <w:bidi w:val="0"/>
              <w:spacing w:before="0" w:after="0"/>
              <w:ind w:left="0" w:right="0" w:firstLine="400"/>
              <w:jc w:val="left"/>
              <w:rPr/>
            </w:pPr>
            <w:r>
              <w:rPr/>
              <w:t> </w:t>
            </w:r>
          </w:p>
        </w:tc>
      </w:tr>
      <w:tr>
        <w:trPr/>
        <w:tc>
          <w:tcPr>
            <w:tcW w:w="346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8,432</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23,422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25,734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14,813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83,641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2"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Direct Vessel (Loss) Profit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15,967</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Costs and Expenses:</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46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Lease expense</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2,068</w:t>
            </w:r>
          </w:p>
        </w:tc>
        <w:tc>
          <w:tcPr>
            <w:tcW w:w="593" w:type="dxa"/>
            <w:tcBorders/>
            <w:vAlign w:val="center"/>
          </w:tcPr>
          <w:p>
            <w:pPr>
              <w:pStyle w:val="TableContents"/>
              <w:bidi w:val="0"/>
              <w:spacing w:before="0" w:after="0"/>
              <w:ind w:left="0" w:right="0" w:firstLine="200"/>
              <w:jc w:val="left"/>
              <w:rPr/>
            </w:pPr>
            <w:r>
              <w:rPr/>
              <w:t> </w:t>
            </w:r>
          </w:p>
        </w:tc>
      </w:tr>
      <w:tr>
        <w:trPr/>
        <w:tc>
          <w:tcPr>
            <w:tcW w:w="346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Administrative and general</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20,134</w:t>
            </w:r>
          </w:p>
        </w:tc>
        <w:tc>
          <w:tcPr>
            <w:tcW w:w="593" w:type="dxa"/>
            <w:tcBorders/>
            <w:vAlign w:val="center"/>
          </w:tcPr>
          <w:p>
            <w:pPr>
              <w:pStyle w:val="TableContents"/>
              <w:bidi w:val="0"/>
              <w:spacing w:before="0" w:after="0"/>
              <w:ind w:left="0" w:right="0" w:firstLine="200"/>
              <w:jc w:val="left"/>
              <w:rPr/>
            </w:pPr>
            <w:r>
              <w:rPr/>
              <w:t> </w:t>
            </w:r>
          </w:p>
        </w:tc>
      </w:tr>
      <w:tr>
        <w:trPr/>
        <w:tc>
          <w:tcPr>
            <w:tcW w:w="346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28,579</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50,781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Gains on asset dispositions and impairments, net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2,164</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loss</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(32,650</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462"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 of June 30, 2022</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346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46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Historical Cost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269,717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247,967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322,091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160,372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1,000,147</w:t>
            </w:r>
          </w:p>
        </w:tc>
        <w:tc>
          <w:tcPr>
            <w:tcW w:w="593" w:type="dxa"/>
            <w:tcBorders/>
            <w:vAlign w:val="center"/>
          </w:tcPr>
          <w:p>
            <w:pPr>
              <w:pStyle w:val="TableContents"/>
              <w:bidi w:val="0"/>
              <w:spacing w:before="0" w:after="0"/>
              <w:ind w:left="0" w:right="0" w:firstLine="200"/>
              <w:jc w:val="left"/>
              <w:rPr/>
            </w:pPr>
            <w:r>
              <w:rPr/>
              <w:t> </w:t>
            </w:r>
          </w:p>
        </w:tc>
      </w:tr>
      <w:tr>
        <w:trPr/>
        <w:tc>
          <w:tcPr>
            <w:tcW w:w="346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Accumulated Depreciation</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(130,737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(76,742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(89,634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(27,978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(325,091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462"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138,980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171,225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232,457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132,394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675,056</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2"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 xml:space="preserve">Total Assets </w:t>
            </w: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170,831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194,632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244,606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215,755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825,824</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Times New Roman" w:hAnsi="Times New Roman"/>
          <w:b w:val="false"/>
          <w:sz w:val="16"/>
        </w:rPr>
      </w:pPr>
      <w:r>
        <w:rPr>
          <w:rFonts w:ascii="Times New Roman" w:hAnsi="Times New Roman"/>
          <w:b w:val="false"/>
          <w:sz w:val="16"/>
        </w:rPr>
        <w:t>(1)</w:t>
      </w:r>
    </w:p>
    <w:p>
      <w:pPr>
        <w:pStyle w:val="TextBody"/>
        <w:bidi w:val="0"/>
        <w:spacing w:before="40" w:after="283"/>
        <w:jc w:val="both"/>
        <w:rPr>
          <w:rFonts w:ascii="Calibri;sans-serif" w:hAnsi="Calibri;sans-serif"/>
          <w:sz w:val="24"/>
        </w:rPr>
      </w:pPr>
      <w:r>
        <w:rPr>
          <w:rFonts w:ascii="Times New Roman;serif" w:hAnsi="Times New Roman;serif"/>
          <w:b w:val="false"/>
          <w:sz w:val="16"/>
        </w:rPr>
        <w:t>Total assets by region does not include corporate assets of $51.3</w:t>
      </w:r>
      <w:r>
        <w:rPr>
          <w:rFonts w:ascii="Calibri;sans-serif" w:hAnsi="Calibri;sans-serif"/>
          <w:sz w:val="24"/>
        </w:rPr>
        <w:t xml:space="preserve"> </w:t>
      </w:r>
      <w:r>
        <w:rPr>
          <w:rFonts w:ascii="Times New Roman;serif" w:hAnsi="Times New Roman;serif"/>
          <w:b w:val="false"/>
          <w:sz w:val="16"/>
        </w:rPr>
        <w:t>million as of June 30, 2022.</w:t>
      </w:r>
    </w:p>
    <w:p>
      <w:pPr>
        <w:pStyle w:val="TextBody"/>
        <w:bidi w:val="0"/>
        <w:spacing w:before="200" w:after="0"/>
        <w:jc w:val="both"/>
        <w:rPr>
          <w:rFonts w:ascii="Times New Roman" w:hAnsi="Times New Roman"/>
          <w:sz w:val="20"/>
        </w:rPr>
      </w:pPr>
      <w:r>
        <w:rPr>
          <w:rFonts w:ascii="Times New Roman;serif" w:hAnsi="Times New Roman;serif"/>
          <w:b w:val="false"/>
          <w:sz w:val="24"/>
        </w:rPr>
        <w:t>The Company’s investments in 50% or less owned companies, which are accounted for under the equity method, also contribute to its consolidated results of operations. As of June 30, 2023, and 2022, the Company’s investments, at equity and advances to 50% or less owned companies in its other 50% or less owned companies were $3.3</w:t>
      </w:r>
      <w:r>
        <w:rPr>
          <w:rFonts w:ascii="Times New Roman" w:hAnsi="Times New Roman"/>
          <w:sz w:val="20"/>
        </w:rPr>
        <w:t xml:space="preserve"> </w:t>
      </w:r>
      <w:r>
        <w:rPr>
          <w:rFonts w:ascii="Times New Roman;serif" w:hAnsi="Times New Roman;serif"/>
          <w:b w:val="false"/>
          <w:sz w:val="24"/>
        </w:rPr>
        <w:t>million and $75.9</w:t>
      </w:r>
      <w:r>
        <w:rPr>
          <w:rFonts w:ascii="Times New Roman" w:hAnsi="Times New Roman"/>
          <w:sz w:val="20"/>
        </w:rPr>
        <w:t xml:space="preserve"> </w:t>
      </w:r>
      <w:r>
        <w:rPr>
          <w:rFonts w:ascii="Times New Roman;serif" w:hAnsi="Times New Roman;serif"/>
          <w:b w:val="false"/>
          <w:sz w:val="24"/>
        </w:rPr>
        <w:t>million, respectively. The significant decrease is the result of the sale of the Company’s interests in MexMar and Offshore Vessels Holding, S.A.P.I. de C.V. (“OVH”). Equity in earnings of 50% or less owned companies for the six months ended June 30, 2023 and 2022</w:t>
      </w:r>
      <w:r>
        <w:rPr>
          <w:rFonts w:ascii="Times New Roman" w:hAnsi="Times New Roman"/>
          <w:sz w:val="20"/>
        </w:rPr>
        <w:t xml:space="preserve"> </w:t>
      </w:r>
      <w:r>
        <w:rPr>
          <w:rFonts w:ascii="Times New Roman;serif" w:hAnsi="Times New Roman;serif"/>
          <w:b w:val="false"/>
          <w:sz w:val="24"/>
        </w:rPr>
        <w:t>were $0.9</w:t>
      </w:r>
      <w:r>
        <w:rPr>
          <w:rFonts w:ascii="Times New Roman" w:hAnsi="Times New Roman"/>
          <w:sz w:val="20"/>
        </w:rPr>
        <w:t xml:space="preserve"> </w:t>
      </w:r>
      <w:r>
        <w:rPr>
          <w:rFonts w:ascii="Times New Roman;serif" w:hAnsi="Times New Roman;serif"/>
          <w:b w:val="false"/>
          <w:sz w:val="24"/>
        </w:rPr>
        <w:t>million and $6.1</w:t>
      </w:r>
      <w:r>
        <w:rPr>
          <w:rFonts w:ascii="Times New Roman" w:hAnsi="Times New Roman"/>
          <w:sz w:val="20"/>
        </w:rPr>
        <w:t xml:space="preserve"> </w:t>
      </w:r>
      <w:r>
        <w:rPr>
          <w:rFonts w:ascii="Times New Roman;serif" w:hAnsi="Times New Roman;serif"/>
          <w:b w:val="false"/>
          <w:sz w:val="24"/>
        </w:rPr>
        <w:t>million, respectively.</w:t>
      </w:r>
    </w:p>
    <w:p>
      <w:pPr>
        <w:pStyle w:val="TextBody"/>
        <w:bidi w:val="0"/>
        <w:spacing w:before="200" w:after="0"/>
        <w:jc w:val="both"/>
        <w:rPr>
          <w:rFonts w:ascii="Times New Roman" w:hAnsi="Times New Roman"/>
          <w:b/>
          <w:sz w:val="24"/>
        </w:rPr>
      </w:pPr>
      <w:r>
        <w:rPr>
          <w:rFonts w:ascii="Times New Roman" w:hAnsi="Times New Roman"/>
          <w:b/>
          <w:sz w:val="24"/>
        </w:rPr>
        <w:t>14.</w:t>
      </w:r>
    </w:p>
    <w:p>
      <w:pPr>
        <w:pStyle w:val="TextBody"/>
        <w:bidi w:val="0"/>
        <w:spacing w:before="200" w:after="283"/>
        <w:jc w:val="both"/>
        <w:rPr>
          <w:rFonts w:ascii="Times New Roman;serif" w:hAnsi="Times New Roman;serif"/>
          <w:b/>
          <w:sz w:val="24"/>
        </w:rPr>
      </w:pPr>
      <w:r>
        <w:rPr>
          <w:rFonts w:ascii="Times New Roman;serif" w:hAnsi="Times New Roman;serif"/>
          <w:b/>
          <w:sz w:val="24"/>
        </w:rPr>
        <w:t>SUBSEQUENT EVENTS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The Company has evaluated subsequent events through the filing of this Quarterly Report on Form 10-Q and determined that there have been no material events that have occurred that are not properly recognized and/or disclosed in the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22</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sz w:val="20"/>
        </w:rPr>
      </w:pPr>
      <w:bookmarkStart w:id="11" w:name="item_2_managements_discussion_analysis_f"/>
      <w:bookmarkEnd w:id="11"/>
      <w:r>
        <w:rPr>
          <w:rFonts w:ascii="Times New Roman;serif" w:hAnsi="Times New Roman;serif"/>
          <w:b/>
          <w:sz w:val="24"/>
        </w:rPr>
        <w:t>ITEM 2. MANAGEMENT’S DISCUSSION AND ANALYSIS OF</w:t>
      </w:r>
      <w:r>
        <w:rPr>
          <w:rFonts w:ascii="Times New Roman" w:hAnsi="Times New Roman"/>
          <w:sz w:val="20"/>
        </w:rPr>
        <w:t xml:space="preserve"> </w:t>
      </w:r>
      <w:r>
        <w:rPr>
          <w:rFonts w:ascii="Times New Roman;serif" w:hAnsi="Times New Roman;serif"/>
          <w:b/>
          <w:sz w:val="24"/>
        </w:rPr>
        <w:t>FINANCIAL CONDITION AND RESULTS OF OPERATIONS</w:t>
      </w:r>
    </w:p>
    <w:p>
      <w:pPr>
        <w:pStyle w:val="TextBody"/>
        <w:bidi w:val="0"/>
        <w:spacing w:before="200" w:after="0"/>
        <w:jc w:val="both"/>
        <w:rPr>
          <w:rFonts w:ascii="Times New Roman;serif" w:hAnsi="Times New Roman;serif"/>
          <w:b w:val="false"/>
          <w:i/>
          <w:sz w:val="24"/>
        </w:rPr>
      </w:pPr>
      <w:r>
        <w:rPr>
          <w:rFonts w:ascii="Times New Roman;serif" w:hAnsi="Times New Roman;serif"/>
          <w:b w:val="false"/>
          <w:i/>
          <w:sz w:val="24"/>
        </w:rPr>
        <w:t>This Form 10-Q includes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the Risk Factors and Management’s Discussion and Analysis of Financial Condition and Results of Operations of the Company’s 2022 Annual Report on Form 10-K and this Quarterly Report on Form 10-Q.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 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United States Securities and Exchange Commission.</w:t>
      </w:r>
    </w:p>
    <w:p>
      <w:pPr>
        <w:pStyle w:val="TextBody"/>
        <w:bidi w:val="0"/>
        <w:spacing w:before="200" w:after="0"/>
        <w:jc w:val="both"/>
        <w:rPr>
          <w:rFonts w:ascii="Times New Roman;serif" w:hAnsi="Times New Roman;serif"/>
          <w:b w:val="false"/>
          <w:i/>
          <w:sz w:val="24"/>
        </w:rPr>
      </w:pPr>
      <w:r>
        <w:rPr>
          <w:rFonts w:ascii="Times New Roman;serif" w:hAnsi="Times New Roman;serif"/>
          <w:b w:val="false"/>
          <w:i/>
          <w:sz w:val="24"/>
        </w:rPr>
        <w:t>The following Management’s Discussion and Analysis (the “MD&amp;A”) is intended to help the reader understand the Company’s financial condition and results of operations. The MD&amp;A is provided as a supplement to and should be read in conjunction with the unaudited consolidated financial statements and notes thereto included in this Quarterly Report on Form 10-Q, as well as “Management’s Discussion and Analysis of Financial Condition and Results of Operations” contained in the 2022 Annual Report.</w:t>
      </w:r>
    </w:p>
    <w:p>
      <w:pPr>
        <w:pStyle w:val="TextBody"/>
        <w:bidi w:val="0"/>
        <w:spacing w:before="200" w:after="0"/>
        <w:jc w:val="both"/>
        <w:rPr>
          <w:rFonts w:ascii="Times New Roman;serif" w:hAnsi="Times New Roman;serif"/>
          <w:b/>
          <w:sz w:val="24"/>
        </w:rPr>
      </w:pPr>
      <w:r>
        <w:rPr>
          <w:rFonts w:ascii="Times New Roman;serif" w:hAnsi="Times New Roman;serif"/>
          <w:b/>
          <w:sz w:val="24"/>
        </w:rPr>
        <w:t>Overview</w:t>
      </w:r>
    </w:p>
    <w:p>
      <w:pPr>
        <w:pStyle w:val="TextBody"/>
        <w:bidi w:val="0"/>
        <w:spacing w:before="200" w:after="0"/>
        <w:jc w:val="both"/>
        <w:rPr>
          <w:rFonts w:ascii="Times New Roman" w:hAnsi="Times New Roman"/>
          <w:sz w:val="20"/>
        </w:rPr>
      </w:pPr>
      <w:r>
        <w:rPr>
          <w:rFonts w:ascii="Times New Roman;serif" w:hAnsi="Times New Roman;serif"/>
          <w:b w:val="false"/>
          <w:sz w:val="24"/>
        </w:rPr>
        <w:t>The Company provides global marine and support transportation services to offshore energy facilities worldwide. As of June 30, 2023, the Company operated a diverse fleet of 59 support vessels, of which 57 were owned or leased-in, and two were managed on behalf of unaffiliated third parties. The primary users of the Company’s services are major integrated national and international oil companies, independent oil and natural gas exploration and production companies, oil field service and construction companies, as well as offshore wind farm operators and offshore wind farm installation and maintenance companies.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4"/>
        </w:rPr>
        <w:t>The Company operates and manages a diverse fleet of offshore support vessels that (i) deliver cargo and personnel to offshore installations, including offshore wind farms, (ii) assist offshore operations for production and storage facilities, (iii) provide construction, well work-over, offshore wind farm installation and decommissioning support, (iv) carry and launch equipment used underwater in drilling and well installation, maintenance, inspection and repair and (v) handle anchors and mooring equipment for offshore rigs and platforms. Additionally, the Company’s vessels provide emergency response services and accommodations for technicians and specialists.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4"/>
        </w:rPr>
        <w:t>The Company operates its fleet in four principal geographic regions: the U.S., primarily in the Gulf of Mexico; Africa and Europe; the Middle East and Asia; and Latin America, primarily in Mexico and Guyana. The Company’s vessels are highly mobile and regularly and routinely move between countries within a geographic region. In addition, the Company’s vessels are redeployed among geographic regions, subject to flag restrictions, as changes in market conditions dictate.</w:t>
      </w:r>
      <w:r>
        <w:rPr>
          <w:rFonts w:ascii="Times New Roman" w:hAnsi="Times New Roman"/>
          <w:sz w:val="20"/>
        </w:rPr>
        <w:t xml:space="preserve"> </w:t>
      </w:r>
    </w:p>
    <w:p>
      <w:pPr>
        <w:pStyle w:val="TextBody"/>
        <w:bidi w:val="0"/>
        <w:spacing w:before="200" w:after="0"/>
        <w:jc w:val="both"/>
        <w:rPr>
          <w:rFonts w:ascii="Times New Roman;serif" w:hAnsi="Times New Roman;serif"/>
          <w:b/>
          <w:i/>
          <w:sz w:val="24"/>
        </w:rPr>
      </w:pPr>
      <w:r>
        <w:rPr>
          <w:rFonts w:ascii="Times New Roman;serif" w:hAnsi="Times New Roman;serif"/>
          <w:b/>
          <w:i/>
          <w:sz w:val="24"/>
        </w:rPr>
        <w:t>Significant items affecting our results of operations</w:t>
      </w:r>
    </w:p>
    <w:p>
      <w:pPr>
        <w:pStyle w:val="TextBody"/>
        <w:bidi w:val="0"/>
        <w:spacing w:before="200" w:after="0"/>
        <w:jc w:val="both"/>
        <w:rPr>
          <w:rFonts w:ascii="Times New Roman" w:hAnsi="Times New Roman"/>
          <w:sz w:val="20"/>
        </w:rPr>
      </w:pPr>
      <w:r>
        <w:rPr>
          <w:rFonts w:ascii="Times New Roman;serif" w:hAnsi="Times New Roman;serif"/>
          <w:b w:val="false"/>
          <w:sz w:val="24"/>
        </w:rPr>
        <w:t>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23</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in rates per day worked and utilization. The Company manages its fleet utilizing a global network of shore side support, administrative and finance personnel.</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Offshore oil and natural gas market conditions are highly volatile. Prices deteriorated beginning in the second half of 2014 and continued to deteriorate when oil prices hit a 13-year low of less than $27 per barrel (on the New York Mercantile Exchange) in February 2016. Oil prices experienced unprecedented volatility during 2020 due to the COVID-19 pandemic and the related effects on the global economy, with the price per barrel going negative for a short period of time. Oil prices have steadily increased since the lows hit at the beginning of the COVID-19 pandemic and hit a multi-year high of $122 per barrel at points during 2022 primarily as a result of the conflict between Russia and Ukraine as well as the related economic sanctions and economic uncertainty but have recently decreased to the $71 per barrel range.</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While the Company has experienced difficult market conditions over the past few years due to low and volatile oil and natural gas prices and the focus of oil and natural gas producing companies on cost and capital spending budget reductions, the increases since the lows experienced during the COVID-19 pandemic in oil and natural gas prices has led to an increase in utilization, day rates and customer inquiries about potential new charters.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Low oil prices and the subsequent decline in offshore exploration have forced many operators in the industry to restructure or liquidate assets. The Company continues to closely monitor the delivery of newly built offshore support vessels to the industry-wide fleet, which in the recent past contributed to an oversaturated market, thereby further lowering the demand for the Company’s existing offshore support vessel fleet. A combination of (i) low customer exploration and drilling activity levels, and (ii) excess supply of offshore support vessels whether from laid up fleets or newly built vessels could, in isolation or together, have a material adverse effect on the Company’s business, financial position, results of operations, cash flows and growth prospects.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Certain macro drivers somewhat independent of oil and natural gas prices may support the Company’s business, including: (i) underspending by oil and natural gas producers during the recent industry downturn leading to pent up demand for maintenance and growth capital expenditures; (ii) improved extraction technologies; and (iii) the need for offshore wind farms support as the industry grows. While the Company expects that alternative forms of energy will continue to grow and add to the world’s energy mix, especially as governments, supranational groups and various other parties focus on climate change causes and concerns, the Company believes that for the foreseeable future demand for gasoline and oil will be sustained, as will demand for electricity from natural gas. Some alternative forms of energy such as offshore wind farms support some of the Company’s businesses and the Company expects such support to increase as development of renewable energy expands.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June 30, 2023, one of the Company’s 59 owned and leased-in vessels was cold-stacked.</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24</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serif" w:hAnsi="Times New Roman;serif"/>
          <w:b/>
          <w:sz w:val="24"/>
        </w:rPr>
      </w:pPr>
      <w:r>
        <w:rPr>
          <w:rFonts w:ascii="Times New Roman;serif" w:hAnsi="Times New Roman;serif"/>
          <w:b/>
          <w:sz w:val="24"/>
        </w:rPr>
        <w:t>Recent Developments</w:t>
      </w:r>
    </w:p>
    <w:p>
      <w:pPr>
        <w:pStyle w:val="TextBody"/>
        <w:bidi w:val="0"/>
        <w:spacing w:before="200" w:after="0"/>
        <w:jc w:val="both"/>
        <w:rPr>
          <w:rFonts w:ascii="Times New Roman" w:hAnsi="Times New Roman"/>
          <w:sz w:val="20"/>
        </w:rPr>
      </w:pPr>
      <w:r>
        <w:rPr>
          <w:rFonts w:ascii="Times New Roman;serif" w:hAnsi="Times New Roman;serif"/>
          <w:b/>
          <w:i/>
          <w:sz w:val="24"/>
        </w:rPr>
        <w:t>SEACOR Alpine Credit Facility.</w:t>
      </w:r>
      <w:r>
        <w:rPr>
          <w:rFonts w:ascii="Times New Roman" w:hAnsi="Times New Roman"/>
          <w:sz w:val="20"/>
        </w:rPr>
        <w:t xml:space="preserve"> </w:t>
      </w:r>
      <w:r>
        <w:rPr>
          <w:rFonts w:ascii="Times New Roman;serif" w:hAnsi="Times New Roman;serif"/>
          <w:b w:val="false"/>
          <w:sz w:val="24"/>
        </w:rPr>
        <w:t>On June 16, 2023, SEACOR Marine, as a guarantor, the SEACOR Alpine Borrowers, as borrowers, and SM Alpine, as a guarantor, each a wholly-owned subsidiary of SEACOR Marine, entered into a $28.0 million senior secured term loan facility with Mountain Supply LLC, an affiliate of Hudson Structured Capital Management, as lender, facility agent and security trustee (the “SEACOR Alpine Credit Facility” and such agreement being the “SEACOR Alpine Credit Agreement”). The proceeds of the SEACOR Alpine Credit Facility were made available to the SEACOR Alpine Borrowers in three tranches and were used to satisfy in full amounts outstanding under certain shipyard financing provided by COSCO Shipping Heavy Industry (Zhoushan) Co. in connection with the newbuild delivery of three Marshall Islands flagged platform supply vessels to the SEACOR Alpine Borrowers during 2019 and 2020. The funds available under the SEACOR Alpine Credit Facility were fully drawn on June 27, 2023.</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The SEACOR Alpine Credit Facility matures in June 2028 (the “SEACOR Alpine Maturity Date”). The principal amount of each of the three tranches of the SEACOR Alpine Credit Facility is to be repaid in monthly installments of (i) $100,000 for the first eight (8) installments, (ii) $140,000 for the following twenty-four (24) installments, and (iii) $100,000 for each installment thereafter until the SEACOR Alpine Maturity Date. The SEACOR Alpine Credit Facility bears interest at a fixed rate of 10.25% per annum. The loan may be prepaid at any time in amounts of $500,000 or greater, subject to the payment of prepayment interest in respect of the loan or tranche (or portions thereof) being prepaid as follows: (A) if such prepayment is made prior to the first anniversary of the drawdown date, an amount equal to the greater of (x) the amount of unpaid interest which would have accrued until the first anniversary of the drawdown date and (y) 1.5% of the principal amount of the loan which was prepaid, (B) if such prepayment is made on or after the first anniversary of the drawdown date but prior to the third anniversary of the drawdown date, 1.0% of the principal amount of the loan which was prepaid, and (C) if such prepayment is made on or after the third anniversary of the drawdown date, no prepayment interest shall be payable.</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The SEACOR Alpine Credit Facility contains customary covenants for financings of this type including financial maintenance and restrictive covenants, including the maintenance of certain ratios such as the aggregate collateral vessel value to the sum of the outstanding principal amounts of the loans. The SEACOR Alpine Credit Facility restricts the payment of dividends and distributions and the ability of the SEACOR Alpine Borrowers to make certain investments. In addition, the SEACOR Alpine Credit Facility includes customary events of default.</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In connection with the SEACOR Alpine Credit Facility, SEACOR Marine issued a guaranty with respect to the obligations of the SEACOR Alpine Borrowers under the SEACOR Alpine Credit Agreement and related documents. This guaranty includes, among other customary covenants, various financial covenants, including minimum liquidity, and debt-to-capitalization and interest coverage ratios.</w:t>
      </w:r>
    </w:p>
    <w:p>
      <w:pPr>
        <w:pStyle w:val="TextBody"/>
        <w:bidi w:val="0"/>
        <w:spacing w:before="200" w:after="0"/>
        <w:jc w:val="both"/>
        <w:rPr>
          <w:rFonts w:ascii="Times New Roman" w:hAnsi="Times New Roman"/>
          <w:sz w:val="20"/>
        </w:rPr>
      </w:pPr>
      <w:r>
        <w:rPr>
          <w:rFonts w:ascii="Times New Roman;serif" w:hAnsi="Times New Roman;serif"/>
          <w:b/>
          <w:i/>
          <w:sz w:val="24"/>
        </w:rPr>
        <w:t>SEACOR Marine Foreign Holdings Credit Facility.</w:t>
      </w:r>
      <w:r>
        <w:rPr>
          <w:rFonts w:ascii="Times New Roman" w:hAnsi="Times New Roman"/>
          <w:sz w:val="20"/>
        </w:rPr>
        <w:t xml:space="preserve"> </w:t>
      </w:r>
      <w:r>
        <w:rPr>
          <w:rFonts w:ascii="Times New Roman;serif" w:hAnsi="Times New Roman;serif"/>
          <w:b w:val="false"/>
          <w:sz w:val="24"/>
        </w:rPr>
        <w:t>On March 2, 2023, the Company and SMFH entered into Amendment No. 7 (“SMFH Amendment No. 7”) to that certain Second Amended and Restated Guaranty, dated as of September 29, 2022, issued by the Company in favor of DNB Bank ASA, New York Branch, as security trustee (the “Second A&amp;R SMFH Credit Facility Guaranty”) in connection with that certain senior secured loan facility with a syndicate of lenders administered by DNB Bank ASA, New York Branch, dated as of September 26, 2018 and as amended from time to time (the “SMFH Credit Facility”). SMFH Amendment No. 7 extends the date through which the Company is required to maintain an interest coverage ratio of 1.50:1.00 (as calculated in accordance with the Second A&amp;R SMFH Credit Facility Guaranty) from December 31, 2022 to June 30, 2023. As of the last day of each fiscal quarter thereafter, the interest coverage ratio is required to be at least 2.00:1.00.</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25</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sz w:val="20"/>
        </w:rPr>
      </w:pPr>
      <w:r>
        <w:rPr>
          <w:rFonts w:ascii="Times New Roman;serif" w:hAnsi="Times New Roman;serif"/>
          <w:b/>
          <w:sz w:val="24"/>
        </w:rPr>
        <w:t>Consolidated</w:t>
      </w:r>
      <w:r>
        <w:rPr>
          <w:rFonts w:ascii="Times New Roman" w:hAnsi="Times New Roman"/>
          <w:sz w:val="20"/>
        </w:rPr>
        <w:t xml:space="preserve"> </w:t>
      </w:r>
      <w:r>
        <w:rPr>
          <w:rFonts w:ascii="Times New Roman;serif" w:hAnsi="Times New Roman;serif"/>
          <w:b/>
          <w:sz w:val="24"/>
        </w:rPr>
        <w:t>Results of Operations</w:t>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The sections below provide an analysis of the Company’s results of operations for the three and six months (“Current Year Quarter” and “Current Year Six Months”) ended June 30, 2023 compared with the three and six months (“Prior Year Quarter” and “Prior Year Six Months”) ended June 30, 2022. Except as otherwise noted, there have been no material changes since the end of the Company’s fiscal year ended December 31, 2022, in the Company’s results of operations. For the periods indicated, the Company’s consolidated results of operations were as follows (in thousands, except statistics):</w:t>
      </w:r>
    </w:p>
    <w:tbl>
      <w:tblPr>
        <w:tblW w:w="10598" w:type="dxa"/>
        <w:jc w:val="left"/>
        <w:tblInd w:w="0" w:type="dxa"/>
        <w:tblLayout w:type="fixed"/>
        <w:tblCellMar>
          <w:top w:w="28" w:type="dxa"/>
          <w:left w:w="28" w:type="dxa"/>
          <w:bottom w:w="28" w:type="dxa"/>
          <w:right w:w="28" w:type="dxa"/>
        </w:tblCellMar>
      </w:tblPr>
      <w:tblGrid>
        <w:gridCol w:w="1421"/>
        <w:gridCol w:w="146"/>
        <w:gridCol w:w="196"/>
        <w:gridCol w:w="601"/>
        <w:gridCol w:w="256"/>
        <w:gridCol w:w="146"/>
        <w:gridCol w:w="146"/>
        <w:gridCol w:w="376"/>
        <w:gridCol w:w="256"/>
        <w:gridCol w:w="146"/>
        <w:gridCol w:w="196"/>
        <w:gridCol w:w="661"/>
        <w:gridCol w:w="256"/>
        <w:gridCol w:w="146"/>
        <w:gridCol w:w="146"/>
        <w:gridCol w:w="376"/>
        <w:gridCol w:w="256"/>
        <w:gridCol w:w="146"/>
        <w:gridCol w:w="196"/>
        <w:gridCol w:w="691"/>
        <w:gridCol w:w="256"/>
        <w:gridCol w:w="146"/>
        <w:gridCol w:w="146"/>
        <w:gridCol w:w="376"/>
        <w:gridCol w:w="256"/>
        <w:gridCol w:w="146"/>
        <w:gridCol w:w="196"/>
        <w:gridCol w:w="691"/>
        <w:gridCol w:w="256"/>
        <w:gridCol w:w="146"/>
        <w:gridCol w:w="146"/>
        <w:gridCol w:w="376"/>
        <w:gridCol w:w="701"/>
      </w:tblGrid>
      <w:tr>
        <w:trPr/>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4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90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02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Time Charter Statistics: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200"/>
              <w:jc w:val="right"/>
              <w:rPr/>
            </w:pPr>
            <w:r>
              <w:rPr/>
              <w:t> </w:t>
            </w:r>
          </w:p>
        </w:tc>
      </w:tr>
      <w:tr>
        <w:trPr/>
        <w:tc>
          <w:tcPr>
            <w:tcW w:w="142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Average Rates Per Day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15,250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12,149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14,789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11,746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200"/>
              <w:jc w:val="right"/>
              <w:rPr/>
            </w:pPr>
            <w:r>
              <w:rPr/>
              <w:t> </w:t>
            </w:r>
          </w:p>
        </w:tc>
      </w:tr>
      <w:tr>
        <w:trPr/>
        <w:tc>
          <w:tcPr>
            <w:tcW w:w="142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Fleet Utilization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200"/>
              <w:jc w:val="right"/>
              <w:rPr/>
            </w:pPr>
            <w:r>
              <w:rPr/>
              <w:t> </w:t>
            </w:r>
          </w:p>
        </w:tc>
      </w:tr>
      <w:tr>
        <w:trPr/>
        <w:tc>
          <w:tcPr>
            <w:tcW w:w="142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Fleet Available Days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5,096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5,311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10,167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10,711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pPr>
            <w:r>
              <w:rPr/>
              <w:t> </w:t>
            </w:r>
          </w:p>
        </w:tc>
      </w:tr>
      <w:tr>
        <w:trPr/>
        <w:tc>
          <w:tcPr>
            <w:tcW w:w="1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Revenues: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200"/>
              <w:jc w:val="right"/>
              <w:rPr/>
            </w:pPr>
            <w:r>
              <w:rPr/>
              <w:t> </w:t>
            </w:r>
          </w:p>
        </w:tc>
      </w:tr>
      <w:tr>
        <w:trPr/>
        <w:tc>
          <w:tcPr>
            <w:tcW w:w="142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Time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60,804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49,504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116,219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92,245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w:t>
            </w:r>
          </w:p>
        </w:tc>
        <w:tc>
          <w:tcPr>
            <w:tcW w:w="70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Bareboat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70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marine services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5,723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4,465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9,921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6,697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66,891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54,017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126,864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99,608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Costs and Expenses: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200"/>
              <w:jc w:val="right"/>
              <w:rPr/>
            </w:pPr>
            <w:r>
              <w:rPr/>
              <w:t> </w:t>
            </w:r>
          </w:p>
        </w:tc>
      </w:tr>
      <w:tr>
        <w:trPr/>
        <w:tc>
          <w:tcPr>
            <w:tcW w:w="142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400"/>
              <w:jc w:val="right"/>
              <w:rPr/>
            </w:pPr>
            <w:r>
              <w:rPr/>
              <w:t> </w:t>
            </w:r>
          </w:p>
        </w:tc>
      </w:tr>
      <w:tr>
        <w:trPr/>
        <w:tc>
          <w:tcPr>
            <w:tcW w:w="142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Personnel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19,944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18,346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39,747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36,781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70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Repairs and maintenance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5,793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8,380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11,804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15,171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70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Drydocking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2,256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6,474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2,269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11,447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70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Insurance and loss reserves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2,390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2,545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5,179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3,731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70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Fuel, lubes and supplies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4,350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8,457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8,079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70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2,281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4,050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6,119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8,432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36,302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44,145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73,575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83,641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w:t>
            </w:r>
          </w:p>
        </w:tc>
        <w:tc>
          <w:tcPr>
            <w:tcW w:w="70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Lease expense - operating</w:t>
            </w:r>
          </w:p>
        </w:tc>
        <w:tc>
          <w:tcPr>
            <w:tcW w:w="146" w:type="dxa"/>
            <w:tcBorders/>
            <w:vAlign w:val="center"/>
          </w:tcPr>
          <w:p>
            <w:pPr>
              <w:pStyle w:val="TableContents"/>
              <w:bidi w:val="0"/>
              <w:spacing w:before="0" w:after="0"/>
              <w:ind w:left="4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2,068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70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Administrative and general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13,704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10,210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25,336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20,134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70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vAlign w:val="center"/>
          </w:tcPr>
          <w:p>
            <w:pPr>
              <w:pStyle w:val="TableContents"/>
              <w:bidi w:val="0"/>
              <w:spacing w:before="0" w:after="0"/>
              <w:ind w:left="4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13,575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14,208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27,337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28,579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64,279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69,571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127,666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134,422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w:t>
            </w:r>
          </w:p>
        </w:tc>
        <w:tc>
          <w:tcPr>
            <w:tcW w:w="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Gains on Asset Dispositions and Impairments, Net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3,864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2,164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Income (Loss)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2,877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(15,529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3,062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(32,650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w:t>
            </w:r>
          </w:p>
        </w:tc>
        <w:tc>
          <w:tcPr>
            <w:tcW w:w="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Expense, Net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(8,917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(5,637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(18,070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(11,448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Loss Before Income Tax (Benefit) Expense and Equity in Earnings of 50% or Less Owned Companies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(6,040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(21,166</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(15,008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(44,098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w:t>
            </w:r>
          </w:p>
        </w:tc>
        <w:tc>
          <w:tcPr>
            <w:tcW w:w="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Income Tax (Benefit) Expense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(1,634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(4,055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Loss Before Equity in Earnings of 50% or Less Owned Companies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(4,944</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(19,532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(15,069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(40,043</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w:t>
            </w:r>
          </w:p>
        </w:tc>
        <w:tc>
          <w:tcPr>
            <w:tcW w:w="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Equity in Earnings of 50% or Less Owned Companies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6,089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60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(4,571</w:t>
            </w:r>
          </w:p>
        </w:tc>
        <w:tc>
          <w:tcPr>
            <w:tcW w:w="25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(19,117</w:t>
            </w:r>
          </w:p>
        </w:tc>
        <w:tc>
          <w:tcPr>
            <w:tcW w:w="25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(14,160</w:t>
            </w:r>
          </w:p>
        </w:tc>
        <w:tc>
          <w:tcPr>
            <w:tcW w:w="25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(33,954</w:t>
            </w:r>
          </w:p>
        </w:tc>
        <w:tc>
          <w:tcPr>
            <w:tcW w:w="25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w:t>
            </w:r>
          </w:p>
        </w:tc>
        <w:tc>
          <w:tcPr>
            <w:tcW w:w="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Income attributable to Noncontrolling Interests in Subsidiaries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w:t>
            </w:r>
          </w:p>
        </w:tc>
        <w:tc>
          <w:tcPr>
            <w:tcW w:w="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 attributable to SEACOR Marine Holdings Inc.</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(4,571</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(19,120</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(14,160</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(33,957</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w:t>
            </w:r>
          </w:p>
        </w:tc>
        <w:tc>
          <w:tcPr>
            <w:tcW w:w="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200" w:after="0"/>
        <w:jc w:val="both"/>
        <w:rPr>
          <w:rFonts w:ascii="Times New Roman" w:hAnsi="Times New Roman"/>
          <w:sz w:val="20"/>
        </w:rPr>
      </w:pPr>
      <w:r>
        <w:rPr>
          <w:rFonts w:ascii="Times New Roman;serif" w:hAnsi="Times New Roman;serif"/>
          <w:b/>
          <w:i/>
          <w:sz w:val="24"/>
        </w:rPr>
        <w:t xml:space="preserve">Direct Vessel Profit. </w:t>
      </w:r>
      <w:r>
        <w:rPr>
          <w:rFonts w:ascii="Times New Roman;serif" w:hAnsi="Times New Roman;serif"/>
          <w:b w:val="false"/>
          <w:sz w:val="24"/>
        </w:rPr>
        <w:t>Direct vessel profit (defined as operating revenues less operating expenses excluding leased-in equipment, “DVP”) is the Company’s measure of segment profitability. DVP is a critical financial measure used by the Company to analyze and compare the operating performance of its regions, without regard to financing decisions (depreciation and interest expense for owned vessels vs. lease expense for leased-in vessels). See “Note 13. Segment Information” to the Unaudited Consolidated Financial Statements included in Part I. Item 1. “Financial Statements” elsewhere in this Quarterly Report on Form 10-Q.</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26</w:t>
      </w:r>
    </w:p>
    <w:p>
      <w:pPr>
        <w:pStyle w:val="HorizontalLine"/>
        <w:pBdr>
          <w:bottom w:val="double" w:sz="2" w:space="0" w:color="808080"/>
        </w:pBdr>
        <w:bidi w:val="0"/>
        <w:spacing w:before="0" w:after="283"/>
        <w:jc w:val="left"/>
        <w:rPr/>
      </w:pPr>
      <w:r>
        <w:rPr/>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The following tables summarize the operating results and property and equipment for the Company’s reportable segments for the periods indicated (in thousands, except statistics):</w:t>
      </w:r>
    </w:p>
    <w:tbl>
      <w:tblPr>
        <w:tblW w:w="10205" w:type="dxa"/>
        <w:jc w:val="left"/>
        <w:tblInd w:w="0" w:type="dxa"/>
        <w:tblLayout w:type="fixed"/>
        <w:tblCellMar>
          <w:top w:w="28" w:type="dxa"/>
          <w:left w:w="28" w:type="dxa"/>
          <w:bottom w:w="28" w:type="dxa"/>
          <w:right w:w="28" w:type="dxa"/>
        </w:tblCellMar>
      </w:tblPr>
      <w:tblGrid>
        <w:gridCol w:w="3563"/>
        <w:gridCol w:w="146"/>
        <w:gridCol w:w="217"/>
        <w:gridCol w:w="669"/>
        <w:gridCol w:w="256"/>
        <w:gridCol w:w="146"/>
        <w:gridCol w:w="250"/>
        <w:gridCol w:w="768"/>
        <w:gridCol w:w="256"/>
        <w:gridCol w:w="146"/>
        <w:gridCol w:w="196"/>
        <w:gridCol w:w="601"/>
        <w:gridCol w:w="256"/>
        <w:gridCol w:w="146"/>
        <w:gridCol w:w="196"/>
        <w:gridCol w:w="601"/>
        <w:gridCol w:w="256"/>
        <w:gridCol w:w="146"/>
        <w:gridCol w:w="196"/>
        <w:gridCol w:w="601"/>
        <w:gridCol w:w="593"/>
      </w:tblGrid>
      <w:tr>
        <w:trPr/>
        <w:tc>
          <w:tcPr>
            <w:tcW w:w="3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56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United</w:t>
              <w:br/>
              <w:t>States</w:t>
              <w:br/>
              <w:t>(primarily</w:t>
              <w:br/>
              <w:t>Gulf of</w:t>
              <w:br/>
              <w:t>Mexico)</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Africa</w:t>
              <w:br/>
              <w:t>and Europe</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Middle</w:t>
              <w:br/>
              <w:t>East</w:t>
              <w:br/>
              <w:t>and Asia</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Latin</w:t>
              <w:br/>
              <w:t>America</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63"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For the Three Months Ended June 30, 2023</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356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Time Charter Statistics:</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563"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Average Rates Per Day</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16,115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14,982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13,245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18,846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15,250</w:t>
            </w:r>
          </w:p>
        </w:tc>
        <w:tc>
          <w:tcPr>
            <w:tcW w:w="593" w:type="dxa"/>
            <w:tcBorders/>
            <w:vAlign w:val="center"/>
          </w:tcPr>
          <w:p>
            <w:pPr>
              <w:pStyle w:val="TableContents"/>
              <w:bidi w:val="0"/>
              <w:spacing w:before="0" w:after="0"/>
              <w:ind w:left="0" w:right="0" w:firstLine="200"/>
              <w:jc w:val="left"/>
              <w:rPr/>
            </w:pPr>
            <w:r>
              <w:rPr/>
              <w:t> </w:t>
            </w:r>
          </w:p>
        </w:tc>
      </w:tr>
      <w:tr>
        <w:trPr/>
        <w:tc>
          <w:tcPr>
            <w:tcW w:w="3563"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Fleet Utilization</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w:t>
            </w:r>
          </w:p>
        </w:tc>
        <w:tc>
          <w:tcPr>
            <w:tcW w:w="59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563"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Fleet Available Days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1,729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5,096</w:t>
            </w:r>
          </w:p>
        </w:tc>
        <w:tc>
          <w:tcPr>
            <w:tcW w:w="593" w:type="dxa"/>
            <w:tcBorders/>
            <w:vAlign w:val="center"/>
          </w:tcPr>
          <w:p>
            <w:pPr>
              <w:pStyle w:val="TableContents"/>
              <w:bidi w:val="0"/>
              <w:spacing w:before="0" w:after="0"/>
              <w:ind w:left="0" w:right="0" w:hanging="0"/>
              <w:jc w:val="left"/>
              <w:rPr/>
            </w:pPr>
            <w:r>
              <w:rPr/>
              <w:t> </w:t>
            </w:r>
          </w:p>
        </w:tc>
      </w:tr>
      <w:tr>
        <w:trPr/>
        <w:tc>
          <w:tcPr>
            <w:tcW w:w="356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Revenues:</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563"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Time charter</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6,121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24,414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16,563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13,706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60,804</w:t>
            </w:r>
          </w:p>
        </w:tc>
        <w:tc>
          <w:tcPr>
            <w:tcW w:w="593" w:type="dxa"/>
            <w:tcBorders/>
            <w:vAlign w:val="center"/>
          </w:tcPr>
          <w:p>
            <w:pPr>
              <w:pStyle w:val="TableContents"/>
              <w:bidi w:val="0"/>
              <w:spacing w:before="0" w:after="0"/>
              <w:ind w:left="0" w:right="0" w:firstLine="200"/>
              <w:jc w:val="left"/>
              <w:rPr/>
            </w:pPr>
            <w:r>
              <w:rPr/>
              <w:t> </w:t>
            </w:r>
          </w:p>
        </w:tc>
      </w:tr>
      <w:tr>
        <w:trPr/>
        <w:tc>
          <w:tcPr>
            <w:tcW w:w="3563"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Bareboat charter</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w:t>
            </w:r>
          </w:p>
        </w:tc>
        <w:tc>
          <w:tcPr>
            <w:tcW w:w="593" w:type="dxa"/>
            <w:tcBorders/>
            <w:vAlign w:val="center"/>
          </w:tcPr>
          <w:p>
            <w:pPr>
              <w:pStyle w:val="TableContents"/>
              <w:bidi w:val="0"/>
              <w:spacing w:before="0" w:after="0"/>
              <w:ind w:left="0" w:right="0" w:firstLine="200"/>
              <w:jc w:val="left"/>
              <w:rPr/>
            </w:pPr>
            <w:r>
              <w:rPr/>
              <w:t> </w:t>
            </w:r>
          </w:p>
        </w:tc>
      </w:tr>
      <w:tr>
        <w:trPr/>
        <w:tc>
          <w:tcPr>
            <w:tcW w:w="3563"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marine services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2,993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3,357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5,723</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63"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9,114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23,377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19,920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14,480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66,891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6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Costs and Expenses:</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563"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3563"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Personnel</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5,957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4,833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5,266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3,888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19,944</w:t>
            </w:r>
          </w:p>
        </w:tc>
        <w:tc>
          <w:tcPr>
            <w:tcW w:w="593" w:type="dxa"/>
            <w:tcBorders/>
            <w:vAlign w:val="center"/>
          </w:tcPr>
          <w:p>
            <w:pPr>
              <w:pStyle w:val="TableContents"/>
              <w:bidi w:val="0"/>
              <w:spacing w:before="0" w:after="0"/>
              <w:ind w:left="0" w:right="0" w:firstLine="400"/>
              <w:jc w:val="left"/>
              <w:rPr/>
            </w:pPr>
            <w:r>
              <w:rPr/>
              <w:t> </w:t>
            </w:r>
          </w:p>
        </w:tc>
      </w:tr>
      <w:tr>
        <w:trPr/>
        <w:tc>
          <w:tcPr>
            <w:tcW w:w="3563"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Repairs and maintenance</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2,050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5,793</w:t>
            </w:r>
          </w:p>
        </w:tc>
        <w:tc>
          <w:tcPr>
            <w:tcW w:w="593" w:type="dxa"/>
            <w:tcBorders/>
            <w:vAlign w:val="center"/>
          </w:tcPr>
          <w:p>
            <w:pPr>
              <w:pStyle w:val="TableContents"/>
              <w:bidi w:val="0"/>
              <w:spacing w:before="0" w:after="0"/>
              <w:ind w:left="0" w:right="0" w:firstLine="400"/>
              <w:jc w:val="left"/>
              <w:rPr/>
            </w:pPr>
            <w:r>
              <w:rPr/>
              <w:t> </w:t>
            </w:r>
          </w:p>
        </w:tc>
      </w:tr>
      <w:tr>
        <w:trPr/>
        <w:tc>
          <w:tcPr>
            <w:tcW w:w="3563"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Drydocking</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(684</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2,256</w:t>
            </w:r>
          </w:p>
        </w:tc>
        <w:tc>
          <w:tcPr>
            <w:tcW w:w="593" w:type="dxa"/>
            <w:tcBorders/>
            <w:vAlign w:val="center"/>
          </w:tcPr>
          <w:p>
            <w:pPr>
              <w:pStyle w:val="TableContents"/>
              <w:bidi w:val="0"/>
              <w:spacing w:before="0" w:after="0"/>
              <w:ind w:left="0" w:right="0" w:firstLine="400"/>
              <w:jc w:val="left"/>
              <w:rPr/>
            </w:pPr>
            <w:r>
              <w:rPr/>
              <w:t> </w:t>
            </w:r>
          </w:p>
        </w:tc>
      </w:tr>
      <w:tr>
        <w:trPr/>
        <w:tc>
          <w:tcPr>
            <w:tcW w:w="3563"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Insurance and loss reserves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2,390</w:t>
            </w:r>
          </w:p>
        </w:tc>
        <w:tc>
          <w:tcPr>
            <w:tcW w:w="593" w:type="dxa"/>
            <w:tcBorders/>
            <w:vAlign w:val="center"/>
          </w:tcPr>
          <w:p>
            <w:pPr>
              <w:pStyle w:val="TableContents"/>
              <w:bidi w:val="0"/>
              <w:spacing w:before="0" w:after="0"/>
              <w:ind w:left="0" w:right="0" w:firstLine="400"/>
              <w:jc w:val="left"/>
              <w:rPr/>
            </w:pPr>
            <w:r>
              <w:rPr/>
              <w:t> </w:t>
            </w:r>
          </w:p>
        </w:tc>
      </w:tr>
      <w:tr>
        <w:trPr/>
        <w:tc>
          <w:tcPr>
            <w:tcW w:w="3563"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Fuel, lubes and supplies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3,638</w:t>
            </w:r>
          </w:p>
        </w:tc>
        <w:tc>
          <w:tcPr>
            <w:tcW w:w="593" w:type="dxa"/>
            <w:tcBorders/>
            <w:vAlign w:val="center"/>
          </w:tcPr>
          <w:p>
            <w:pPr>
              <w:pStyle w:val="TableContents"/>
              <w:bidi w:val="0"/>
              <w:spacing w:before="0" w:after="0"/>
              <w:ind w:left="0" w:right="0" w:firstLine="400"/>
              <w:jc w:val="left"/>
              <w:rPr/>
            </w:pPr>
            <w:r>
              <w:rPr/>
              <w:t> </w:t>
            </w:r>
          </w:p>
        </w:tc>
      </w:tr>
      <w:tr>
        <w:trPr/>
        <w:tc>
          <w:tcPr>
            <w:tcW w:w="3563"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2,281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63"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11,377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10,212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7,180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7,533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36,302</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63"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Direct Vessel (Loss) Profit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(2,263</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13,165</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12,740</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6,947</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30,589</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6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Costs and Expenses:</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563"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Lease expense</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w:t>
            </w:r>
          </w:p>
        </w:tc>
        <w:tc>
          <w:tcPr>
            <w:tcW w:w="593" w:type="dxa"/>
            <w:tcBorders/>
            <w:vAlign w:val="center"/>
          </w:tcPr>
          <w:p>
            <w:pPr>
              <w:pStyle w:val="TableContents"/>
              <w:bidi w:val="0"/>
              <w:spacing w:before="0" w:after="0"/>
              <w:ind w:left="0" w:right="0" w:firstLine="200"/>
              <w:jc w:val="left"/>
              <w:rPr/>
            </w:pPr>
            <w:r>
              <w:rPr/>
              <w:t> </w:t>
            </w:r>
          </w:p>
        </w:tc>
      </w:tr>
      <w:tr>
        <w:trPr/>
        <w:tc>
          <w:tcPr>
            <w:tcW w:w="3563"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Administrative and general</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13,704</w:t>
            </w:r>
          </w:p>
        </w:tc>
        <w:tc>
          <w:tcPr>
            <w:tcW w:w="593" w:type="dxa"/>
            <w:tcBorders/>
            <w:vAlign w:val="center"/>
          </w:tcPr>
          <w:p>
            <w:pPr>
              <w:pStyle w:val="TableContents"/>
              <w:bidi w:val="0"/>
              <w:spacing w:before="0" w:after="0"/>
              <w:ind w:left="0" w:right="0" w:firstLine="200"/>
              <w:jc w:val="left"/>
              <w:rPr/>
            </w:pPr>
            <w:r>
              <w:rPr/>
              <w:t> </w:t>
            </w:r>
          </w:p>
        </w:tc>
      </w:tr>
      <w:tr>
        <w:trPr/>
        <w:tc>
          <w:tcPr>
            <w:tcW w:w="3563"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3,861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3,853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3,708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2,153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13,575</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563" w:type="dxa"/>
            <w:tcBorders/>
            <w:vAlign w:val="center"/>
          </w:tcPr>
          <w:p>
            <w:pPr>
              <w:pStyle w:val="TableContents"/>
              <w:bidi w:val="0"/>
              <w:spacing w:before="0" w:after="283"/>
              <w:ind w:left="0" w:right="0" w:firstLine="4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27,977</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6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Gains on asset dispositions and impairments, net</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265</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6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income</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2,877</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27</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192"/>
        <w:gridCol w:w="146"/>
        <w:gridCol w:w="196"/>
        <w:gridCol w:w="751"/>
        <w:gridCol w:w="256"/>
        <w:gridCol w:w="146"/>
        <w:gridCol w:w="220"/>
        <w:gridCol w:w="778"/>
        <w:gridCol w:w="256"/>
        <w:gridCol w:w="146"/>
        <w:gridCol w:w="196"/>
        <w:gridCol w:w="691"/>
        <w:gridCol w:w="256"/>
        <w:gridCol w:w="146"/>
        <w:gridCol w:w="196"/>
        <w:gridCol w:w="691"/>
        <w:gridCol w:w="256"/>
        <w:gridCol w:w="146"/>
        <w:gridCol w:w="196"/>
        <w:gridCol w:w="751"/>
        <w:gridCol w:w="593"/>
      </w:tblGrid>
      <w:tr>
        <w:trPr/>
        <w:tc>
          <w:tcPr>
            <w:tcW w:w="3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19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United</w:t>
              <w:br/>
              <w:t>States</w:t>
              <w:br/>
              <w:t>(primarily</w:t>
              <w:br/>
              <w:t>Gulf of</w:t>
              <w:br/>
              <w:t>Mexico)</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Africa</w:t>
              <w:br/>
              <w:t>and Europe</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Middle</w:t>
              <w:br/>
              <w:t>East</w:t>
              <w:br/>
              <w:t>and Asia</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Latin</w:t>
              <w:br/>
              <w:t>America</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92"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For the Six Months Ended June 30, 2023</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319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Time Charter Statistics: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19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Average Rates Per Day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17,203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13,960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13,399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17,434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14,789</w:t>
            </w:r>
          </w:p>
        </w:tc>
        <w:tc>
          <w:tcPr>
            <w:tcW w:w="593" w:type="dxa"/>
            <w:tcBorders/>
            <w:vAlign w:val="center"/>
          </w:tcPr>
          <w:p>
            <w:pPr>
              <w:pStyle w:val="TableContents"/>
              <w:bidi w:val="0"/>
              <w:spacing w:before="0" w:after="0"/>
              <w:ind w:left="0" w:right="0" w:firstLine="200"/>
              <w:jc w:val="left"/>
              <w:rPr/>
            </w:pPr>
            <w:r>
              <w:rPr/>
              <w:t> </w:t>
            </w:r>
          </w:p>
        </w:tc>
      </w:tr>
      <w:tr>
        <w:trPr/>
        <w:tc>
          <w:tcPr>
            <w:tcW w:w="319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Fleet Utilization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w:t>
            </w:r>
          </w:p>
        </w:tc>
        <w:tc>
          <w:tcPr>
            <w:tcW w:w="59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19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Fleet Available Days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2,095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3,439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2,896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1,737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10,167</w:t>
            </w:r>
          </w:p>
        </w:tc>
        <w:tc>
          <w:tcPr>
            <w:tcW w:w="593" w:type="dxa"/>
            <w:tcBorders/>
            <w:vAlign w:val="center"/>
          </w:tcPr>
          <w:p>
            <w:pPr>
              <w:pStyle w:val="TableContents"/>
              <w:bidi w:val="0"/>
              <w:spacing w:before="0" w:after="0"/>
              <w:ind w:left="0" w:right="0" w:hanging="0"/>
              <w:jc w:val="left"/>
              <w:rPr/>
            </w:pPr>
            <w:r>
              <w:rPr/>
              <w:t> </w:t>
            </w:r>
          </w:p>
        </w:tc>
      </w:tr>
      <w:tr>
        <w:trPr/>
        <w:tc>
          <w:tcPr>
            <w:tcW w:w="319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Revenues: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19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Time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12,685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43,410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32,591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27,533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116,219</w:t>
            </w:r>
          </w:p>
        </w:tc>
        <w:tc>
          <w:tcPr>
            <w:tcW w:w="593" w:type="dxa"/>
            <w:tcBorders/>
            <w:vAlign w:val="center"/>
          </w:tcPr>
          <w:p>
            <w:pPr>
              <w:pStyle w:val="TableContents"/>
              <w:bidi w:val="0"/>
              <w:spacing w:before="0" w:after="0"/>
              <w:ind w:left="0" w:right="0" w:firstLine="200"/>
              <w:jc w:val="left"/>
              <w:rPr/>
            </w:pPr>
            <w:r>
              <w:rPr/>
              <w:t> </w:t>
            </w:r>
          </w:p>
        </w:tc>
      </w:tr>
      <w:tr>
        <w:trPr/>
        <w:tc>
          <w:tcPr>
            <w:tcW w:w="319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Bareboat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724</w:t>
            </w:r>
          </w:p>
        </w:tc>
        <w:tc>
          <w:tcPr>
            <w:tcW w:w="593" w:type="dxa"/>
            <w:tcBorders/>
            <w:vAlign w:val="center"/>
          </w:tcPr>
          <w:p>
            <w:pPr>
              <w:pStyle w:val="TableContents"/>
              <w:bidi w:val="0"/>
              <w:spacing w:before="0" w:after="0"/>
              <w:ind w:left="0" w:right="0" w:firstLine="200"/>
              <w:jc w:val="left"/>
              <w:rPr/>
            </w:pPr>
            <w:r>
              <w:rPr/>
              <w:t> </w:t>
            </w:r>
          </w:p>
        </w:tc>
      </w:tr>
      <w:tr>
        <w:trPr/>
        <w:tc>
          <w:tcPr>
            <w:tcW w:w="319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marine services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6,835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(1,871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3,215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1,742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9,921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19,520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41,539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35,806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29,999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126,864</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Costs and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19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319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Personnel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12,492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9,338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10,107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7,810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39,747</w:t>
            </w:r>
          </w:p>
        </w:tc>
        <w:tc>
          <w:tcPr>
            <w:tcW w:w="593" w:type="dxa"/>
            <w:tcBorders/>
            <w:vAlign w:val="center"/>
          </w:tcPr>
          <w:p>
            <w:pPr>
              <w:pStyle w:val="TableContents"/>
              <w:bidi w:val="0"/>
              <w:spacing w:before="0" w:after="0"/>
              <w:ind w:left="0" w:right="0" w:firstLine="400"/>
              <w:jc w:val="left"/>
              <w:rPr/>
            </w:pPr>
            <w:r>
              <w:rPr/>
              <w:t> </w:t>
            </w:r>
          </w:p>
        </w:tc>
      </w:tr>
      <w:tr>
        <w:trPr/>
        <w:tc>
          <w:tcPr>
            <w:tcW w:w="319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Repairs and maintenance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2,767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4,603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1,896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11,804</w:t>
            </w:r>
          </w:p>
        </w:tc>
        <w:tc>
          <w:tcPr>
            <w:tcW w:w="593" w:type="dxa"/>
            <w:tcBorders/>
            <w:vAlign w:val="center"/>
          </w:tcPr>
          <w:p>
            <w:pPr>
              <w:pStyle w:val="TableContents"/>
              <w:bidi w:val="0"/>
              <w:spacing w:before="0" w:after="0"/>
              <w:ind w:left="0" w:right="0" w:firstLine="400"/>
              <w:jc w:val="left"/>
              <w:rPr/>
            </w:pPr>
            <w:r>
              <w:rPr/>
              <w:t> </w:t>
            </w:r>
          </w:p>
        </w:tc>
      </w:tr>
      <w:tr>
        <w:trPr/>
        <w:tc>
          <w:tcPr>
            <w:tcW w:w="319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Drydocking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1,549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1,328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(1,779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2,269</w:t>
            </w:r>
          </w:p>
        </w:tc>
        <w:tc>
          <w:tcPr>
            <w:tcW w:w="593" w:type="dxa"/>
            <w:tcBorders/>
            <w:vAlign w:val="center"/>
          </w:tcPr>
          <w:p>
            <w:pPr>
              <w:pStyle w:val="TableContents"/>
              <w:bidi w:val="0"/>
              <w:spacing w:before="0" w:after="0"/>
              <w:ind w:left="0" w:right="0" w:firstLine="400"/>
              <w:jc w:val="left"/>
              <w:rPr/>
            </w:pPr>
            <w:r>
              <w:rPr/>
              <w:t> </w:t>
            </w:r>
          </w:p>
        </w:tc>
      </w:tr>
      <w:tr>
        <w:trPr/>
        <w:tc>
          <w:tcPr>
            <w:tcW w:w="319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Insurance and loss reserves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1,905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5,179</w:t>
            </w:r>
          </w:p>
        </w:tc>
        <w:tc>
          <w:tcPr>
            <w:tcW w:w="593" w:type="dxa"/>
            <w:tcBorders/>
            <w:vAlign w:val="center"/>
          </w:tcPr>
          <w:p>
            <w:pPr>
              <w:pStyle w:val="TableContents"/>
              <w:bidi w:val="0"/>
              <w:spacing w:before="0" w:after="0"/>
              <w:ind w:left="0" w:right="0" w:firstLine="400"/>
              <w:jc w:val="left"/>
              <w:rPr/>
            </w:pPr>
            <w:r>
              <w:rPr/>
              <w:t> </w:t>
            </w:r>
          </w:p>
        </w:tc>
      </w:tr>
      <w:tr>
        <w:trPr/>
        <w:tc>
          <w:tcPr>
            <w:tcW w:w="319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Fuel, lubes and supplies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1,707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1,567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1,549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8,457</w:t>
            </w:r>
          </w:p>
        </w:tc>
        <w:tc>
          <w:tcPr>
            <w:tcW w:w="593" w:type="dxa"/>
            <w:tcBorders/>
            <w:vAlign w:val="center"/>
          </w:tcPr>
          <w:p>
            <w:pPr>
              <w:pStyle w:val="TableContents"/>
              <w:bidi w:val="0"/>
              <w:spacing w:before="0" w:after="0"/>
              <w:ind w:left="0" w:right="0" w:firstLine="400"/>
              <w:jc w:val="left"/>
              <w:rPr/>
            </w:pPr>
            <w:r>
              <w:rPr/>
              <w:t> </w:t>
            </w:r>
          </w:p>
        </w:tc>
      </w:tr>
      <w:tr>
        <w:trPr/>
        <w:tc>
          <w:tcPr>
            <w:tcW w:w="319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3,036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1,561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6,119</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21,196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22,677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15,257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14,445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73,575</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2"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Direct Vessel (Loss) Profit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(1,676</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18,862</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20,549</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15,554</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53,289</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Costs and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19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Lease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1,418</w:t>
            </w:r>
          </w:p>
        </w:tc>
        <w:tc>
          <w:tcPr>
            <w:tcW w:w="593" w:type="dxa"/>
            <w:tcBorders/>
            <w:vAlign w:val="center"/>
          </w:tcPr>
          <w:p>
            <w:pPr>
              <w:pStyle w:val="TableContents"/>
              <w:bidi w:val="0"/>
              <w:spacing w:before="0" w:after="0"/>
              <w:ind w:left="0" w:right="0" w:firstLine="200"/>
              <w:jc w:val="left"/>
              <w:rPr/>
            </w:pPr>
            <w:r>
              <w:rPr/>
              <w:t> </w:t>
            </w:r>
          </w:p>
        </w:tc>
      </w:tr>
      <w:tr>
        <w:trPr/>
        <w:tc>
          <w:tcPr>
            <w:tcW w:w="319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Administrative and general</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25,336</w:t>
            </w:r>
          </w:p>
        </w:tc>
        <w:tc>
          <w:tcPr>
            <w:tcW w:w="593" w:type="dxa"/>
            <w:tcBorders/>
            <w:vAlign w:val="center"/>
          </w:tcPr>
          <w:p>
            <w:pPr>
              <w:pStyle w:val="TableContents"/>
              <w:bidi w:val="0"/>
              <w:spacing w:before="0" w:after="0"/>
              <w:ind w:left="0" w:right="0" w:firstLine="200"/>
              <w:jc w:val="left"/>
              <w:rPr/>
            </w:pPr>
            <w:r>
              <w:rPr/>
              <w:t> </w:t>
            </w:r>
          </w:p>
        </w:tc>
      </w:tr>
      <w:tr>
        <w:trPr/>
        <w:tc>
          <w:tcPr>
            <w:tcW w:w="319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7,396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7,778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7,396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4,767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27,337</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192" w:type="dxa"/>
            <w:tcBorders/>
            <w:vAlign w:val="center"/>
          </w:tcPr>
          <w:p>
            <w:pPr>
              <w:pStyle w:val="TableContents"/>
              <w:bidi w:val="0"/>
              <w:spacing w:before="0" w:after="283"/>
              <w:ind w:left="0" w:right="0" w:firstLine="4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54,091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Gains on asset dispositions and impairments, net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3,864</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income</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3,062</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2"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 of June 30, 2023</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319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firstLine="200"/>
              <w:jc w:val="left"/>
              <w:rPr/>
            </w:pPr>
            <w:r>
              <w:rPr/>
              <w:t> </w:t>
            </w:r>
          </w:p>
        </w:tc>
      </w:tr>
      <w:tr>
        <w:trPr/>
        <w:tc>
          <w:tcPr>
            <w:tcW w:w="319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Historical cost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230,432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287,289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285,722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162,895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966,338</w:t>
            </w:r>
          </w:p>
        </w:tc>
        <w:tc>
          <w:tcPr>
            <w:tcW w:w="593" w:type="dxa"/>
            <w:tcBorders/>
            <w:vAlign w:val="center"/>
          </w:tcPr>
          <w:p>
            <w:pPr>
              <w:pStyle w:val="TableContents"/>
              <w:bidi w:val="0"/>
              <w:spacing w:before="0" w:after="0"/>
              <w:ind w:left="0" w:right="0" w:firstLine="200"/>
              <w:jc w:val="left"/>
              <w:rPr/>
            </w:pPr>
            <w:r>
              <w:rPr/>
              <w:t> </w:t>
            </w:r>
          </w:p>
        </w:tc>
      </w:tr>
      <w:tr>
        <w:trPr/>
        <w:tc>
          <w:tcPr>
            <w:tcW w:w="319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Accumulated depreciation</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(107,901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(99,994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(94,761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(32,022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(334,678</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19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122,531</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187,295</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190,961</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130,873</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631,660</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2"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 xml:space="preserve">Total Assets </w:t>
            </w: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162,973</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213,128</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212,695</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148,576</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737,372</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200"/>
        <w:jc w:val="both"/>
        <w:rPr>
          <w:rFonts w:ascii="Times New Roman" w:hAnsi="Times New Roman"/>
          <w:b w:val="false"/>
          <w:sz w:val="18"/>
        </w:rPr>
      </w:pPr>
      <w:r>
        <w:rPr>
          <w:rFonts w:ascii="Times New Roman" w:hAnsi="Times New Roman"/>
          <w:b w:val="false"/>
          <w:sz w:val="18"/>
        </w:rPr>
        <w:t>(1)</w:t>
      </w:r>
    </w:p>
    <w:p>
      <w:pPr>
        <w:pStyle w:val="TextBody"/>
        <w:bidi w:val="0"/>
        <w:spacing w:before="40" w:after="200"/>
        <w:jc w:val="both"/>
        <w:rPr/>
      </w:pPr>
      <w:r>
        <w:rPr>
          <w:rFonts w:ascii="Times New Roman;serif" w:hAnsi="Times New Roman;serif"/>
          <w:b w:val="false"/>
          <w:sz w:val="16"/>
        </w:rPr>
        <w:t>Total assets by region does not include corporate assets of $46.8 million as of June 30, 2023</w:t>
      </w:r>
      <w:r>
        <w:rPr>
          <w:rFonts w:ascii="Times New Roman;serif" w:hAnsi="Times New Roman;serif"/>
          <w:b w:val="false"/>
          <w:sz w:val="20"/>
        </w:rPr>
        <w:t>.</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28</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348"/>
        <w:gridCol w:w="146"/>
        <w:gridCol w:w="217"/>
        <w:gridCol w:w="669"/>
        <w:gridCol w:w="256"/>
        <w:gridCol w:w="146"/>
        <w:gridCol w:w="245"/>
        <w:gridCol w:w="753"/>
        <w:gridCol w:w="256"/>
        <w:gridCol w:w="146"/>
        <w:gridCol w:w="238"/>
        <w:gridCol w:w="733"/>
        <w:gridCol w:w="256"/>
        <w:gridCol w:w="146"/>
        <w:gridCol w:w="196"/>
        <w:gridCol w:w="601"/>
        <w:gridCol w:w="256"/>
        <w:gridCol w:w="146"/>
        <w:gridCol w:w="196"/>
        <w:gridCol w:w="661"/>
        <w:gridCol w:w="594"/>
      </w:tblGrid>
      <w:tr>
        <w:trPr/>
        <w:tc>
          <w:tcPr>
            <w:tcW w:w="3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3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United</w:t>
              <w:br/>
              <w:t>States</w:t>
              <w:br/>
              <w:t>(primarily</w:t>
              <w:br/>
              <w:t>Gulf of</w:t>
              <w:br/>
              <w:t>Mexico)</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Africa</w:t>
              <w:br/>
              <w:t>and Europe</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sz w:val="18"/>
              </w:rPr>
              <w:t>Middle</w:t>
              <w:br/>
              <w:t>East</w:t>
              <w:br/>
              <w:t xml:space="preserve">and Asia </w:t>
            </w:r>
            <w:r>
              <w:rPr>
                <w:rFonts w:ascii="Times New Roman;serif" w:hAnsi="Times New Roman;serif"/>
                <w:b/>
                <w:sz w:val="12"/>
              </w:rPr>
              <w:t>(1)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Latin</w:t>
              <w:br/>
              <w:t>America</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8"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For the Three Months Ended June 30, 2022</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hanging="0"/>
              <w:jc w:val="right"/>
              <w:rPr/>
            </w:pPr>
            <w:r>
              <w:rPr/>
              <w:t> </w:t>
            </w:r>
          </w:p>
        </w:tc>
      </w:tr>
      <w:tr>
        <w:trPr/>
        <w:tc>
          <w:tcPr>
            <w:tcW w:w="334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Time Charter Statistics:</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200"/>
              <w:jc w:val="right"/>
              <w:rPr/>
            </w:pPr>
            <w:r>
              <w:rPr/>
              <w:t> </w:t>
            </w:r>
          </w:p>
        </w:tc>
      </w:tr>
      <w:tr>
        <w:trPr/>
        <w:tc>
          <w:tcPr>
            <w:tcW w:w="334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Average Rates Per Day</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17,792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11,279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9,673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14,263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12,149</w:t>
            </w:r>
          </w:p>
        </w:tc>
        <w:tc>
          <w:tcPr>
            <w:tcW w:w="594" w:type="dxa"/>
            <w:tcBorders/>
            <w:vAlign w:val="center"/>
          </w:tcPr>
          <w:p>
            <w:pPr>
              <w:pStyle w:val="TableContents"/>
              <w:bidi w:val="0"/>
              <w:spacing w:before="0" w:after="0"/>
              <w:ind w:left="0" w:right="0" w:firstLine="200"/>
              <w:jc w:val="left"/>
              <w:rPr/>
            </w:pPr>
            <w:r>
              <w:rPr/>
              <w:t> </w:t>
            </w:r>
          </w:p>
        </w:tc>
      </w:tr>
      <w:tr>
        <w:trPr/>
        <w:tc>
          <w:tcPr>
            <w:tcW w:w="334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Fleet Utilization</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45"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w:t>
            </w:r>
          </w:p>
        </w:tc>
        <w:tc>
          <w:tcPr>
            <w:tcW w:w="594"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34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Fleet Available Days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5"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1,567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5,311</w:t>
            </w:r>
          </w:p>
        </w:tc>
        <w:tc>
          <w:tcPr>
            <w:tcW w:w="594" w:type="dxa"/>
            <w:tcBorders/>
            <w:vAlign w:val="center"/>
          </w:tcPr>
          <w:p>
            <w:pPr>
              <w:pStyle w:val="TableContents"/>
              <w:bidi w:val="0"/>
              <w:spacing w:before="0" w:after="0"/>
              <w:ind w:left="0" w:right="0" w:hanging="0"/>
              <w:jc w:val="left"/>
              <w:rPr/>
            </w:pPr>
            <w:r>
              <w:rPr/>
              <w:t> </w:t>
            </w:r>
          </w:p>
        </w:tc>
      </w:tr>
      <w:tr>
        <w:trPr/>
        <w:tc>
          <w:tcPr>
            <w:tcW w:w="334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Revenues:</w:t>
            </w:r>
          </w:p>
        </w:tc>
        <w:tc>
          <w:tcPr>
            <w:tcW w:w="146" w:type="dxa"/>
            <w:tcBorders/>
            <w:vAlign w:val="center"/>
          </w:tcPr>
          <w:p>
            <w:pPr>
              <w:pStyle w:val="TableContents"/>
              <w:bidi w:val="0"/>
              <w:spacing w:before="0" w:after="0"/>
              <w:ind w:left="0" w:right="0" w:hanging="0"/>
              <w:jc w:val="righ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200"/>
              <w:jc w:val="right"/>
              <w:rPr/>
            </w:pPr>
            <w:r>
              <w:rPr/>
              <w:t> </w:t>
            </w:r>
          </w:p>
        </w:tc>
      </w:tr>
      <w:tr>
        <w:trPr/>
        <w:tc>
          <w:tcPr>
            <w:tcW w:w="334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Time charter</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9,759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14,930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13,906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10,909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49,504</w:t>
            </w:r>
          </w:p>
        </w:tc>
        <w:tc>
          <w:tcPr>
            <w:tcW w:w="594" w:type="dxa"/>
            <w:tcBorders/>
            <w:vAlign w:val="center"/>
          </w:tcPr>
          <w:p>
            <w:pPr>
              <w:pStyle w:val="TableContents"/>
              <w:bidi w:val="0"/>
              <w:spacing w:before="0" w:after="0"/>
              <w:ind w:left="0" w:right="0" w:firstLine="200"/>
              <w:jc w:val="left"/>
              <w:rPr/>
            </w:pPr>
            <w:r>
              <w:rPr/>
              <w:t> </w:t>
            </w:r>
          </w:p>
        </w:tc>
      </w:tr>
      <w:tr>
        <w:trPr/>
        <w:tc>
          <w:tcPr>
            <w:tcW w:w="334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Bareboat charter</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5"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594" w:type="dxa"/>
            <w:tcBorders/>
            <w:vAlign w:val="center"/>
          </w:tcPr>
          <w:p>
            <w:pPr>
              <w:pStyle w:val="TableContents"/>
              <w:bidi w:val="0"/>
              <w:spacing w:before="0" w:after="0"/>
              <w:ind w:left="0" w:right="0" w:firstLine="200"/>
              <w:jc w:val="left"/>
              <w:rPr/>
            </w:pPr>
            <w:r>
              <w:rPr/>
              <w:t> </w:t>
            </w:r>
          </w:p>
        </w:tc>
      </w:tr>
      <w:tr>
        <w:trPr/>
        <w:tc>
          <w:tcPr>
            <w:tcW w:w="334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2,399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4,465</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4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12,158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16,002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14,366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11,491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54,017</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4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Costs and Expenses:</w:t>
            </w:r>
          </w:p>
        </w:tc>
        <w:tc>
          <w:tcPr>
            <w:tcW w:w="146" w:type="dxa"/>
            <w:tcBorders/>
            <w:vAlign w:val="center"/>
          </w:tcPr>
          <w:p>
            <w:pPr>
              <w:pStyle w:val="TableContents"/>
              <w:bidi w:val="0"/>
              <w:spacing w:before="0" w:after="0"/>
              <w:ind w:left="0" w:right="0" w:hanging="0"/>
              <w:jc w:val="righ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200"/>
              <w:jc w:val="right"/>
              <w:rPr/>
            </w:pPr>
            <w:r>
              <w:rPr/>
              <w:t> </w:t>
            </w:r>
          </w:p>
        </w:tc>
      </w:tr>
      <w:tr>
        <w:trPr/>
        <w:tc>
          <w:tcPr>
            <w:tcW w:w="334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w:t>
            </w:r>
          </w:p>
        </w:tc>
        <w:tc>
          <w:tcPr>
            <w:tcW w:w="146" w:type="dxa"/>
            <w:tcBorders/>
            <w:vAlign w:val="center"/>
          </w:tcPr>
          <w:p>
            <w:pPr>
              <w:pStyle w:val="TableContents"/>
              <w:bidi w:val="0"/>
              <w:spacing w:before="0" w:after="0"/>
              <w:ind w:left="0" w:right="0" w:hanging="0"/>
              <w:jc w:val="righ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400"/>
              <w:jc w:val="right"/>
              <w:rPr/>
            </w:pPr>
            <w:r>
              <w:rPr/>
              <w:t> </w:t>
            </w:r>
          </w:p>
        </w:tc>
      </w:tr>
      <w:tr>
        <w:trPr/>
        <w:tc>
          <w:tcPr>
            <w:tcW w:w="334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Personnel</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5,773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3,526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5,691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3,356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18,346</w:t>
            </w:r>
          </w:p>
        </w:tc>
        <w:tc>
          <w:tcPr>
            <w:tcW w:w="594" w:type="dxa"/>
            <w:tcBorders/>
            <w:vAlign w:val="center"/>
          </w:tcPr>
          <w:p>
            <w:pPr>
              <w:pStyle w:val="TableContents"/>
              <w:bidi w:val="0"/>
              <w:spacing w:before="0" w:after="0"/>
              <w:ind w:left="0" w:right="0" w:firstLine="400"/>
              <w:jc w:val="left"/>
              <w:rPr/>
            </w:pPr>
            <w:r>
              <w:rPr/>
              <w:t> </w:t>
            </w:r>
          </w:p>
        </w:tc>
      </w:tr>
      <w:tr>
        <w:trPr/>
        <w:tc>
          <w:tcPr>
            <w:tcW w:w="334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Repairs and maintenance</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2,638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2,545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1,917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8,380</w:t>
            </w:r>
          </w:p>
        </w:tc>
        <w:tc>
          <w:tcPr>
            <w:tcW w:w="594" w:type="dxa"/>
            <w:tcBorders/>
            <w:vAlign w:val="center"/>
          </w:tcPr>
          <w:p>
            <w:pPr>
              <w:pStyle w:val="TableContents"/>
              <w:bidi w:val="0"/>
              <w:spacing w:before="0" w:after="0"/>
              <w:ind w:left="0" w:right="0" w:firstLine="400"/>
              <w:jc w:val="left"/>
              <w:rPr/>
            </w:pPr>
            <w:r>
              <w:rPr/>
              <w:t> </w:t>
            </w:r>
          </w:p>
        </w:tc>
      </w:tr>
      <w:tr>
        <w:trPr/>
        <w:tc>
          <w:tcPr>
            <w:tcW w:w="334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Drydocking</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4,090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2,250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6,474</w:t>
            </w:r>
          </w:p>
        </w:tc>
        <w:tc>
          <w:tcPr>
            <w:tcW w:w="594" w:type="dxa"/>
            <w:tcBorders/>
            <w:vAlign w:val="center"/>
          </w:tcPr>
          <w:p>
            <w:pPr>
              <w:pStyle w:val="TableContents"/>
              <w:bidi w:val="0"/>
              <w:spacing w:before="0" w:after="0"/>
              <w:ind w:left="0" w:right="0" w:firstLine="400"/>
              <w:jc w:val="left"/>
              <w:rPr/>
            </w:pPr>
            <w:r>
              <w:rPr/>
              <w:t> </w:t>
            </w:r>
          </w:p>
        </w:tc>
      </w:tr>
      <w:tr>
        <w:trPr/>
        <w:tc>
          <w:tcPr>
            <w:tcW w:w="334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Insurance and loss reserves</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1,198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2,545</w:t>
            </w:r>
          </w:p>
        </w:tc>
        <w:tc>
          <w:tcPr>
            <w:tcW w:w="594" w:type="dxa"/>
            <w:tcBorders/>
            <w:vAlign w:val="center"/>
          </w:tcPr>
          <w:p>
            <w:pPr>
              <w:pStyle w:val="TableContents"/>
              <w:bidi w:val="0"/>
              <w:spacing w:before="0" w:after="0"/>
              <w:ind w:left="0" w:right="0" w:firstLine="400"/>
              <w:jc w:val="left"/>
              <w:rPr/>
            </w:pPr>
            <w:r>
              <w:rPr/>
              <w:t> </w:t>
            </w:r>
          </w:p>
        </w:tc>
      </w:tr>
      <w:tr>
        <w:trPr/>
        <w:tc>
          <w:tcPr>
            <w:tcW w:w="334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Fuel, lubes and supplies</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4,350</w:t>
            </w:r>
          </w:p>
        </w:tc>
        <w:tc>
          <w:tcPr>
            <w:tcW w:w="594" w:type="dxa"/>
            <w:tcBorders/>
            <w:vAlign w:val="center"/>
          </w:tcPr>
          <w:p>
            <w:pPr>
              <w:pStyle w:val="TableContents"/>
              <w:bidi w:val="0"/>
              <w:spacing w:before="0" w:after="0"/>
              <w:ind w:left="0" w:right="0" w:firstLine="400"/>
              <w:jc w:val="left"/>
              <w:rPr/>
            </w:pPr>
            <w:r>
              <w:rPr/>
              <w:t> </w:t>
            </w:r>
          </w:p>
        </w:tc>
      </w:tr>
      <w:tr>
        <w:trPr/>
        <w:tc>
          <w:tcPr>
            <w:tcW w:w="334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1,871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4,050</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4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13,416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9,988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13,765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6,976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44,145</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48"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Direct Vessel (Loss) Profit</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(1,258</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6,014</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601</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4,515</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9,872</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4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Costs and Expenses:</w:t>
            </w:r>
          </w:p>
        </w:tc>
        <w:tc>
          <w:tcPr>
            <w:tcW w:w="146" w:type="dxa"/>
            <w:tcBorders/>
            <w:vAlign w:val="center"/>
          </w:tcPr>
          <w:p>
            <w:pPr>
              <w:pStyle w:val="TableContents"/>
              <w:bidi w:val="0"/>
              <w:spacing w:before="0" w:after="0"/>
              <w:ind w:left="0" w:right="0" w:hanging="0"/>
              <w:jc w:val="righ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200"/>
              <w:jc w:val="right"/>
              <w:rPr/>
            </w:pPr>
            <w:r>
              <w:rPr/>
              <w:t> </w:t>
            </w:r>
          </w:p>
        </w:tc>
      </w:tr>
      <w:tr>
        <w:trPr/>
        <w:tc>
          <w:tcPr>
            <w:tcW w:w="334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Lease expense</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1,008</w:t>
            </w:r>
          </w:p>
        </w:tc>
        <w:tc>
          <w:tcPr>
            <w:tcW w:w="594" w:type="dxa"/>
            <w:tcBorders/>
            <w:vAlign w:val="center"/>
          </w:tcPr>
          <w:p>
            <w:pPr>
              <w:pStyle w:val="TableContents"/>
              <w:bidi w:val="0"/>
              <w:spacing w:before="0" w:after="0"/>
              <w:ind w:left="0" w:right="0" w:firstLine="200"/>
              <w:jc w:val="left"/>
              <w:rPr/>
            </w:pPr>
            <w:r>
              <w:rPr/>
              <w:t> </w:t>
            </w:r>
          </w:p>
        </w:tc>
      </w:tr>
      <w:tr>
        <w:trPr/>
        <w:tc>
          <w:tcPr>
            <w:tcW w:w="334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Administrative and general</w:t>
            </w:r>
          </w:p>
        </w:tc>
        <w:tc>
          <w:tcPr>
            <w:tcW w:w="146" w:type="dxa"/>
            <w:tcBorders/>
            <w:vAlign w:val="center"/>
          </w:tcPr>
          <w:p>
            <w:pPr>
              <w:pStyle w:val="TableContents"/>
              <w:bidi w:val="0"/>
              <w:spacing w:before="0" w:after="0"/>
              <w:ind w:left="0" w:right="0" w:hanging="0"/>
              <w:jc w:val="righ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10,210</w:t>
            </w:r>
          </w:p>
        </w:tc>
        <w:tc>
          <w:tcPr>
            <w:tcW w:w="594" w:type="dxa"/>
            <w:tcBorders/>
            <w:vAlign w:val="center"/>
          </w:tcPr>
          <w:p>
            <w:pPr>
              <w:pStyle w:val="TableContents"/>
              <w:bidi w:val="0"/>
              <w:spacing w:before="0" w:after="0"/>
              <w:ind w:left="0" w:right="0" w:firstLine="200"/>
              <w:jc w:val="left"/>
              <w:rPr/>
            </w:pPr>
            <w:r>
              <w:rPr/>
              <w:t> </w:t>
            </w:r>
          </w:p>
        </w:tc>
      </w:tr>
      <w:tr>
        <w:trPr/>
        <w:tc>
          <w:tcPr>
            <w:tcW w:w="334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4,562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3,306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4,229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2,111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14,208</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348" w:type="dxa"/>
            <w:tcBorders/>
            <w:vAlign w:val="center"/>
          </w:tcPr>
          <w:p>
            <w:pPr>
              <w:pStyle w:val="TableContents"/>
              <w:bidi w:val="0"/>
              <w:spacing w:before="0" w:after="283"/>
              <w:ind w:left="0" w:right="0" w:firstLine="20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25,426</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4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Gains on asset dispositions and impairments, net</w:t>
            </w:r>
          </w:p>
        </w:tc>
        <w:tc>
          <w:tcPr>
            <w:tcW w:w="146" w:type="dxa"/>
            <w:tcBorders/>
            <w:vAlign w:val="center"/>
          </w:tcPr>
          <w:p>
            <w:pPr>
              <w:pStyle w:val="TableContents"/>
              <w:bidi w:val="0"/>
              <w:spacing w:before="0" w:after="0"/>
              <w:ind w:left="0" w:right="0" w:hanging="0"/>
              <w:jc w:val="righ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4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loss</w:t>
            </w:r>
          </w:p>
        </w:tc>
        <w:tc>
          <w:tcPr>
            <w:tcW w:w="146" w:type="dxa"/>
            <w:tcBorders/>
            <w:vAlign w:val="center"/>
          </w:tcPr>
          <w:p>
            <w:pPr>
              <w:pStyle w:val="TableContents"/>
              <w:bidi w:val="0"/>
              <w:spacing w:before="0" w:after="0"/>
              <w:ind w:left="0" w:right="0" w:hanging="0"/>
              <w:jc w:val="righ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(15,529</w:t>
            </w:r>
          </w:p>
        </w:tc>
        <w:tc>
          <w:tcPr>
            <w:tcW w:w="5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pBdr>
          <w:bottom w:val="single" w:sz="4" w:space="1" w:color="000000"/>
        </w:pBdr>
        <w:bidi w:val="0"/>
        <w:spacing w:before="0" w:after="0"/>
        <w:jc w:val="both"/>
        <w:rPr/>
      </w:pPr>
      <w:r>
        <w:rPr/>
        <w:t> </w:t>
      </w:r>
    </w:p>
    <w:p>
      <w:pPr>
        <w:pStyle w:val="TextBody"/>
        <w:bidi w:val="0"/>
        <w:spacing w:before="40" w:after="200"/>
        <w:jc w:val="both"/>
        <w:rPr>
          <w:rFonts w:ascii="Times New Roman" w:hAnsi="Times New Roman"/>
          <w:b w:val="false"/>
          <w:sz w:val="18"/>
        </w:rPr>
      </w:pPr>
      <w:r>
        <w:rPr>
          <w:rFonts w:ascii="Times New Roman" w:hAnsi="Times New Roman"/>
          <w:b w:val="false"/>
          <w:sz w:val="18"/>
        </w:rPr>
        <w:t>(1)</w:t>
      </w:r>
    </w:p>
    <w:p>
      <w:pPr>
        <w:pStyle w:val="TextBody"/>
        <w:bidi w:val="0"/>
        <w:spacing w:before="40" w:after="200"/>
        <w:jc w:val="both"/>
        <w:rPr>
          <w:rFonts w:ascii="Times New Roman;serif" w:hAnsi="Times New Roman;serif"/>
          <w:b w:val="false"/>
          <w:sz w:val="16"/>
        </w:rPr>
      </w:pPr>
      <w:r>
        <w:rPr>
          <w:rFonts w:ascii="Times New Roman;serif" w:hAnsi="Times New Roman;serif"/>
          <w:b w:val="false"/>
          <w:sz w:val="16"/>
        </w:rPr>
        <w:t>In the second quarter of 2022, the Company removed from service one specialty vessel in this region. Regional statistics reflect the removed from service status of this vessel.</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29</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045"/>
        <w:gridCol w:w="146"/>
        <w:gridCol w:w="196"/>
        <w:gridCol w:w="751"/>
        <w:gridCol w:w="256"/>
        <w:gridCol w:w="146"/>
        <w:gridCol w:w="218"/>
        <w:gridCol w:w="772"/>
        <w:gridCol w:w="256"/>
        <w:gridCol w:w="146"/>
        <w:gridCol w:w="213"/>
        <w:gridCol w:w="754"/>
        <w:gridCol w:w="256"/>
        <w:gridCol w:w="146"/>
        <w:gridCol w:w="196"/>
        <w:gridCol w:w="691"/>
        <w:gridCol w:w="256"/>
        <w:gridCol w:w="146"/>
        <w:gridCol w:w="196"/>
        <w:gridCol w:w="826"/>
        <w:gridCol w:w="593"/>
      </w:tblGrid>
      <w:tr>
        <w:trPr/>
        <w:tc>
          <w:tcPr>
            <w:tcW w:w="3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04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United</w:t>
              <w:br/>
              <w:t>States</w:t>
              <w:br/>
              <w:t>(primarily</w:t>
              <w:br/>
              <w:t>Gulf of</w:t>
              <w:br/>
              <w:t>Mexico)</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Africa</w:t>
              <w:br/>
              <w:t>and Europe</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sz w:val="18"/>
              </w:rPr>
              <w:t>Middle</w:t>
              <w:br/>
              <w:t>East</w:t>
              <w:br/>
              <w:t xml:space="preserve">and Asia </w:t>
            </w:r>
            <w:r>
              <w:rPr>
                <w:rFonts w:ascii="Times New Roman;serif" w:hAnsi="Times New Roman;serif"/>
                <w:b/>
                <w:sz w:val="12"/>
              </w:rPr>
              <w:t>(2)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Latin</w:t>
              <w:br/>
              <w:t>America</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For the Six Months Ended June 30, 2022</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Time Charter Statistics: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0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Average Rates Per Day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16,740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10,666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9,775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13,885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11,746</w:t>
            </w:r>
          </w:p>
        </w:tc>
        <w:tc>
          <w:tcPr>
            <w:tcW w:w="593" w:type="dxa"/>
            <w:tcBorders/>
            <w:vAlign w:val="center"/>
          </w:tcPr>
          <w:p>
            <w:pPr>
              <w:pStyle w:val="TableContents"/>
              <w:bidi w:val="0"/>
              <w:spacing w:before="0" w:after="0"/>
              <w:ind w:left="0" w:right="0" w:firstLine="200"/>
              <w:jc w:val="left"/>
              <w:rPr/>
            </w:pPr>
            <w:r>
              <w:rPr/>
              <w:t> </w:t>
            </w:r>
          </w:p>
        </w:tc>
      </w:tr>
      <w:tr>
        <w:trPr/>
        <w:tc>
          <w:tcPr>
            <w:tcW w:w="30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Fleet Utilization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w:t>
            </w:r>
          </w:p>
        </w:tc>
        <w:tc>
          <w:tcPr>
            <w:tcW w:w="59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0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Fleet Available Days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2,591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3,066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3,451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10,711</w:t>
            </w:r>
          </w:p>
        </w:tc>
        <w:tc>
          <w:tcPr>
            <w:tcW w:w="593"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Revenues:</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0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Time charter</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17,623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27,210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27,566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19,846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92,245</w:t>
            </w:r>
          </w:p>
        </w:tc>
        <w:tc>
          <w:tcPr>
            <w:tcW w:w="593" w:type="dxa"/>
            <w:tcBorders/>
            <w:vAlign w:val="center"/>
          </w:tcPr>
          <w:p>
            <w:pPr>
              <w:pStyle w:val="TableContents"/>
              <w:bidi w:val="0"/>
              <w:spacing w:before="0" w:after="0"/>
              <w:ind w:left="0" w:right="0" w:firstLine="200"/>
              <w:jc w:val="left"/>
              <w:rPr/>
            </w:pPr>
            <w:r>
              <w:rPr/>
              <w:t> </w:t>
            </w:r>
          </w:p>
        </w:tc>
      </w:tr>
      <w:tr>
        <w:trPr/>
        <w:tc>
          <w:tcPr>
            <w:tcW w:w="30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Bareboat charter</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666</w:t>
            </w:r>
          </w:p>
        </w:tc>
        <w:tc>
          <w:tcPr>
            <w:tcW w:w="593" w:type="dxa"/>
            <w:tcBorders/>
            <w:vAlign w:val="center"/>
          </w:tcPr>
          <w:p>
            <w:pPr>
              <w:pStyle w:val="TableContents"/>
              <w:bidi w:val="0"/>
              <w:spacing w:before="0" w:after="0"/>
              <w:ind w:left="0" w:right="0" w:firstLine="200"/>
              <w:jc w:val="left"/>
              <w:rPr/>
            </w:pPr>
            <w:r>
              <w:rPr/>
              <w:t> </w:t>
            </w:r>
          </w:p>
        </w:tc>
      </w:tr>
      <w:tr>
        <w:trPr/>
        <w:tc>
          <w:tcPr>
            <w:tcW w:w="30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4,451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6,697</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22,074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27,666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28,075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21,793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99,608</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Costs and Expenses:</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0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3045"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Personnel</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10,696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7,062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11,722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7,301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36,781</w:t>
            </w:r>
          </w:p>
        </w:tc>
        <w:tc>
          <w:tcPr>
            <w:tcW w:w="593" w:type="dxa"/>
            <w:tcBorders/>
            <w:vAlign w:val="center"/>
          </w:tcPr>
          <w:p>
            <w:pPr>
              <w:pStyle w:val="TableContents"/>
              <w:bidi w:val="0"/>
              <w:spacing w:before="0" w:after="0"/>
              <w:ind w:left="0" w:right="0" w:firstLine="400"/>
              <w:jc w:val="left"/>
              <w:rPr/>
            </w:pPr>
            <w:r>
              <w:rPr/>
              <w:t> </w:t>
            </w:r>
          </w:p>
        </w:tc>
      </w:tr>
      <w:tr>
        <w:trPr/>
        <w:tc>
          <w:tcPr>
            <w:tcW w:w="3045"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Repairs and maintenance</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2,381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4,217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4,377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4,196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15,171</w:t>
            </w:r>
          </w:p>
        </w:tc>
        <w:tc>
          <w:tcPr>
            <w:tcW w:w="593" w:type="dxa"/>
            <w:tcBorders/>
            <w:vAlign w:val="center"/>
          </w:tcPr>
          <w:p>
            <w:pPr>
              <w:pStyle w:val="TableContents"/>
              <w:bidi w:val="0"/>
              <w:spacing w:before="0" w:after="0"/>
              <w:ind w:left="0" w:right="0" w:firstLine="400"/>
              <w:jc w:val="left"/>
              <w:rPr/>
            </w:pPr>
            <w:r>
              <w:rPr/>
              <w:t> </w:t>
            </w:r>
          </w:p>
        </w:tc>
      </w:tr>
      <w:tr>
        <w:trPr/>
        <w:tc>
          <w:tcPr>
            <w:tcW w:w="3045"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Drydocking</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6,957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3,212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11,447</w:t>
            </w:r>
          </w:p>
        </w:tc>
        <w:tc>
          <w:tcPr>
            <w:tcW w:w="593" w:type="dxa"/>
            <w:tcBorders/>
            <w:vAlign w:val="center"/>
          </w:tcPr>
          <w:p>
            <w:pPr>
              <w:pStyle w:val="TableContents"/>
              <w:bidi w:val="0"/>
              <w:spacing w:before="0" w:after="0"/>
              <w:ind w:left="0" w:right="0" w:firstLine="400"/>
              <w:jc w:val="left"/>
              <w:rPr/>
            </w:pPr>
            <w:r>
              <w:rPr/>
              <w:t> </w:t>
            </w:r>
          </w:p>
        </w:tc>
      </w:tr>
      <w:tr>
        <w:trPr/>
        <w:tc>
          <w:tcPr>
            <w:tcW w:w="3045"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Insurance and loss reserves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1,255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3,731</w:t>
            </w:r>
          </w:p>
        </w:tc>
        <w:tc>
          <w:tcPr>
            <w:tcW w:w="593" w:type="dxa"/>
            <w:tcBorders/>
            <w:vAlign w:val="center"/>
          </w:tcPr>
          <w:p>
            <w:pPr>
              <w:pStyle w:val="TableContents"/>
              <w:bidi w:val="0"/>
              <w:spacing w:before="0" w:after="0"/>
              <w:ind w:left="0" w:right="0" w:firstLine="400"/>
              <w:jc w:val="left"/>
              <w:rPr/>
            </w:pPr>
            <w:r>
              <w:rPr/>
              <w:t> </w:t>
            </w:r>
          </w:p>
        </w:tc>
      </w:tr>
      <w:tr>
        <w:trPr/>
        <w:tc>
          <w:tcPr>
            <w:tcW w:w="3045"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Fuel, lubes and supplies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2,963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2,328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1,332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8,079</w:t>
            </w:r>
          </w:p>
        </w:tc>
        <w:tc>
          <w:tcPr>
            <w:tcW w:w="593" w:type="dxa"/>
            <w:tcBorders/>
            <w:vAlign w:val="center"/>
          </w:tcPr>
          <w:p>
            <w:pPr>
              <w:pStyle w:val="TableContents"/>
              <w:bidi w:val="0"/>
              <w:spacing w:before="0" w:after="0"/>
              <w:ind w:left="0" w:right="0" w:firstLine="400"/>
              <w:jc w:val="left"/>
              <w:rPr/>
            </w:pPr>
            <w:r>
              <w:rPr/>
              <w:t> </w:t>
            </w:r>
          </w:p>
        </w:tc>
      </w:tr>
      <w:tr>
        <w:trPr/>
        <w:tc>
          <w:tcPr>
            <w:tcW w:w="3045"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3,699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2,840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8,432</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23,422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19,672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25,734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14,813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83,641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Direct Vessel (Loss) Profit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(1,348</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7,994</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2,341</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6,980</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15,967</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Costs and Expenses:</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0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Lease expense</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2,068</w:t>
            </w:r>
          </w:p>
        </w:tc>
        <w:tc>
          <w:tcPr>
            <w:tcW w:w="593" w:type="dxa"/>
            <w:tcBorders/>
            <w:vAlign w:val="center"/>
          </w:tcPr>
          <w:p>
            <w:pPr>
              <w:pStyle w:val="TableContents"/>
              <w:bidi w:val="0"/>
              <w:spacing w:before="0" w:after="0"/>
              <w:ind w:left="0" w:right="0" w:firstLine="200"/>
              <w:jc w:val="left"/>
              <w:rPr/>
            </w:pPr>
            <w:r>
              <w:rPr/>
              <w:t> </w:t>
            </w:r>
          </w:p>
        </w:tc>
      </w:tr>
      <w:tr>
        <w:trPr/>
        <w:tc>
          <w:tcPr>
            <w:tcW w:w="30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Administrative and general</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20,134</w:t>
            </w:r>
          </w:p>
        </w:tc>
        <w:tc>
          <w:tcPr>
            <w:tcW w:w="593" w:type="dxa"/>
            <w:tcBorders/>
            <w:vAlign w:val="center"/>
          </w:tcPr>
          <w:p>
            <w:pPr>
              <w:pStyle w:val="TableContents"/>
              <w:bidi w:val="0"/>
              <w:spacing w:before="0" w:after="0"/>
              <w:ind w:left="0" w:right="0" w:firstLine="200"/>
              <w:jc w:val="left"/>
              <w:rPr/>
            </w:pPr>
            <w:r>
              <w:rPr/>
              <w:t> </w:t>
            </w:r>
          </w:p>
        </w:tc>
      </w:tr>
      <w:tr>
        <w:trPr/>
        <w:tc>
          <w:tcPr>
            <w:tcW w:w="30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9,200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6,564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8,574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4,241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28,579</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045" w:type="dxa"/>
            <w:tcBorders/>
            <w:vAlign w:val="center"/>
          </w:tcPr>
          <w:p>
            <w:pPr>
              <w:pStyle w:val="TableContents"/>
              <w:bidi w:val="0"/>
              <w:spacing w:before="0" w:after="283"/>
              <w:ind w:left="0" w:right="0" w:firstLine="20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50,781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Gains on asset dispositions and impairments, net</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2,164</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loss</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(32,650</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 of June 30, 2022</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30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Historical cost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269,717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247,967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322,091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160,372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1,000,147</w:t>
            </w:r>
          </w:p>
        </w:tc>
        <w:tc>
          <w:tcPr>
            <w:tcW w:w="593" w:type="dxa"/>
            <w:tcBorders/>
            <w:vAlign w:val="center"/>
          </w:tcPr>
          <w:p>
            <w:pPr>
              <w:pStyle w:val="TableContents"/>
              <w:bidi w:val="0"/>
              <w:spacing w:before="0" w:after="0"/>
              <w:ind w:left="0" w:right="0" w:firstLine="200"/>
              <w:jc w:val="left"/>
              <w:rPr/>
            </w:pPr>
            <w:r>
              <w:rPr/>
              <w:t> </w:t>
            </w:r>
          </w:p>
        </w:tc>
      </w:tr>
      <w:tr>
        <w:trPr/>
        <w:tc>
          <w:tcPr>
            <w:tcW w:w="30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Accumulated depreciation</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(130,737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(76,742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(89,634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(27,978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(325,091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045"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138,980</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171,225</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232,457</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132,394</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675,056</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 xml:space="preserve">Total Assets </w:t>
            </w: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170,831</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194,632</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244,606</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215,755</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825,824</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Times New Roman" w:hAnsi="Times New Roman"/>
          <w:b w:val="false"/>
          <w:sz w:val="18"/>
        </w:rPr>
      </w:pPr>
      <w:r>
        <w:rPr>
          <w:rFonts w:ascii="Times New Roman" w:hAnsi="Times New Roman"/>
          <w:b w:val="false"/>
          <w:sz w:val="18"/>
        </w:rPr>
        <w:t>(1)</w:t>
      </w:r>
    </w:p>
    <w:p>
      <w:pPr>
        <w:pStyle w:val="TextBody"/>
        <w:bidi w:val="0"/>
        <w:spacing w:before="40" w:after="0"/>
        <w:jc w:val="both"/>
        <w:rPr/>
      </w:pPr>
      <w:r>
        <w:rPr>
          <w:rFonts w:ascii="Times New Roman;serif" w:hAnsi="Times New Roman;serif"/>
          <w:b w:val="false"/>
          <w:sz w:val="16"/>
        </w:rPr>
        <w:t>Total assets by region does not include corporate assets of $51.3 million as of June 30, 2022</w:t>
      </w:r>
      <w:r>
        <w:rPr>
          <w:rFonts w:ascii="Times New Roman;serif" w:hAnsi="Times New Roman;serif"/>
          <w:b w:val="false"/>
          <w:sz w:val="20"/>
        </w:rPr>
        <w:t>.</w:t>
      </w:r>
    </w:p>
    <w:p>
      <w:pPr>
        <w:pStyle w:val="TextBody"/>
        <w:bidi w:val="0"/>
        <w:spacing w:before="40" w:after="200"/>
        <w:jc w:val="both"/>
        <w:rPr>
          <w:rFonts w:ascii="Times New Roman" w:hAnsi="Times New Roman"/>
          <w:b w:val="false"/>
          <w:sz w:val="18"/>
        </w:rPr>
      </w:pPr>
      <w:r>
        <w:rPr>
          <w:rFonts w:ascii="Times New Roman" w:hAnsi="Times New Roman"/>
          <w:b w:val="false"/>
          <w:sz w:val="18"/>
        </w:rPr>
        <w:t>(2)</w:t>
      </w:r>
    </w:p>
    <w:p>
      <w:pPr>
        <w:pStyle w:val="TextBody"/>
        <w:bidi w:val="0"/>
        <w:spacing w:before="40" w:after="200"/>
        <w:jc w:val="both"/>
        <w:rPr>
          <w:rFonts w:ascii="Times New Roman;serif" w:hAnsi="Times New Roman;serif"/>
          <w:b w:val="false"/>
          <w:sz w:val="16"/>
        </w:rPr>
      </w:pPr>
      <w:r>
        <w:rPr>
          <w:rFonts w:ascii="Times New Roman;serif" w:hAnsi="Times New Roman;serif"/>
          <w:b w:val="false"/>
          <w:sz w:val="16"/>
        </w:rPr>
        <w:t>In the second quarter of 2022, the Company removed from service one specialty vessel in this region. Regional statistics reflect the removed from service status of this vessel.</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30</w:t>
      </w:r>
    </w:p>
    <w:p>
      <w:pPr>
        <w:pStyle w:val="HorizontalLine"/>
        <w:pBdr>
          <w:bottom w:val="double" w:sz="2" w:space="0" w:color="808080"/>
        </w:pBdr>
        <w:bidi w:val="0"/>
        <w:spacing w:before="0" w:after="283"/>
        <w:jc w:val="left"/>
        <w:rPr/>
      </w:pPr>
      <w:r>
        <w:rPr/>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For additional information, the following tables summarize the worldwide operating results and property and equipment for each of the Company’s vessel classes for the periods indicated (in thousands, except statistics):</w:t>
      </w:r>
    </w:p>
    <w:tbl>
      <w:tblPr>
        <w:tblW w:w="10205" w:type="dxa"/>
        <w:jc w:val="left"/>
        <w:tblInd w:w="0" w:type="dxa"/>
        <w:tblLayout w:type="fixed"/>
        <w:tblCellMar>
          <w:top w:w="28" w:type="dxa"/>
          <w:left w:w="28" w:type="dxa"/>
          <w:bottom w:w="28" w:type="dxa"/>
          <w:right w:w="28" w:type="dxa"/>
        </w:tblCellMar>
      </w:tblPr>
      <w:tblGrid>
        <w:gridCol w:w="2824"/>
        <w:gridCol w:w="146"/>
        <w:gridCol w:w="204"/>
        <w:gridCol w:w="533"/>
        <w:gridCol w:w="256"/>
        <w:gridCol w:w="146"/>
        <w:gridCol w:w="196"/>
        <w:gridCol w:w="601"/>
        <w:gridCol w:w="256"/>
        <w:gridCol w:w="146"/>
        <w:gridCol w:w="196"/>
        <w:gridCol w:w="601"/>
        <w:gridCol w:w="256"/>
        <w:gridCol w:w="146"/>
        <w:gridCol w:w="196"/>
        <w:gridCol w:w="601"/>
        <w:gridCol w:w="256"/>
        <w:gridCol w:w="146"/>
        <w:gridCol w:w="196"/>
        <w:gridCol w:w="511"/>
        <w:gridCol w:w="256"/>
        <w:gridCol w:w="146"/>
        <w:gridCol w:w="196"/>
        <w:gridCol w:w="601"/>
        <w:gridCol w:w="593"/>
      </w:tblGrid>
      <w:tr>
        <w:trPr/>
        <w:tc>
          <w:tcPr>
            <w:tcW w:w="2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8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7"/>
              </w:rPr>
            </w:pPr>
            <w:r>
              <w:rPr>
                <w:rFonts w:ascii="Times New Roman;serif" w:hAnsi="Times New Roman;serif"/>
                <w:b/>
                <w:sz w:val="17"/>
              </w:rPr>
              <w:t xml:space="preserve">AHTS </w:t>
            </w:r>
            <w:r>
              <w:rPr>
                <w:rFonts w:ascii="Times New Roman;serif" w:hAnsi="Times New Roman;serif"/>
                <w:b/>
                <w:sz w:val="11"/>
              </w:rPr>
              <w:t>(1)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7"/>
              </w:rPr>
            </w:pPr>
            <w:r>
              <w:rPr>
                <w:rFonts w:ascii="Times New Roman;serif" w:hAnsi="Times New Roman;serif"/>
                <w:b/>
                <w:sz w:val="17"/>
              </w:rPr>
              <w:t xml:space="preserve">FSV </w:t>
            </w:r>
            <w:r>
              <w:rPr>
                <w:rFonts w:ascii="Times New Roman;serif" w:hAnsi="Times New Roman;serif"/>
                <w:b/>
                <w:sz w:val="11"/>
              </w:rPr>
              <w:t>(2)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7"/>
              </w:rPr>
            </w:pPr>
            <w:r>
              <w:rPr>
                <w:rFonts w:ascii="Times New Roman;serif" w:hAnsi="Times New Roman;serif"/>
                <w:b/>
                <w:sz w:val="17"/>
              </w:rPr>
              <w:t xml:space="preserve">PSV </w:t>
            </w:r>
            <w:r>
              <w:rPr>
                <w:rFonts w:ascii="Times New Roman;serif" w:hAnsi="Times New Roman;serif"/>
                <w:b/>
                <w:sz w:val="11"/>
              </w:rPr>
              <w:t>(3)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Liftboats</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Other</w:t>
              <w:br/>
              <w:t>activity</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Total</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24"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For the Three Months Ended June 30, 2023</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2824"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Time Charter Statistics:</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2824"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Average Rates Per Day</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8,916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11,314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17,545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35,623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15,250</w:t>
            </w:r>
          </w:p>
        </w:tc>
        <w:tc>
          <w:tcPr>
            <w:tcW w:w="593" w:type="dxa"/>
            <w:tcBorders/>
            <w:vAlign w:val="center"/>
          </w:tcPr>
          <w:p>
            <w:pPr>
              <w:pStyle w:val="TableContents"/>
              <w:bidi w:val="0"/>
              <w:spacing w:before="0" w:after="0"/>
              <w:ind w:left="0" w:right="0" w:firstLine="200"/>
              <w:jc w:val="left"/>
              <w:rPr/>
            </w:pPr>
            <w:r>
              <w:rPr/>
              <w:t> </w:t>
            </w:r>
          </w:p>
        </w:tc>
      </w:tr>
      <w:tr>
        <w:trPr/>
        <w:tc>
          <w:tcPr>
            <w:tcW w:w="2824"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Fleet Utilization</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w:t>
            </w:r>
          </w:p>
        </w:tc>
        <w:tc>
          <w:tcPr>
            <w:tcW w:w="59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824"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Fleet Available Days</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2,093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5,096</w:t>
            </w:r>
          </w:p>
        </w:tc>
        <w:tc>
          <w:tcPr>
            <w:tcW w:w="593" w:type="dxa"/>
            <w:tcBorders/>
            <w:vAlign w:val="center"/>
          </w:tcPr>
          <w:p>
            <w:pPr>
              <w:pStyle w:val="TableContents"/>
              <w:bidi w:val="0"/>
              <w:spacing w:before="0" w:after="0"/>
              <w:ind w:left="0" w:right="0" w:hanging="0"/>
              <w:jc w:val="left"/>
              <w:rPr/>
            </w:pPr>
            <w:r>
              <w:rPr/>
              <w:t> </w:t>
            </w:r>
          </w:p>
        </w:tc>
      </w:tr>
      <w:tr>
        <w:trPr/>
        <w:tc>
          <w:tcPr>
            <w:tcW w:w="2824"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Operating Revenues:</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2824"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Time charter</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2,762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21,747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25,458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10,837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60,804</w:t>
            </w:r>
          </w:p>
        </w:tc>
        <w:tc>
          <w:tcPr>
            <w:tcW w:w="593" w:type="dxa"/>
            <w:tcBorders/>
            <w:vAlign w:val="center"/>
          </w:tcPr>
          <w:p>
            <w:pPr>
              <w:pStyle w:val="TableContents"/>
              <w:bidi w:val="0"/>
              <w:spacing w:before="0" w:after="0"/>
              <w:ind w:left="0" w:right="0" w:firstLine="200"/>
              <w:jc w:val="left"/>
              <w:rPr/>
            </w:pPr>
            <w:r>
              <w:rPr/>
              <w:t> </w:t>
            </w:r>
          </w:p>
        </w:tc>
      </w:tr>
      <w:tr>
        <w:trPr/>
        <w:tc>
          <w:tcPr>
            <w:tcW w:w="2824"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Bareboat charter</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364</w:t>
            </w:r>
          </w:p>
        </w:tc>
        <w:tc>
          <w:tcPr>
            <w:tcW w:w="593" w:type="dxa"/>
            <w:tcBorders/>
            <w:vAlign w:val="center"/>
          </w:tcPr>
          <w:p>
            <w:pPr>
              <w:pStyle w:val="TableContents"/>
              <w:bidi w:val="0"/>
              <w:spacing w:before="0" w:after="0"/>
              <w:ind w:left="0" w:right="0" w:firstLine="200"/>
              <w:jc w:val="left"/>
              <w:rPr/>
            </w:pPr>
            <w:r>
              <w:rPr/>
              <w:t> </w:t>
            </w:r>
          </w:p>
        </w:tc>
      </w:tr>
      <w:tr>
        <w:trPr/>
        <w:tc>
          <w:tcPr>
            <w:tcW w:w="2824"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Other marine services</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(518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5,355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1,001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5,723</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2,628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21,229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25,841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16,192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1,001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66,891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4"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Direct Costs and Expenses:</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2824"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Operating:</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2824"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Personnel</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1,069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5,083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8,738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5,065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19,944</w:t>
            </w:r>
          </w:p>
        </w:tc>
        <w:tc>
          <w:tcPr>
            <w:tcW w:w="593" w:type="dxa"/>
            <w:tcBorders/>
            <w:vAlign w:val="center"/>
          </w:tcPr>
          <w:p>
            <w:pPr>
              <w:pStyle w:val="TableContents"/>
              <w:bidi w:val="0"/>
              <w:spacing w:before="0" w:after="0"/>
              <w:ind w:left="0" w:right="0" w:firstLine="400"/>
              <w:jc w:val="left"/>
              <w:rPr/>
            </w:pPr>
            <w:r>
              <w:rPr/>
              <w:t> </w:t>
            </w:r>
          </w:p>
        </w:tc>
      </w:tr>
      <w:tr>
        <w:trPr/>
        <w:tc>
          <w:tcPr>
            <w:tcW w:w="2824"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Repairs and maintenance</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1,134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2,998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1,472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5,793</w:t>
            </w:r>
          </w:p>
        </w:tc>
        <w:tc>
          <w:tcPr>
            <w:tcW w:w="593" w:type="dxa"/>
            <w:tcBorders/>
            <w:vAlign w:val="center"/>
          </w:tcPr>
          <w:p>
            <w:pPr>
              <w:pStyle w:val="TableContents"/>
              <w:bidi w:val="0"/>
              <w:spacing w:before="0" w:after="0"/>
              <w:ind w:left="0" w:right="0" w:firstLine="400"/>
              <w:jc w:val="left"/>
              <w:rPr/>
            </w:pPr>
            <w:r>
              <w:rPr/>
              <w:t> </w:t>
            </w:r>
          </w:p>
        </w:tc>
      </w:tr>
      <w:tr>
        <w:trPr/>
        <w:tc>
          <w:tcPr>
            <w:tcW w:w="2824"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Drydocking</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1,342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849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2,256</w:t>
            </w:r>
          </w:p>
        </w:tc>
        <w:tc>
          <w:tcPr>
            <w:tcW w:w="593" w:type="dxa"/>
            <w:tcBorders/>
            <w:vAlign w:val="center"/>
          </w:tcPr>
          <w:p>
            <w:pPr>
              <w:pStyle w:val="TableContents"/>
              <w:bidi w:val="0"/>
              <w:spacing w:before="0" w:after="0"/>
              <w:ind w:left="0" w:right="0" w:firstLine="400"/>
              <w:jc w:val="left"/>
              <w:rPr/>
            </w:pPr>
            <w:r>
              <w:rPr/>
              <w:t> </w:t>
            </w:r>
          </w:p>
        </w:tc>
      </w:tr>
      <w:tr>
        <w:trPr/>
        <w:tc>
          <w:tcPr>
            <w:tcW w:w="2824"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Insurance and loss reserves</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337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421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1,418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2,390</w:t>
            </w:r>
          </w:p>
        </w:tc>
        <w:tc>
          <w:tcPr>
            <w:tcW w:w="593" w:type="dxa"/>
            <w:tcBorders/>
            <w:vAlign w:val="center"/>
          </w:tcPr>
          <w:p>
            <w:pPr>
              <w:pStyle w:val="TableContents"/>
              <w:bidi w:val="0"/>
              <w:spacing w:before="0" w:after="0"/>
              <w:ind w:left="0" w:right="0" w:firstLine="400"/>
              <w:jc w:val="left"/>
              <w:rPr/>
            </w:pPr>
            <w:r>
              <w:rPr/>
              <w:t> </w:t>
            </w:r>
          </w:p>
        </w:tc>
      </w:tr>
      <w:tr>
        <w:trPr/>
        <w:tc>
          <w:tcPr>
            <w:tcW w:w="2824"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Fuel, lubes and supplies</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1,108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2,124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3,638</w:t>
            </w:r>
          </w:p>
        </w:tc>
        <w:tc>
          <w:tcPr>
            <w:tcW w:w="593" w:type="dxa"/>
            <w:tcBorders/>
            <w:vAlign w:val="center"/>
          </w:tcPr>
          <w:p>
            <w:pPr>
              <w:pStyle w:val="TableContents"/>
              <w:bidi w:val="0"/>
              <w:spacing w:before="0" w:after="0"/>
              <w:ind w:left="0" w:right="0" w:firstLine="400"/>
              <w:jc w:val="left"/>
              <w:rPr/>
            </w:pPr>
            <w:r>
              <w:rPr/>
              <w:t> </w:t>
            </w:r>
          </w:p>
        </w:tc>
      </w:tr>
      <w:tr>
        <w:trPr/>
        <w:tc>
          <w:tcPr>
            <w:tcW w:w="2824"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Other</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947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840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2,281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1,851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9,951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15,133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9,324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36,302</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4"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Other Costs and Expenses:</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2824"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Lease expense</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332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698</w:t>
            </w:r>
          </w:p>
        </w:tc>
        <w:tc>
          <w:tcPr>
            <w:tcW w:w="593" w:type="dxa"/>
            <w:tcBorders/>
            <w:vAlign w:val="center"/>
          </w:tcPr>
          <w:p>
            <w:pPr>
              <w:pStyle w:val="TableContents"/>
              <w:bidi w:val="0"/>
              <w:spacing w:before="0" w:after="0"/>
              <w:ind w:left="0" w:right="0" w:firstLine="200"/>
              <w:jc w:val="left"/>
              <w:rPr/>
            </w:pPr>
            <w:r>
              <w:rPr/>
              <w:t> </w:t>
            </w:r>
          </w:p>
        </w:tc>
      </w:tr>
      <w:tr>
        <w:trPr/>
        <w:tc>
          <w:tcPr>
            <w:tcW w:w="2824"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Administrative and general</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13,704</w:t>
            </w:r>
          </w:p>
        </w:tc>
        <w:tc>
          <w:tcPr>
            <w:tcW w:w="593" w:type="dxa"/>
            <w:tcBorders/>
            <w:vAlign w:val="center"/>
          </w:tcPr>
          <w:p>
            <w:pPr>
              <w:pStyle w:val="TableContents"/>
              <w:bidi w:val="0"/>
              <w:spacing w:before="0" w:after="0"/>
              <w:ind w:left="0" w:right="0" w:firstLine="200"/>
              <w:jc w:val="left"/>
              <w:rPr/>
            </w:pPr>
            <w:r>
              <w:rPr/>
              <w:t> </w:t>
            </w:r>
          </w:p>
        </w:tc>
      </w:tr>
      <w:tr>
        <w:trPr/>
        <w:tc>
          <w:tcPr>
            <w:tcW w:w="2824"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4,952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4,072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4,215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13,575</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27,977</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4"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Gains on asset dispositions and impairments, net</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265</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4"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Operating income</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2,877</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Times New Roman" w:hAnsi="Times New Roman"/>
          <w:b w:val="false"/>
          <w:sz w:val="18"/>
        </w:rPr>
      </w:pPr>
      <w:r>
        <w:rPr>
          <w:rFonts w:ascii="Times New Roman" w:hAnsi="Times New Roman"/>
          <w:b w:val="false"/>
          <w:sz w:val="18"/>
        </w:rPr>
        <w:t>(1)</w:t>
      </w:r>
    </w:p>
    <w:p>
      <w:pPr>
        <w:pStyle w:val="TextBody"/>
        <w:bidi w:val="0"/>
        <w:spacing w:before="40" w:after="0"/>
        <w:jc w:val="both"/>
        <w:rPr>
          <w:rFonts w:ascii="Times New Roman;serif" w:hAnsi="Times New Roman;serif"/>
          <w:b w:val="false"/>
          <w:sz w:val="16"/>
        </w:rPr>
      </w:pPr>
      <w:r>
        <w:rPr>
          <w:rFonts w:ascii="Times New Roman;serif" w:hAnsi="Times New Roman;serif"/>
          <w:b w:val="false"/>
          <w:sz w:val="16"/>
        </w:rPr>
        <w:t>Anchor handling towing supply vessels (“AHTS”).</w:t>
      </w:r>
    </w:p>
    <w:p>
      <w:pPr>
        <w:pStyle w:val="TextBody"/>
        <w:bidi w:val="0"/>
        <w:spacing w:before="40" w:after="0"/>
        <w:jc w:val="both"/>
        <w:rPr>
          <w:rFonts w:ascii="Times New Roman" w:hAnsi="Times New Roman"/>
          <w:b w:val="false"/>
          <w:sz w:val="18"/>
        </w:rPr>
      </w:pPr>
      <w:r>
        <w:rPr>
          <w:rFonts w:ascii="Times New Roman" w:hAnsi="Times New Roman"/>
          <w:b w:val="false"/>
          <w:sz w:val="18"/>
        </w:rPr>
        <w:t>(2)</w:t>
      </w:r>
    </w:p>
    <w:p>
      <w:pPr>
        <w:pStyle w:val="TextBody"/>
        <w:bidi w:val="0"/>
        <w:spacing w:before="40" w:after="0"/>
        <w:jc w:val="both"/>
        <w:rPr>
          <w:rFonts w:ascii="Times New Roman;serif" w:hAnsi="Times New Roman;serif"/>
          <w:b w:val="false"/>
          <w:sz w:val="16"/>
        </w:rPr>
      </w:pPr>
      <w:r>
        <w:rPr>
          <w:rFonts w:ascii="Times New Roman;serif" w:hAnsi="Times New Roman;serif"/>
          <w:b w:val="false"/>
          <w:sz w:val="16"/>
        </w:rPr>
        <w:t>Fast support vessels (“FSVs”).</w:t>
      </w:r>
    </w:p>
    <w:p>
      <w:pPr>
        <w:pStyle w:val="TextBody"/>
        <w:bidi w:val="0"/>
        <w:spacing w:before="40" w:after="200"/>
        <w:jc w:val="both"/>
        <w:rPr>
          <w:rFonts w:ascii="Times New Roman" w:hAnsi="Times New Roman"/>
          <w:b w:val="false"/>
          <w:sz w:val="18"/>
        </w:rPr>
      </w:pPr>
      <w:r>
        <w:rPr>
          <w:rFonts w:ascii="Times New Roman" w:hAnsi="Times New Roman"/>
          <w:b w:val="false"/>
          <w:sz w:val="18"/>
        </w:rPr>
        <w:t>(3)</w:t>
      </w:r>
    </w:p>
    <w:p>
      <w:pPr>
        <w:pStyle w:val="TextBody"/>
        <w:bidi w:val="0"/>
        <w:spacing w:before="40" w:after="200"/>
        <w:jc w:val="both"/>
        <w:rPr/>
      </w:pPr>
      <w:r>
        <w:rPr>
          <w:rFonts w:ascii="Times New Roman;serif" w:hAnsi="Times New Roman;serif"/>
          <w:b w:val="false"/>
          <w:sz w:val="16"/>
        </w:rPr>
        <w:t>Platform support vessels (“PSVs”)</w:t>
      </w:r>
      <w:r>
        <w:rPr>
          <w:rFonts w:ascii="Times New Roman;serif" w:hAnsi="Times New Roman;serif"/>
          <w:b w:val="false"/>
          <w:sz w:val="20"/>
        </w:rPr>
        <w:t>.</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016"/>
        <w:gridCol w:w="146"/>
        <w:gridCol w:w="196"/>
        <w:gridCol w:w="661"/>
        <w:gridCol w:w="256"/>
        <w:gridCol w:w="146"/>
        <w:gridCol w:w="196"/>
        <w:gridCol w:w="751"/>
        <w:gridCol w:w="256"/>
        <w:gridCol w:w="146"/>
        <w:gridCol w:w="196"/>
        <w:gridCol w:w="691"/>
        <w:gridCol w:w="256"/>
        <w:gridCol w:w="146"/>
        <w:gridCol w:w="196"/>
        <w:gridCol w:w="751"/>
        <w:gridCol w:w="256"/>
        <w:gridCol w:w="146"/>
        <w:gridCol w:w="196"/>
        <w:gridCol w:w="661"/>
        <w:gridCol w:w="256"/>
        <w:gridCol w:w="146"/>
        <w:gridCol w:w="196"/>
        <w:gridCol w:w="751"/>
        <w:gridCol w:w="591"/>
      </w:tblGrid>
      <w:tr>
        <w:trPr/>
        <w:tc>
          <w:tcPr>
            <w:tcW w:w="2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AHTS</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FSV</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PSV</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Liftboats</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Other</w:t>
              <w:br/>
              <w:t>activity</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Total</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For the Six Months Ended June 30, 2023</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Time Charter Statistics:</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Average Rates Per Day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9,081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10,965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16,278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34,661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14,789</w:t>
            </w:r>
          </w:p>
        </w:tc>
        <w:tc>
          <w:tcPr>
            <w:tcW w:w="591" w:type="dxa"/>
            <w:tcBorders/>
            <w:vAlign w:val="center"/>
          </w:tcPr>
          <w:p>
            <w:pPr>
              <w:pStyle w:val="TableContents"/>
              <w:bidi w:val="0"/>
              <w:spacing w:before="0" w:after="0"/>
              <w:ind w:left="0" w:right="0" w:firstLine="200"/>
              <w:jc w:val="lef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Fleet Utilization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Fleet Available Days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4,163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3,620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10,167</w:t>
            </w:r>
          </w:p>
        </w:tc>
        <w:tc>
          <w:tcPr>
            <w:tcW w:w="591" w:type="dxa"/>
            <w:tcBorders/>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Operating Revenues:</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Time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5,677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41,735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44,258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24,549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116,219</w:t>
            </w:r>
          </w:p>
        </w:tc>
        <w:tc>
          <w:tcPr>
            <w:tcW w:w="591" w:type="dxa"/>
            <w:tcBorders/>
            <w:vAlign w:val="center"/>
          </w:tcPr>
          <w:p>
            <w:pPr>
              <w:pStyle w:val="TableContents"/>
              <w:bidi w:val="0"/>
              <w:spacing w:before="0" w:after="0"/>
              <w:ind w:left="0" w:right="0" w:firstLine="200"/>
              <w:jc w:val="lef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Bareboat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724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724</w:t>
            </w:r>
          </w:p>
        </w:tc>
        <w:tc>
          <w:tcPr>
            <w:tcW w:w="591" w:type="dxa"/>
            <w:tcBorders/>
            <w:vAlign w:val="center"/>
          </w:tcPr>
          <w:p>
            <w:pPr>
              <w:pStyle w:val="TableContents"/>
              <w:bidi w:val="0"/>
              <w:spacing w:before="0" w:after="0"/>
              <w:ind w:left="0" w:right="0" w:firstLine="200"/>
              <w:jc w:val="lef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Other marine services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(895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859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8,131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2,112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9,921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5,391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40,840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45,841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32,680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2,112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126,864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Direct Costs and Expenses:</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Operating:</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201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Personnel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2,064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9,944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17,587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10,133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39,747</w:t>
            </w:r>
          </w:p>
        </w:tc>
        <w:tc>
          <w:tcPr>
            <w:tcW w:w="591" w:type="dxa"/>
            <w:tcBorders/>
            <w:vAlign w:val="center"/>
          </w:tcPr>
          <w:p>
            <w:pPr>
              <w:pStyle w:val="TableContents"/>
              <w:bidi w:val="0"/>
              <w:spacing w:before="0" w:after="0"/>
              <w:ind w:left="0" w:right="0" w:firstLine="400"/>
              <w:jc w:val="left"/>
              <w:rPr/>
            </w:pPr>
            <w:r>
              <w:rPr/>
              <w:t> </w:t>
            </w:r>
          </w:p>
        </w:tc>
      </w:tr>
      <w:tr>
        <w:trPr/>
        <w:tc>
          <w:tcPr>
            <w:tcW w:w="201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Repairs and maintenance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402</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3,001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6,473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1,971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(43</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11,804</w:t>
            </w:r>
          </w:p>
        </w:tc>
        <w:tc>
          <w:tcPr>
            <w:tcW w:w="591" w:type="dxa"/>
            <w:tcBorders/>
            <w:vAlign w:val="center"/>
          </w:tcPr>
          <w:p>
            <w:pPr>
              <w:pStyle w:val="TableContents"/>
              <w:bidi w:val="0"/>
              <w:spacing w:before="0" w:after="0"/>
              <w:ind w:left="0" w:right="0" w:firstLine="400"/>
              <w:jc w:val="left"/>
              <w:rPr/>
            </w:pPr>
            <w:r>
              <w:rPr/>
              <w:t> </w:t>
            </w:r>
          </w:p>
        </w:tc>
      </w:tr>
      <w:tr>
        <w:trPr/>
        <w:tc>
          <w:tcPr>
            <w:tcW w:w="201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Drydocking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551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1,470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621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2,269</w:t>
            </w:r>
          </w:p>
        </w:tc>
        <w:tc>
          <w:tcPr>
            <w:tcW w:w="591" w:type="dxa"/>
            <w:tcBorders/>
            <w:vAlign w:val="center"/>
          </w:tcPr>
          <w:p>
            <w:pPr>
              <w:pStyle w:val="TableContents"/>
              <w:bidi w:val="0"/>
              <w:spacing w:before="0" w:after="0"/>
              <w:ind w:left="0" w:right="0" w:firstLine="400"/>
              <w:jc w:val="left"/>
              <w:rPr/>
            </w:pPr>
            <w:r>
              <w:rPr/>
              <w:t> </w:t>
            </w:r>
          </w:p>
        </w:tc>
      </w:tr>
      <w:tr>
        <w:trPr/>
        <w:tc>
          <w:tcPr>
            <w:tcW w:w="201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Insurance and loss reserves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671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840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3,325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5,179</w:t>
            </w:r>
          </w:p>
        </w:tc>
        <w:tc>
          <w:tcPr>
            <w:tcW w:w="591" w:type="dxa"/>
            <w:tcBorders/>
            <w:vAlign w:val="center"/>
          </w:tcPr>
          <w:p>
            <w:pPr>
              <w:pStyle w:val="TableContents"/>
              <w:bidi w:val="0"/>
              <w:spacing w:before="0" w:after="0"/>
              <w:ind w:left="0" w:right="0" w:firstLine="400"/>
              <w:jc w:val="left"/>
              <w:rPr/>
            </w:pPr>
            <w:r>
              <w:rPr/>
              <w:t> </w:t>
            </w:r>
          </w:p>
        </w:tc>
      </w:tr>
      <w:tr>
        <w:trPr/>
        <w:tc>
          <w:tcPr>
            <w:tcW w:w="201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Fuel, lubes and supplies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668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2,490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4,455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838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8,457</w:t>
            </w:r>
          </w:p>
        </w:tc>
        <w:tc>
          <w:tcPr>
            <w:tcW w:w="591" w:type="dxa"/>
            <w:tcBorders/>
            <w:vAlign w:val="center"/>
          </w:tcPr>
          <w:p>
            <w:pPr>
              <w:pStyle w:val="TableContents"/>
              <w:bidi w:val="0"/>
              <w:spacing w:before="0" w:after="0"/>
              <w:ind w:left="0" w:right="0" w:firstLine="400"/>
              <w:jc w:val="left"/>
              <w:rPr/>
            </w:pPr>
            <w:r>
              <w:rPr/>
              <w:t> </w:t>
            </w:r>
          </w:p>
        </w:tc>
      </w:tr>
      <w:tr>
        <w:trPr/>
        <w:tc>
          <w:tcPr>
            <w:tcW w:w="201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490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2,183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3,154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6,119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4,321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19,759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33,130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16,248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73,575</w:t>
            </w:r>
          </w:p>
        </w:tc>
        <w:tc>
          <w:tcPr>
            <w:tcW w:w="591" w:type="dxa"/>
            <w:tcBorders/>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Other Costs and Expenses:</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Lease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663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755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1,418</w:t>
            </w:r>
          </w:p>
        </w:tc>
        <w:tc>
          <w:tcPr>
            <w:tcW w:w="591" w:type="dxa"/>
            <w:tcBorders/>
            <w:vAlign w:val="center"/>
          </w:tcPr>
          <w:p>
            <w:pPr>
              <w:pStyle w:val="TableContents"/>
              <w:bidi w:val="0"/>
              <w:spacing w:before="0" w:after="0"/>
              <w:ind w:left="0" w:right="0" w:firstLine="200"/>
              <w:jc w:val="lef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Administrative and general</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25,336</w:t>
            </w:r>
          </w:p>
        </w:tc>
        <w:tc>
          <w:tcPr>
            <w:tcW w:w="591" w:type="dxa"/>
            <w:tcBorders/>
            <w:vAlign w:val="center"/>
          </w:tcPr>
          <w:p>
            <w:pPr>
              <w:pStyle w:val="TableContents"/>
              <w:bidi w:val="0"/>
              <w:spacing w:before="0" w:after="0"/>
              <w:ind w:left="0" w:right="0" w:firstLine="200"/>
              <w:jc w:val="lef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596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9,898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8,334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8,429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27,337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54,091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Gains on asset dispositions and impairments, net</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3,864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Operating income</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3,062</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 of June 30, 2023</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w:t>
            </w:r>
          </w:p>
        </w:tc>
        <w:tc>
          <w:tcPr>
            <w:tcW w:w="146" w:type="dxa"/>
            <w:tcBorders/>
            <w:vAlign w:val="center"/>
          </w:tcPr>
          <w:p>
            <w:pPr>
              <w:pStyle w:val="TableContents"/>
              <w:bidi w:val="0"/>
              <w:spacing w:before="0" w:after="0"/>
              <w:ind w:left="0" w:right="0" w:hanging="0"/>
              <w:jc w:val="righ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Historical cost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27,647</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352,889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301,523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265,098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19,181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966,338</w:t>
            </w:r>
          </w:p>
        </w:tc>
        <w:tc>
          <w:tcPr>
            <w:tcW w:w="591" w:type="dxa"/>
            <w:tcBorders/>
            <w:vAlign w:val="center"/>
          </w:tcPr>
          <w:p>
            <w:pPr>
              <w:pStyle w:val="TableContents"/>
              <w:bidi w:val="0"/>
              <w:spacing w:before="0" w:after="0"/>
              <w:ind w:left="0" w:right="0" w:firstLine="200"/>
              <w:jc w:val="lef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Accumulated depreciation</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(19,188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(139,993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(45,015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(111,888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(18,594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(334,678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201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8,459</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212,896</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256,508</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153,210</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587</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631,660</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779"/>
        <w:gridCol w:w="146"/>
        <w:gridCol w:w="196"/>
        <w:gridCol w:w="511"/>
        <w:gridCol w:w="241"/>
        <w:gridCol w:w="146"/>
        <w:gridCol w:w="196"/>
        <w:gridCol w:w="601"/>
        <w:gridCol w:w="241"/>
        <w:gridCol w:w="146"/>
        <w:gridCol w:w="196"/>
        <w:gridCol w:w="601"/>
        <w:gridCol w:w="241"/>
        <w:gridCol w:w="146"/>
        <w:gridCol w:w="196"/>
        <w:gridCol w:w="601"/>
        <w:gridCol w:w="241"/>
        <w:gridCol w:w="146"/>
        <w:gridCol w:w="272"/>
        <w:gridCol w:w="525"/>
        <w:gridCol w:w="241"/>
        <w:gridCol w:w="146"/>
        <w:gridCol w:w="196"/>
        <w:gridCol w:w="661"/>
        <w:gridCol w:w="593"/>
      </w:tblGrid>
      <w:tr>
        <w:trPr/>
        <w:tc>
          <w:tcPr>
            <w:tcW w:w="2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7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AHTS</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FSV</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PSV</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Liftboats</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7"/>
              </w:rPr>
            </w:pPr>
            <w:r>
              <w:rPr>
                <w:rFonts w:ascii="Times New Roman;serif" w:hAnsi="Times New Roman;serif"/>
                <w:b/>
                <w:sz w:val="17"/>
              </w:rPr>
              <w:t>Other</w:t>
              <w:br/>
              <w:t xml:space="preserve">activity </w:t>
            </w:r>
            <w:r>
              <w:rPr>
                <w:rFonts w:ascii="Times New Roman;serif" w:hAnsi="Times New Roman;serif"/>
                <w:b/>
                <w:sz w:val="11"/>
              </w:rPr>
              <w:t>(1)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Total</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79"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For the Three Months Ended June 30, 2022</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2779"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Time Charter Statistics:</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2779"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Average Rates Per Day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8,887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9,201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13,422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24,712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2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12,149</w:t>
            </w:r>
          </w:p>
        </w:tc>
        <w:tc>
          <w:tcPr>
            <w:tcW w:w="593" w:type="dxa"/>
            <w:tcBorders/>
            <w:vAlign w:val="center"/>
          </w:tcPr>
          <w:p>
            <w:pPr>
              <w:pStyle w:val="TableContents"/>
              <w:bidi w:val="0"/>
              <w:spacing w:before="0" w:after="0"/>
              <w:ind w:left="0" w:right="0" w:firstLine="200"/>
              <w:jc w:val="left"/>
              <w:rPr/>
            </w:pPr>
            <w:r>
              <w:rPr/>
              <w:t> </w:t>
            </w:r>
          </w:p>
        </w:tc>
      </w:tr>
      <w:tr>
        <w:trPr/>
        <w:tc>
          <w:tcPr>
            <w:tcW w:w="2779"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Fleet Utilization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66</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86</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77</w:t>
            </w:r>
          </w:p>
        </w:tc>
        <w:tc>
          <w:tcPr>
            <w:tcW w:w="593" w:type="dxa"/>
            <w:tcBorders/>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2779"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Fleet Available Days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546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2,126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1,820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819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5,311</w:t>
            </w:r>
          </w:p>
        </w:tc>
        <w:tc>
          <w:tcPr>
            <w:tcW w:w="593" w:type="dxa"/>
            <w:tcBorders/>
            <w:vAlign w:val="center"/>
          </w:tcPr>
          <w:p>
            <w:pPr>
              <w:pStyle w:val="TableContents"/>
              <w:bidi w:val="0"/>
              <w:spacing w:before="0" w:after="0"/>
              <w:ind w:left="0" w:right="0" w:hanging="0"/>
              <w:jc w:val="left"/>
              <w:rPr/>
            </w:pPr>
            <w:r>
              <w:rPr/>
              <w:t> </w:t>
            </w:r>
          </w:p>
        </w:tc>
      </w:tr>
      <w:tr>
        <w:trPr/>
        <w:tc>
          <w:tcPr>
            <w:tcW w:w="2779"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Operating Revenues:</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2779"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Time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3,191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16,525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20,983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8,805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2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49,504</w:t>
            </w:r>
          </w:p>
        </w:tc>
        <w:tc>
          <w:tcPr>
            <w:tcW w:w="593" w:type="dxa"/>
            <w:tcBorders/>
            <w:vAlign w:val="center"/>
          </w:tcPr>
          <w:p>
            <w:pPr>
              <w:pStyle w:val="TableContents"/>
              <w:bidi w:val="0"/>
              <w:spacing w:before="0" w:after="0"/>
              <w:ind w:left="0" w:right="0" w:firstLine="200"/>
              <w:jc w:val="left"/>
              <w:rPr/>
            </w:pPr>
            <w:r>
              <w:rPr/>
              <w:t> </w:t>
            </w:r>
          </w:p>
        </w:tc>
      </w:tr>
      <w:tr>
        <w:trPr/>
        <w:tc>
          <w:tcPr>
            <w:tcW w:w="2779"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Bareboat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48</w:t>
            </w:r>
          </w:p>
        </w:tc>
        <w:tc>
          <w:tcPr>
            <w:tcW w:w="593" w:type="dxa"/>
            <w:tcBorders/>
            <w:vAlign w:val="center"/>
          </w:tcPr>
          <w:p>
            <w:pPr>
              <w:pStyle w:val="TableContents"/>
              <w:bidi w:val="0"/>
              <w:spacing w:before="0" w:after="0"/>
              <w:ind w:left="0" w:right="0" w:firstLine="200"/>
              <w:jc w:val="left"/>
              <w:rPr/>
            </w:pPr>
            <w:r>
              <w:rPr/>
              <w:t> </w:t>
            </w:r>
          </w:p>
        </w:tc>
      </w:tr>
      <w:tr>
        <w:trPr/>
        <w:tc>
          <w:tcPr>
            <w:tcW w:w="2779"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Other marine services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575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3,283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924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4,465</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779" w:type="dxa"/>
            <w:tcBorders/>
            <w:vAlign w:val="center"/>
          </w:tcPr>
          <w:p>
            <w:pPr>
              <w:pStyle w:val="TableContents"/>
              <w:bidi w:val="0"/>
              <w:spacing w:before="0" w:after="283"/>
              <w:ind w:left="0" w:right="0" w:firstLine="2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3,048</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16,351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21,606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12,088</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924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54,017</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79"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Direct Costs and Expenses:</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2779"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Operating:</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2779"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Personnel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1,050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4,880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7,889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4,515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18,346</w:t>
            </w:r>
          </w:p>
        </w:tc>
        <w:tc>
          <w:tcPr>
            <w:tcW w:w="593" w:type="dxa"/>
            <w:tcBorders/>
            <w:vAlign w:val="center"/>
          </w:tcPr>
          <w:p>
            <w:pPr>
              <w:pStyle w:val="TableContents"/>
              <w:bidi w:val="0"/>
              <w:spacing w:before="0" w:after="0"/>
              <w:ind w:left="0" w:right="0" w:firstLine="400"/>
              <w:jc w:val="left"/>
              <w:rPr/>
            </w:pPr>
            <w:r>
              <w:rPr/>
              <w:t> </w:t>
            </w:r>
          </w:p>
        </w:tc>
      </w:tr>
      <w:tr>
        <w:trPr/>
        <w:tc>
          <w:tcPr>
            <w:tcW w:w="2779"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Repairs and maintenance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566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2,458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3,184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2,132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8,380</w:t>
            </w:r>
          </w:p>
        </w:tc>
        <w:tc>
          <w:tcPr>
            <w:tcW w:w="593" w:type="dxa"/>
            <w:tcBorders/>
            <w:vAlign w:val="center"/>
          </w:tcPr>
          <w:p>
            <w:pPr>
              <w:pStyle w:val="TableContents"/>
              <w:bidi w:val="0"/>
              <w:spacing w:before="0" w:after="0"/>
              <w:ind w:left="0" w:right="0" w:firstLine="400"/>
              <w:jc w:val="left"/>
              <w:rPr/>
            </w:pPr>
            <w:r>
              <w:rPr/>
              <w:t> </w:t>
            </w:r>
          </w:p>
        </w:tc>
      </w:tr>
      <w:tr>
        <w:trPr/>
        <w:tc>
          <w:tcPr>
            <w:tcW w:w="2779"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Drydocking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6,737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6,474</w:t>
            </w:r>
          </w:p>
        </w:tc>
        <w:tc>
          <w:tcPr>
            <w:tcW w:w="593" w:type="dxa"/>
            <w:tcBorders/>
            <w:vAlign w:val="center"/>
          </w:tcPr>
          <w:p>
            <w:pPr>
              <w:pStyle w:val="TableContents"/>
              <w:bidi w:val="0"/>
              <w:spacing w:before="0" w:after="0"/>
              <w:ind w:left="0" w:right="0" w:firstLine="400"/>
              <w:jc w:val="left"/>
              <w:rPr/>
            </w:pPr>
            <w:r>
              <w:rPr/>
              <w:t> </w:t>
            </w:r>
          </w:p>
        </w:tc>
      </w:tr>
      <w:tr>
        <w:trPr/>
        <w:tc>
          <w:tcPr>
            <w:tcW w:w="2779"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Insurance and loss reserves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372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551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1,548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2,545</w:t>
            </w:r>
          </w:p>
        </w:tc>
        <w:tc>
          <w:tcPr>
            <w:tcW w:w="593" w:type="dxa"/>
            <w:tcBorders/>
            <w:vAlign w:val="center"/>
          </w:tcPr>
          <w:p>
            <w:pPr>
              <w:pStyle w:val="TableContents"/>
              <w:bidi w:val="0"/>
              <w:spacing w:before="0" w:after="0"/>
              <w:ind w:left="0" w:right="0" w:firstLine="400"/>
              <w:jc w:val="left"/>
              <w:rPr/>
            </w:pPr>
            <w:r>
              <w:rPr/>
              <w:t> </w:t>
            </w:r>
          </w:p>
        </w:tc>
      </w:tr>
      <w:tr>
        <w:trPr/>
        <w:tc>
          <w:tcPr>
            <w:tcW w:w="2779"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Fuel, lubes and supplies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1,187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1,701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1,230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4,350</w:t>
            </w:r>
          </w:p>
        </w:tc>
        <w:tc>
          <w:tcPr>
            <w:tcW w:w="593" w:type="dxa"/>
            <w:tcBorders/>
            <w:vAlign w:val="center"/>
          </w:tcPr>
          <w:p>
            <w:pPr>
              <w:pStyle w:val="TableContents"/>
              <w:bidi w:val="0"/>
              <w:spacing w:before="0" w:after="0"/>
              <w:ind w:left="0" w:right="0" w:firstLine="400"/>
              <w:jc w:val="left"/>
              <w:rPr/>
            </w:pPr>
            <w:r>
              <w:rPr/>
              <w:t> </w:t>
            </w:r>
          </w:p>
        </w:tc>
      </w:tr>
      <w:tr>
        <w:trPr/>
        <w:tc>
          <w:tcPr>
            <w:tcW w:w="2779"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435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1,311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1,631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655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4,050</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7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2,382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10,007</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14,924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16,817</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44,145</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79"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Other Costs and Expenses:</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2779"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Lease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2"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2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404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1,008</w:t>
            </w:r>
          </w:p>
        </w:tc>
        <w:tc>
          <w:tcPr>
            <w:tcW w:w="593" w:type="dxa"/>
            <w:tcBorders/>
            <w:vAlign w:val="center"/>
          </w:tcPr>
          <w:p>
            <w:pPr>
              <w:pStyle w:val="TableContents"/>
              <w:bidi w:val="0"/>
              <w:spacing w:before="0" w:after="0"/>
              <w:ind w:left="0" w:right="0" w:firstLine="200"/>
              <w:jc w:val="left"/>
              <w:rPr/>
            </w:pPr>
            <w:r>
              <w:rPr/>
              <w:t> </w:t>
            </w:r>
          </w:p>
        </w:tc>
      </w:tr>
      <w:tr>
        <w:trPr/>
        <w:tc>
          <w:tcPr>
            <w:tcW w:w="2779"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Administrative and general</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10,210</w:t>
            </w:r>
          </w:p>
        </w:tc>
        <w:tc>
          <w:tcPr>
            <w:tcW w:w="593" w:type="dxa"/>
            <w:tcBorders/>
            <w:vAlign w:val="center"/>
          </w:tcPr>
          <w:p>
            <w:pPr>
              <w:pStyle w:val="TableContents"/>
              <w:bidi w:val="0"/>
              <w:spacing w:before="0" w:after="0"/>
              <w:ind w:left="0" w:right="0" w:firstLine="200"/>
              <w:jc w:val="left"/>
              <w:rPr/>
            </w:pPr>
            <w:r>
              <w:rPr/>
              <w:t> </w:t>
            </w:r>
          </w:p>
        </w:tc>
      </w:tr>
      <w:tr>
        <w:trPr/>
        <w:tc>
          <w:tcPr>
            <w:tcW w:w="2779"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495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5,010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3,785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4,870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14,208</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7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25,426</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79"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Gains on asset dispositions and impairments, net</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79"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Operating income</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(15,529</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bl>
    <w:p>
      <w:pPr>
        <w:pStyle w:val="TextBody"/>
        <w:pBdr>
          <w:bottom w:val="single" w:sz="4" w:space="1" w:color="000000"/>
        </w:pBdr>
        <w:bidi w:val="0"/>
        <w:spacing w:before="0" w:after="0"/>
        <w:jc w:val="both"/>
        <w:rPr/>
      </w:pPr>
      <w:r>
        <w:rPr/>
        <w:t> </w:t>
      </w:r>
    </w:p>
    <w:p>
      <w:pPr>
        <w:pStyle w:val="TextBody"/>
        <w:bidi w:val="0"/>
        <w:spacing w:before="40" w:after="200"/>
        <w:jc w:val="both"/>
        <w:rPr>
          <w:rFonts w:ascii="Times New Roman" w:hAnsi="Times New Roman"/>
          <w:b w:val="false"/>
          <w:sz w:val="18"/>
        </w:rPr>
      </w:pPr>
      <w:r>
        <w:rPr>
          <w:rFonts w:ascii="Times New Roman" w:hAnsi="Times New Roman"/>
          <w:b w:val="false"/>
          <w:sz w:val="18"/>
        </w:rPr>
        <w:t>(1)</w:t>
      </w:r>
    </w:p>
    <w:p>
      <w:pPr>
        <w:pStyle w:val="TextBody"/>
        <w:bidi w:val="0"/>
        <w:spacing w:before="40" w:after="200"/>
        <w:jc w:val="both"/>
        <w:rPr>
          <w:rFonts w:ascii="Times New Roman;serif" w:hAnsi="Times New Roman;serif"/>
          <w:b w:val="false"/>
          <w:sz w:val="16"/>
        </w:rPr>
      </w:pPr>
      <w:r>
        <w:rPr>
          <w:rFonts w:ascii="Times New Roman;serif" w:hAnsi="Times New Roman;serif"/>
          <w:b w:val="false"/>
          <w:sz w:val="16"/>
        </w:rPr>
        <w:t>In the second quarter of 2022, the Company removed from service one specialty vessel in this region. Other activity statistics reflect the removed from service status of this vessel.</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016"/>
        <w:gridCol w:w="146"/>
        <w:gridCol w:w="196"/>
        <w:gridCol w:w="661"/>
        <w:gridCol w:w="241"/>
        <w:gridCol w:w="146"/>
        <w:gridCol w:w="196"/>
        <w:gridCol w:w="751"/>
        <w:gridCol w:w="241"/>
        <w:gridCol w:w="146"/>
        <w:gridCol w:w="196"/>
        <w:gridCol w:w="691"/>
        <w:gridCol w:w="241"/>
        <w:gridCol w:w="146"/>
        <w:gridCol w:w="196"/>
        <w:gridCol w:w="751"/>
        <w:gridCol w:w="241"/>
        <w:gridCol w:w="146"/>
        <w:gridCol w:w="196"/>
        <w:gridCol w:w="661"/>
        <w:gridCol w:w="241"/>
        <w:gridCol w:w="146"/>
        <w:gridCol w:w="196"/>
        <w:gridCol w:w="826"/>
        <w:gridCol w:w="591"/>
      </w:tblGrid>
      <w:tr>
        <w:trPr/>
        <w:tc>
          <w:tcPr>
            <w:tcW w:w="2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AHTS</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FSV</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PSV</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Liftboats</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7"/>
              </w:rPr>
            </w:pPr>
            <w:r>
              <w:rPr>
                <w:rFonts w:ascii="Times New Roman;serif" w:hAnsi="Times New Roman;serif"/>
                <w:b/>
                <w:sz w:val="17"/>
              </w:rPr>
              <w:t>Other</w:t>
              <w:br/>
              <w:t xml:space="preserve">activity </w:t>
            </w:r>
            <w:r>
              <w:rPr>
                <w:rFonts w:ascii="Times New Roman;serif" w:hAnsi="Times New Roman;serif"/>
                <w:b/>
                <w:sz w:val="11"/>
              </w:rPr>
              <w:t>(1)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Total</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For the Six Months Ended June 30, 2022</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Time Charter Statistics:</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Average Rates Per Day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8,898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8,917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12,862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23,507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11,746</w:t>
            </w:r>
          </w:p>
        </w:tc>
        <w:tc>
          <w:tcPr>
            <w:tcW w:w="591" w:type="dxa"/>
            <w:tcBorders/>
            <w:vAlign w:val="center"/>
          </w:tcPr>
          <w:p>
            <w:pPr>
              <w:pStyle w:val="TableContents"/>
              <w:bidi w:val="0"/>
              <w:spacing w:before="0" w:after="0"/>
              <w:ind w:left="0" w:right="0" w:firstLine="200"/>
              <w:jc w:val="lef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Fleet Utilization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66</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46</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73</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Fleet Available Days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1,086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4,286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3,620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1,629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10,711</w:t>
            </w:r>
          </w:p>
        </w:tc>
        <w:tc>
          <w:tcPr>
            <w:tcW w:w="591" w:type="dxa"/>
            <w:tcBorders/>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Operating Revenues:</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Time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6,379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31,425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36,806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17,635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92,245</w:t>
            </w:r>
          </w:p>
        </w:tc>
        <w:tc>
          <w:tcPr>
            <w:tcW w:w="591" w:type="dxa"/>
            <w:tcBorders/>
            <w:vAlign w:val="center"/>
          </w:tcPr>
          <w:p>
            <w:pPr>
              <w:pStyle w:val="TableContents"/>
              <w:bidi w:val="0"/>
              <w:spacing w:before="0" w:after="0"/>
              <w:ind w:left="0" w:right="0" w:firstLine="200"/>
              <w:jc w:val="lef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Bareboat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666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666</w:t>
            </w:r>
          </w:p>
        </w:tc>
        <w:tc>
          <w:tcPr>
            <w:tcW w:w="591" w:type="dxa"/>
            <w:tcBorders/>
            <w:vAlign w:val="center"/>
          </w:tcPr>
          <w:p>
            <w:pPr>
              <w:pStyle w:val="TableContents"/>
              <w:bidi w:val="0"/>
              <w:spacing w:before="0" w:after="0"/>
              <w:ind w:left="0" w:right="0" w:firstLine="200"/>
              <w:jc w:val="lef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Other marine services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(428</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619</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4,746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2,063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6,697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016" w:type="dxa"/>
            <w:tcBorders/>
            <w:vAlign w:val="center"/>
          </w:tcPr>
          <w:p>
            <w:pPr>
              <w:pStyle w:val="TableContents"/>
              <w:bidi w:val="0"/>
              <w:spacing w:before="0" w:after="283"/>
              <w:ind w:left="0" w:right="0" w:firstLine="2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6,076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30,997</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38,091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22,381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2,063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99,608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Direct Costs and Expenses:</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Operating:</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201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Personnel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2,186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9,950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16,082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8,550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36,781</w:t>
            </w:r>
          </w:p>
        </w:tc>
        <w:tc>
          <w:tcPr>
            <w:tcW w:w="591" w:type="dxa"/>
            <w:tcBorders/>
            <w:vAlign w:val="center"/>
          </w:tcPr>
          <w:p>
            <w:pPr>
              <w:pStyle w:val="TableContents"/>
              <w:bidi w:val="0"/>
              <w:spacing w:before="0" w:after="0"/>
              <w:ind w:left="0" w:right="0" w:firstLine="400"/>
              <w:jc w:val="left"/>
              <w:rPr/>
            </w:pPr>
            <w:r>
              <w:rPr/>
              <w:t> </w:t>
            </w:r>
          </w:p>
        </w:tc>
      </w:tr>
      <w:tr>
        <w:trPr/>
        <w:tc>
          <w:tcPr>
            <w:tcW w:w="201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Repairs and maintenance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859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4,258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6,885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3,144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15,171</w:t>
            </w:r>
          </w:p>
        </w:tc>
        <w:tc>
          <w:tcPr>
            <w:tcW w:w="591" w:type="dxa"/>
            <w:tcBorders/>
            <w:vAlign w:val="center"/>
          </w:tcPr>
          <w:p>
            <w:pPr>
              <w:pStyle w:val="TableContents"/>
              <w:bidi w:val="0"/>
              <w:spacing w:before="0" w:after="0"/>
              <w:ind w:left="0" w:right="0" w:firstLine="400"/>
              <w:jc w:val="left"/>
              <w:rPr/>
            </w:pPr>
            <w:r>
              <w:rPr/>
              <w:t> </w:t>
            </w:r>
          </w:p>
        </w:tc>
      </w:tr>
      <w:tr>
        <w:trPr/>
        <w:tc>
          <w:tcPr>
            <w:tcW w:w="201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Drydocking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(37</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1,076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1,270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9,138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11,447</w:t>
            </w:r>
          </w:p>
        </w:tc>
        <w:tc>
          <w:tcPr>
            <w:tcW w:w="591" w:type="dxa"/>
            <w:tcBorders/>
            <w:vAlign w:val="center"/>
          </w:tcPr>
          <w:p>
            <w:pPr>
              <w:pStyle w:val="TableContents"/>
              <w:bidi w:val="0"/>
              <w:spacing w:before="0" w:after="0"/>
              <w:ind w:left="0" w:right="0" w:firstLine="400"/>
              <w:jc w:val="left"/>
              <w:rPr/>
            </w:pPr>
            <w:r>
              <w:rPr/>
              <w:t> </w:t>
            </w:r>
          </w:p>
        </w:tc>
      </w:tr>
      <w:tr>
        <w:trPr/>
        <w:tc>
          <w:tcPr>
            <w:tcW w:w="201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Insurance and loss reserves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632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979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2,763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(652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3,731</w:t>
            </w:r>
          </w:p>
        </w:tc>
        <w:tc>
          <w:tcPr>
            <w:tcW w:w="591" w:type="dxa"/>
            <w:tcBorders/>
            <w:vAlign w:val="center"/>
          </w:tcPr>
          <w:p>
            <w:pPr>
              <w:pStyle w:val="TableContents"/>
              <w:bidi w:val="0"/>
              <w:spacing w:before="0" w:after="0"/>
              <w:ind w:left="0" w:right="0" w:firstLine="400"/>
              <w:jc w:val="left"/>
              <w:rPr/>
            </w:pPr>
            <w:r>
              <w:rPr/>
              <w:t> </w:t>
            </w:r>
          </w:p>
        </w:tc>
      </w:tr>
      <w:tr>
        <w:trPr/>
        <w:tc>
          <w:tcPr>
            <w:tcW w:w="201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Fuel, lubes and supplies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2,731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3,135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1,835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8,079</w:t>
            </w:r>
          </w:p>
        </w:tc>
        <w:tc>
          <w:tcPr>
            <w:tcW w:w="591" w:type="dxa"/>
            <w:tcBorders/>
            <w:vAlign w:val="center"/>
          </w:tcPr>
          <w:p>
            <w:pPr>
              <w:pStyle w:val="TableContents"/>
              <w:bidi w:val="0"/>
              <w:spacing w:before="0" w:after="0"/>
              <w:ind w:left="0" w:right="0" w:firstLine="400"/>
              <w:jc w:val="left"/>
              <w:rPr/>
            </w:pPr>
            <w:r>
              <w:rPr/>
              <w:t> </w:t>
            </w:r>
          </w:p>
        </w:tc>
      </w:tr>
      <w:tr>
        <w:trPr/>
        <w:tc>
          <w:tcPr>
            <w:tcW w:w="201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874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3,252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2,979</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1,299</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8,432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4,250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21,899</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31,330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26,729</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(567</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83,641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Other Costs and Expenses:</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Lease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899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724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2,068</w:t>
            </w:r>
          </w:p>
        </w:tc>
        <w:tc>
          <w:tcPr>
            <w:tcW w:w="591" w:type="dxa"/>
            <w:tcBorders/>
            <w:vAlign w:val="center"/>
          </w:tcPr>
          <w:p>
            <w:pPr>
              <w:pStyle w:val="TableContents"/>
              <w:bidi w:val="0"/>
              <w:spacing w:before="0" w:after="0"/>
              <w:ind w:left="0" w:right="0" w:firstLine="200"/>
              <w:jc w:val="lef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Administrative and general</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20,134</w:t>
            </w:r>
          </w:p>
        </w:tc>
        <w:tc>
          <w:tcPr>
            <w:tcW w:w="591" w:type="dxa"/>
            <w:tcBorders/>
            <w:vAlign w:val="center"/>
          </w:tcPr>
          <w:p>
            <w:pPr>
              <w:pStyle w:val="TableContents"/>
              <w:bidi w:val="0"/>
              <w:spacing w:before="0" w:after="0"/>
              <w:ind w:left="0" w:right="0" w:firstLine="200"/>
              <w:jc w:val="lef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989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9,955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7,571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9,834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28,579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50,781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Gains on asset dispositions and impairments, net</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2,164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Operating income</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(32,650</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 of June 30, 2022</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20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w:t>
            </w:r>
          </w:p>
        </w:tc>
        <w:tc>
          <w:tcPr>
            <w:tcW w:w="146" w:type="dxa"/>
            <w:tcBorders/>
            <w:vAlign w:val="center"/>
          </w:tcPr>
          <w:p>
            <w:pPr>
              <w:pStyle w:val="TableContents"/>
              <w:bidi w:val="0"/>
              <w:spacing w:before="0" w:after="0"/>
              <w:ind w:left="0" w:right="0" w:hanging="0"/>
              <w:jc w:val="righ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Historical cost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50,189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355,116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282,304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290,529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22,009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1,000,147</w:t>
            </w:r>
          </w:p>
        </w:tc>
        <w:tc>
          <w:tcPr>
            <w:tcW w:w="591" w:type="dxa"/>
            <w:tcBorders/>
            <w:vAlign w:val="center"/>
          </w:tcPr>
          <w:p>
            <w:pPr>
              <w:pStyle w:val="TableContents"/>
              <w:bidi w:val="0"/>
              <w:spacing w:before="0" w:after="0"/>
              <w:ind w:left="0" w:right="0" w:firstLine="200"/>
              <w:jc w:val="left"/>
              <w:rPr/>
            </w:pPr>
            <w:r>
              <w:rPr/>
              <w:t> </w:t>
            </w:r>
          </w:p>
        </w:tc>
      </w:tr>
      <w:tr>
        <w:trPr/>
        <w:tc>
          <w:tcPr>
            <w:tcW w:w="201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Accumulated depreciation</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(34,746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(121,226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(28,227</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(119,351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(21,541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(325,091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201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15,443</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233,890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254,077</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171,178</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468</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675,056</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200"/>
        <w:jc w:val="both"/>
        <w:rPr>
          <w:rFonts w:ascii="Times New Roman" w:hAnsi="Times New Roman"/>
          <w:b w:val="false"/>
          <w:sz w:val="18"/>
        </w:rPr>
      </w:pPr>
      <w:r>
        <w:rPr>
          <w:rFonts w:ascii="Times New Roman" w:hAnsi="Times New Roman"/>
          <w:b w:val="false"/>
          <w:sz w:val="18"/>
        </w:rPr>
        <w:t>(1)</w:t>
      </w:r>
    </w:p>
    <w:p>
      <w:pPr>
        <w:pStyle w:val="TextBody"/>
        <w:bidi w:val="0"/>
        <w:spacing w:before="40" w:after="200"/>
        <w:jc w:val="both"/>
        <w:rPr>
          <w:rFonts w:ascii="Times New Roman;serif" w:hAnsi="Times New Roman;serif"/>
          <w:b w:val="false"/>
          <w:sz w:val="16"/>
        </w:rPr>
      </w:pPr>
      <w:r>
        <w:rPr>
          <w:rFonts w:ascii="Times New Roman;serif" w:hAnsi="Times New Roman;serif"/>
          <w:b w:val="false"/>
          <w:sz w:val="16"/>
        </w:rPr>
        <w:t>In the second quarter of 2022, the Company removed from service one specialty vessel in this region. Other activity statistics reflect the removed from service status of this vessel.</w:t>
      </w:r>
    </w:p>
    <w:p>
      <w:pPr>
        <w:pStyle w:val="TextBody"/>
        <w:bidi w:val="0"/>
        <w:spacing w:before="200" w:after="200"/>
        <w:jc w:val="both"/>
        <w:rPr>
          <w:rFonts w:ascii="Times New Roman" w:hAnsi="Times New Roman"/>
          <w:sz w:val="20"/>
        </w:rPr>
      </w:pPr>
      <w:r>
        <w:rPr>
          <w:rFonts w:ascii="Times New Roman;serif" w:hAnsi="Times New Roman;serif"/>
          <w:b/>
          <w:i/>
          <w:sz w:val="24"/>
        </w:rPr>
        <w:t>Fleet Counts.</w:t>
      </w:r>
      <w:r>
        <w:rPr>
          <w:rFonts w:ascii="Times New Roman" w:hAnsi="Times New Roman"/>
          <w:sz w:val="20"/>
        </w:rPr>
        <w:t xml:space="preserve"> </w:t>
      </w:r>
      <w:r>
        <w:rPr>
          <w:rFonts w:ascii="Times New Roman;serif" w:hAnsi="Times New Roman;serif"/>
          <w:b w:val="false"/>
          <w:sz w:val="24"/>
        </w:rPr>
        <w:t>The Company’s fleet count as of June 30, 2023 and December 31, 2022 was as follows:</w:t>
      </w:r>
    </w:p>
    <w:tbl>
      <w:tblPr>
        <w:tblW w:w="5628" w:type="dxa"/>
        <w:jc w:val="left"/>
        <w:tblInd w:w="0" w:type="dxa"/>
        <w:tblLayout w:type="fixed"/>
        <w:tblCellMar>
          <w:top w:w="28" w:type="dxa"/>
          <w:left w:w="28" w:type="dxa"/>
          <w:bottom w:w="28" w:type="dxa"/>
          <w:right w:w="28" w:type="dxa"/>
        </w:tblCellMar>
      </w:tblPr>
      <w:tblGrid>
        <w:gridCol w:w="1561"/>
        <w:gridCol w:w="146"/>
        <w:gridCol w:w="223"/>
        <w:gridCol w:w="438"/>
        <w:gridCol w:w="146"/>
        <w:gridCol w:w="146"/>
        <w:gridCol w:w="254"/>
        <w:gridCol w:w="602"/>
        <w:gridCol w:w="146"/>
        <w:gridCol w:w="146"/>
        <w:gridCol w:w="245"/>
        <w:gridCol w:w="581"/>
        <w:gridCol w:w="146"/>
        <w:gridCol w:w="146"/>
        <w:gridCol w:w="172"/>
        <w:gridCol w:w="339"/>
        <w:gridCol w:w="19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Owned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Leased-in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Managed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AHTS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91" w:type="dxa"/>
            <w:tcBorders/>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FSV</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191" w:type="dxa"/>
            <w:tcBorders/>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PSV</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w:t>
            </w:r>
          </w:p>
        </w:tc>
        <w:tc>
          <w:tcPr>
            <w:tcW w:w="191" w:type="dxa"/>
            <w:tcBorders/>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Liftboats</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AHTS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191" w:type="dxa"/>
            <w:tcBorders/>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FSV</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191" w:type="dxa"/>
            <w:tcBorders/>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PSV</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w:t>
            </w:r>
          </w:p>
        </w:tc>
        <w:tc>
          <w:tcPr>
            <w:tcW w:w="191" w:type="dxa"/>
            <w:tcBorders/>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Liftboats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191" w:type="dxa"/>
            <w:tcBorders/>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43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60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5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33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w:t>
            </w:r>
          </w:p>
        </w:tc>
        <w:tc>
          <w:tcPr>
            <w:tcW w:w="1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both"/>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33</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sz w:val="20"/>
        </w:rPr>
      </w:pPr>
      <w:r>
        <w:rPr>
          <w:rFonts w:ascii="Times New Roman;serif" w:hAnsi="Times New Roman;serif"/>
          <w:b/>
          <w:sz w:val="24"/>
        </w:rPr>
        <w:t>Operating</w:t>
      </w:r>
      <w:r>
        <w:rPr>
          <w:rFonts w:ascii="Times New Roman" w:hAnsi="Times New Roman"/>
          <w:sz w:val="20"/>
        </w:rPr>
        <w:t xml:space="preserve"> </w:t>
      </w:r>
      <w:r>
        <w:rPr>
          <w:rFonts w:ascii="Times New Roman;serif" w:hAnsi="Times New Roman;serif"/>
          <w:b/>
          <w:sz w:val="24"/>
        </w:rPr>
        <w:t>Income</w:t>
      </w:r>
      <w:r>
        <w:rPr>
          <w:rFonts w:ascii="Times New Roman" w:hAnsi="Times New Roman"/>
          <w:sz w:val="20"/>
        </w:rPr>
        <w:t xml:space="preserve"> </w:t>
      </w:r>
      <w:r>
        <w:rPr>
          <w:rFonts w:ascii="Times New Roman;serif" w:hAnsi="Times New Roman;serif"/>
          <w:b/>
          <w:sz w:val="24"/>
        </w:rPr>
        <w:t>(Loss)</w:t>
      </w:r>
    </w:p>
    <w:p>
      <w:pPr>
        <w:pStyle w:val="TextBody"/>
        <w:bidi w:val="0"/>
        <w:spacing w:before="200" w:after="200"/>
        <w:jc w:val="both"/>
        <w:rPr>
          <w:rFonts w:ascii="Times New Roman" w:hAnsi="Times New Roman"/>
          <w:sz w:val="20"/>
        </w:rPr>
      </w:pPr>
      <w:r>
        <w:rPr>
          <w:rFonts w:ascii="Times New Roman;serif" w:hAnsi="Times New Roman;serif"/>
          <w:b/>
          <w:i/>
          <w:sz w:val="24"/>
        </w:rPr>
        <w:t>United States, primarily Gulf of Mexico.</w:t>
      </w:r>
      <w:r>
        <w:rPr>
          <w:rFonts w:ascii="Times New Roman" w:hAnsi="Times New Roman"/>
          <w:sz w:val="20"/>
        </w:rPr>
        <w:t xml:space="preserve"> </w:t>
      </w:r>
      <w:r>
        <w:rPr>
          <w:rFonts w:ascii="Times New Roman;serif" w:hAnsi="Times New Roman;serif"/>
          <w:b w:val="false"/>
          <w:sz w:val="24"/>
        </w:rPr>
        <w:t>For the three and six months ended June 30, 2023 and 2022 the Company’s time charter statistics and direct vessel loss in the U.S. were as follows (in thousands, except statistics):</w:t>
      </w:r>
    </w:p>
    <w:tbl>
      <w:tblPr>
        <w:tblW w:w="10205" w:type="dxa"/>
        <w:jc w:val="left"/>
        <w:tblInd w:w="0" w:type="dxa"/>
        <w:tblLayout w:type="fixed"/>
        <w:tblCellMar>
          <w:top w:w="28" w:type="dxa"/>
          <w:left w:w="28" w:type="dxa"/>
          <w:bottom w:w="28" w:type="dxa"/>
          <w:right w:w="28" w:type="dxa"/>
        </w:tblCellMar>
      </w:tblPr>
      <w:tblGrid>
        <w:gridCol w:w="1537"/>
        <w:gridCol w:w="146"/>
        <w:gridCol w:w="196"/>
        <w:gridCol w:w="601"/>
        <w:gridCol w:w="166"/>
        <w:gridCol w:w="146"/>
        <w:gridCol w:w="146"/>
        <w:gridCol w:w="376"/>
        <w:gridCol w:w="286"/>
        <w:gridCol w:w="146"/>
        <w:gridCol w:w="196"/>
        <w:gridCol w:w="601"/>
        <w:gridCol w:w="166"/>
        <w:gridCol w:w="146"/>
        <w:gridCol w:w="146"/>
        <w:gridCol w:w="376"/>
        <w:gridCol w:w="286"/>
        <w:gridCol w:w="146"/>
        <w:gridCol w:w="196"/>
        <w:gridCol w:w="601"/>
        <w:gridCol w:w="166"/>
        <w:gridCol w:w="146"/>
        <w:gridCol w:w="146"/>
        <w:gridCol w:w="376"/>
        <w:gridCol w:w="286"/>
        <w:gridCol w:w="146"/>
        <w:gridCol w:w="196"/>
        <w:gridCol w:w="601"/>
        <w:gridCol w:w="166"/>
        <w:gridCol w:w="146"/>
        <w:gridCol w:w="146"/>
        <w:gridCol w:w="376"/>
        <w:gridCol w:w="702"/>
      </w:tblGrid>
      <w:tr>
        <w:trPr/>
        <w:tc>
          <w:tcPr>
            <w:tcW w:w="1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15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9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Three Months Ended June 30,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9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Six Months Ended June 30,</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3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Time Charter Statistics: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firstLine="200"/>
              <w:jc w:val="right"/>
              <w:rPr/>
            </w:pPr>
            <w:r>
              <w:rPr/>
              <w:t> </w:t>
            </w:r>
          </w:p>
        </w:tc>
      </w:tr>
      <w:tr>
        <w:trPr/>
        <w:tc>
          <w:tcPr>
            <w:tcW w:w="1537"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Rates Per Day Worked:</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firstLine="400"/>
              <w:jc w:val="right"/>
              <w:rPr/>
            </w:pPr>
            <w:r>
              <w:rPr/>
              <w:t> </w:t>
            </w:r>
          </w:p>
        </w:tc>
      </w:tr>
      <w:tr>
        <w:trPr/>
        <w:tc>
          <w:tcPr>
            <w:tcW w:w="1537"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AHTS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firstLine="400"/>
              <w:jc w:val="right"/>
              <w:rPr/>
            </w:pPr>
            <w:r>
              <w:rPr/>
              <w:t> </w:t>
            </w:r>
          </w:p>
        </w:tc>
      </w:tr>
      <w:tr>
        <w:trPr/>
        <w:tc>
          <w:tcPr>
            <w:tcW w:w="1537"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firstLine="400"/>
              <w:jc w:val="right"/>
              <w:rPr/>
            </w:pPr>
            <w:r>
              <w:rPr/>
              <w:t> </w:t>
            </w:r>
          </w:p>
        </w:tc>
      </w:tr>
      <w:tr>
        <w:trPr/>
        <w:tc>
          <w:tcPr>
            <w:tcW w:w="1537"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firstLine="400"/>
              <w:jc w:val="right"/>
              <w:rPr/>
            </w:pPr>
            <w:r>
              <w:rPr/>
              <w:t> </w:t>
            </w:r>
          </w:p>
        </w:tc>
      </w:tr>
      <w:tr>
        <w:trPr/>
        <w:tc>
          <w:tcPr>
            <w:tcW w:w="1537"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Liftboats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29,334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22,875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27,951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20,401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firstLine="400"/>
              <w:jc w:val="right"/>
              <w:rPr/>
            </w:pPr>
            <w:r>
              <w:rPr/>
              <w:t> </w:t>
            </w:r>
          </w:p>
        </w:tc>
      </w:tr>
      <w:tr>
        <w:trPr/>
        <w:tc>
          <w:tcPr>
            <w:tcW w:w="1537"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Overall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16,115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17,792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17,203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firstLine="200"/>
              <w:jc w:val="right"/>
              <w:rPr/>
            </w:pPr>
            <w:r>
              <w:rPr/>
              <w:t> </w:t>
            </w:r>
          </w:p>
        </w:tc>
      </w:tr>
      <w:tr>
        <w:trPr/>
        <w:tc>
          <w:tcPr>
            <w:tcW w:w="1537"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Utilization:</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firstLine="400"/>
              <w:jc w:val="right"/>
              <w:rPr/>
            </w:pPr>
            <w:r>
              <w:rPr/>
              <w:t> </w:t>
            </w:r>
          </w:p>
        </w:tc>
      </w:tr>
      <w:tr>
        <w:trPr/>
        <w:tc>
          <w:tcPr>
            <w:tcW w:w="1537"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AHTS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702"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537"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FSV</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w:t>
            </w:r>
          </w:p>
        </w:tc>
        <w:tc>
          <w:tcPr>
            <w:tcW w:w="702"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537"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PSV</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w:t>
            </w:r>
          </w:p>
        </w:tc>
        <w:tc>
          <w:tcPr>
            <w:tcW w:w="702"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537"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Liftboats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702"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537"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Overall</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702"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537"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Available Days: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firstLine="400"/>
              <w:jc w:val="right"/>
              <w:rPr/>
            </w:pPr>
            <w:r>
              <w:rPr/>
              <w:t> </w:t>
            </w:r>
          </w:p>
        </w:tc>
      </w:tr>
      <w:tr>
        <w:trPr/>
        <w:tc>
          <w:tcPr>
            <w:tcW w:w="1537"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AHTS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firstLine="400"/>
              <w:jc w:val="right"/>
              <w:rPr/>
            </w:pPr>
            <w:r>
              <w:rPr/>
              <w:t> </w:t>
            </w:r>
          </w:p>
        </w:tc>
      </w:tr>
      <w:tr>
        <w:trPr/>
        <w:tc>
          <w:tcPr>
            <w:tcW w:w="1537"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firstLine="400"/>
              <w:jc w:val="right"/>
              <w:rPr/>
            </w:pPr>
            <w:r>
              <w:rPr/>
              <w:t> </w:t>
            </w:r>
          </w:p>
        </w:tc>
      </w:tr>
      <w:tr>
        <w:trPr/>
        <w:tc>
          <w:tcPr>
            <w:tcW w:w="1537"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firstLine="400"/>
              <w:jc w:val="right"/>
              <w:rPr/>
            </w:pPr>
            <w:r>
              <w:rPr/>
              <w:t> </w:t>
            </w:r>
          </w:p>
        </w:tc>
      </w:tr>
      <w:tr>
        <w:trPr/>
        <w:tc>
          <w:tcPr>
            <w:tcW w:w="1537"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Liftboats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firstLine="400"/>
              <w:jc w:val="right"/>
              <w:rPr/>
            </w:pPr>
            <w:r>
              <w:rPr/>
              <w:t> </w:t>
            </w:r>
          </w:p>
        </w:tc>
      </w:tr>
      <w:tr>
        <w:trPr/>
        <w:tc>
          <w:tcPr>
            <w:tcW w:w="1537"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Overall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hanging="0"/>
              <w:jc w:val="right"/>
              <w:rPr/>
            </w:pPr>
            <w:r>
              <w:rPr/>
              <w:t> </w:t>
            </w:r>
          </w:p>
        </w:tc>
      </w:tr>
      <w:tr>
        <w:trPr/>
        <w:tc>
          <w:tcPr>
            <w:tcW w:w="153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revenues: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firstLine="200"/>
              <w:jc w:val="right"/>
              <w:rPr/>
            </w:pPr>
            <w:r>
              <w:rPr/>
              <w:t> </w:t>
            </w:r>
          </w:p>
        </w:tc>
      </w:tr>
      <w:tr>
        <w:trPr/>
        <w:tc>
          <w:tcPr>
            <w:tcW w:w="1537"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Time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17,623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w:t>
            </w:r>
          </w:p>
        </w:tc>
        <w:tc>
          <w:tcPr>
            <w:tcW w:w="702"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537"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marine services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537"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19,520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22,074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53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operating expenses: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2" w:type="dxa"/>
            <w:tcBorders/>
            <w:vAlign w:val="center"/>
          </w:tcPr>
          <w:p>
            <w:pPr>
              <w:pStyle w:val="TableContents"/>
              <w:bidi w:val="0"/>
              <w:spacing w:before="0" w:after="0"/>
              <w:ind w:left="0" w:right="0" w:firstLine="200"/>
              <w:jc w:val="right"/>
              <w:rPr/>
            </w:pPr>
            <w:r>
              <w:rPr/>
              <w:t> </w:t>
            </w:r>
          </w:p>
        </w:tc>
      </w:tr>
      <w:tr>
        <w:trPr/>
        <w:tc>
          <w:tcPr>
            <w:tcW w:w="1537"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Personnel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702"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537"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Repairs and maintenance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702"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537"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Drydocking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w:t>
            </w:r>
          </w:p>
        </w:tc>
        <w:tc>
          <w:tcPr>
            <w:tcW w:w="702"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537"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Insurance and loss reserves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702"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537"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Fuel, lubes and supplies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702"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537"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537" w:type="dxa"/>
            <w:tcBorders/>
            <w:vAlign w:val="center"/>
          </w:tcPr>
          <w:p>
            <w:pPr>
              <w:pStyle w:val="TableContents"/>
              <w:bidi w:val="0"/>
              <w:spacing w:before="0" w:after="283"/>
              <w:ind w:left="0" w:right="0" w:firstLine="2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11,377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125</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21,196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23,422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53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Vessel Loss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7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200" w:after="0"/>
        <w:jc w:val="both"/>
        <w:rPr>
          <w:rFonts w:ascii="Times New Roman;serif" w:hAnsi="Times New Roman;serif"/>
          <w:b/>
          <w:sz w:val="24"/>
          <w:u w:val="single"/>
        </w:rPr>
      </w:pPr>
      <w:r>
        <w:rPr>
          <w:rFonts w:ascii="Times New Roman;serif" w:hAnsi="Times New Roman;serif"/>
          <w:b/>
          <w:sz w:val="24"/>
          <w:u w:val="single"/>
        </w:rPr>
        <w:t>Current Year Quarter compared with Prior Year Quarter</w:t>
      </w:r>
    </w:p>
    <w:p>
      <w:pPr>
        <w:pStyle w:val="TextBody"/>
        <w:bidi w:val="0"/>
        <w:spacing w:before="200" w:after="0"/>
        <w:jc w:val="both"/>
        <w:rPr>
          <w:rFonts w:ascii="Times New Roman" w:hAnsi="Times New Roman"/>
          <w:sz w:val="20"/>
        </w:rPr>
      </w:pPr>
      <w:r>
        <w:rPr>
          <w:rFonts w:ascii="Times New Roman;serif" w:hAnsi="Times New Roman;serif"/>
          <w:b w:val="false"/>
          <w:i/>
          <w:sz w:val="24"/>
        </w:rPr>
        <w:t>Operating Revenues</w:t>
      </w:r>
      <w:r>
        <w:rPr>
          <w:rFonts w:ascii="Times New Roman;serif" w:hAnsi="Times New Roman;serif"/>
          <w:b w:val="false"/>
          <w:sz w:val="24"/>
        </w:rPr>
        <w:t>. Charter revenues were $3.6 million lower in the Current Year Quarter compared with the Prior Year Quarter. Charter revenues were $1.3 million lower due to the repositioning of vessels between geographic regions and $2.3 million lower due to decreased utilization of the vessels included in the results of this region in both comparative periods (as applicable to each region, the “Regional Core Fleet”). Other marine services were $0.6 million higher primarily due to business interruption insurance revenue and higher mobilization revenues. As of June 30, 2023, the Company had one of 13 owned and leased-in vessels (one liftboat) cold-stacked in this region compared with three of 14 vessels (one AHTS, one FSV and one liftboat) as of June 30, 2022.</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i/>
          <w:sz w:val="24"/>
        </w:rPr>
        <w:t>Direct Operating Expenses</w:t>
      </w:r>
      <w:r>
        <w:rPr>
          <w:rFonts w:ascii="Times New Roman;serif" w:hAnsi="Times New Roman;serif"/>
          <w:b w:val="false"/>
          <w:sz w:val="24"/>
        </w:rPr>
        <w:t>. Direct operating expenses were $2.0 million lower in the Current Year Quarter compared with the Prior Year Quarter. Direct operating expenses were $1.7 million lower for the Regional Core Fleet primarily due to the timing of drydocking and other repair expenditures and $0.3 million lower due to net asset dispositions.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34</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serif" w:hAnsi="Times New Roman;serif"/>
          <w:b/>
          <w:sz w:val="24"/>
          <w:u w:val="single"/>
        </w:rPr>
      </w:pPr>
      <w:r>
        <w:rPr>
          <w:rFonts w:ascii="Times New Roman;serif" w:hAnsi="Times New Roman;serif"/>
          <w:b/>
          <w:sz w:val="24"/>
          <w:u w:val="single"/>
        </w:rPr>
        <w:t>Current Year Six Months compared with Prior Year Six Months</w:t>
      </w:r>
    </w:p>
    <w:p>
      <w:pPr>
        <w:pStyle w:val="TextBody"/>
        <w:bidi w:val="0"/>
        <w:spacing w:before="200" w:after="0"/>
        <w:jc w:val="both"/>
        <w:rPr>
          <w:rFonts w:ascii="Times New Roman" w:hAnsi="Times New Roman"/>
          <w:sz w:val="20"/>
        </w:rPr>
      </w:pPr>
      <w:r>
        <w:rPr>
          <w:rFonts w:ascii="Times New Roman;serif" w:hAnsi="Times New Roman;serif"/>
          <w:b w:val="false"/>
          <w:i/>
          <w:sz w:val="24"/>
        </w:rPr>
        <w:t>Operating Revenues</w:t>
      </w:r>
      <w:r>
        <w:rPr>
          <w:rFonts w:ascii="Times New Roman;serif" w:hAnsi="Times New Roman;serif"/>
          <w:b w:val="false"/>
          <w:sz w:val="24"/>
        </w:rPr>
        <w:t>. Charter revenues were $4.9 million lower in the Current Year Six Months compared with the Prior Year Six Months. Charter revenues were $2.6 million lower due to the repositioning of vessels between geographic regions and $2.3 million lower due to decreased utilization for the Regional Core Fleet. Other marine services were $2.4 million higher primarily due to business interruption insurance revenue and higher mobilization revenues.</w:t>
      </w:r>
    </w:p>
    <w:p>
      <w:pPr>
        <w:pStyle w:val="TextBody"/>
        <w:bidi w:val="0"/>
        <w:spacing w:before="200" w:after="0"/>
        <w:jc w:val="both"/>
        <w:rPr>
          <w:rFonts w:ascii="Times New Roman" w:hAnsi="Times New Roman"/>
          <w:sz w:val="20"/>
        </w:rPr>
      </w:pPr>
      <w:r>
        <w:rPr>
          <w:rFonts w:ascii="Times New Roman;serif" w:hAnsi="Times New Roman;serif"/>
          <w:b w:val="false"/>
          <w:i/>
          <w:sz w:val="24"/>
        </w:rPr>
        <w:t>Direct Operating Expenses</w:t>
      </w:r>
      <w:r>
        <w:rPr>
          <w:rFonts w:ascii="Times New Roman;serif" w:hAnsi="Times New Roman;serif"/>
          <w:b w:val="false"/>
          <w:sz w:val="24"/>
        </w:rPr>
        <w:t>. Direct operating expenses were $2.2 million lower in the Current Year Six Months compared with the Prior Year Six Months. Direct operating expenses were $1.8 million lower due to the repositioning of vessels between geographic regions, $0.2 million due to net asset dispositions and $0.2 million for the Regional Core Fleet.</w:t>
      </w:r>
    </w:p>
    <w:p>
      <w:pPr>
        <w:pStyle w:val="TextBody"/>
        <w:bidi w:val="0"/>
        <w:spacing w:before="200" w:after="200"/>
        <w:jc w:val="both"/>
        <w:rPr>
          <w:rFonts w:ascii="Times New Roman" w:hAnsi="Times New Roman"/>
          <w:sz w:val="20"/>
        </w:rPr>
      </w:pPr>
      <w:r>
        <w:rPr>
          <w:rFonts w:ascii="Times New Roman;serif" w:hAnsi="Times New Roman;serif"/>
          <w:b/>
          <w:i/>
          <w:sz w:val="24"/>
        </w:rPr>
        <w:t>Africa and Europe.</w:t>
      </w:r>
      <w:r>
        <w:rPr>
          <w:rFonts w:ascii="Times New Roman" w:hAnsi="Times New Roman"/>
          <w:sz w:val="20"/>
        </w:rPr>
        <w:t xml:space="preserve"> </w:t>
      </w:r>
      <w:r>
        <w:rPr>
          <w:rFonts w:ascii="Times New Roman;serif" w:hAnsi="Times New Roman;serif"/>
          <w:b w:val="false"/>
          <w:sz w:val="24"/>
        </w:rPr>
        <w:t>For the three and six months ended June 30, 2023 and 2022 the Company’s time charter statistics and direct vessel profit in Africa and Europe were as follows (in thousands, except statistics):</w:t>
      </w:r>
    </w:p>
    <w:tbl>
      <w:tblPr>
        <w:tblW w:w="10205" w:type="dxa"/>
        <w:jc w:val="left"/>
        <w:tblInd w:w="0" w:type="dxa"/>
        <w:tblLayout w:type="fixed"/>
        <w:tblCellMar>
          <w:top w:w="28" w:type="dxa"/>
          <w:left w:w="28" w:type="dxa"/>
          <w:bottom w:w="28" w:type="dxa"/>
          <w:right w:w="28" w:type="dxa"/>
        </w:tblCellMar>
      </w:tblPr>
      <w:tblGrid>
        <w:gridCol w:w="1600"/>
        <w:gridCol w:w="146"/>
        <w:gridCol w:w="196"/>
        <w:gridCol w:w="601"/>
        <w:gridCol w:w="166"/>
        <w:gridCol w:w="146"/>
        <w:gridCol w:w="146"/>
        <w:gridCol w:w="376"/>
        <w:gridCol w:w="289"/>
        <w:gridCol w:w="146"/>
        <w:gridCol w:w="196"/>
        <w:gridCol w:w="601"/>
        <w:gridCol w:w="146"/>
        <w:gridCol w:w="146"/>
        <w:gridCol w:w="146"/>
        <w:gridCol w:w="376"/>
        <w:gridCol w:w="256"/>
        <w:gridCol w:w="146"/>
        <w:gridCol w:w="196"/>
        <w:gridCol w:w="601"/>
        <w:gridCol w:w="166"/>
        <w:gridCol w:w="146"/>
        <w:gridCol w:w="146"/>
        <w:gridCol w:w="376"/>
        <w:gridCol w:w="289"/>
        <w:gridCol w:w="146"/>
        <w:gridCol w:w="196"/>
        <w:gridCol w:w="601"/>
        <w:gridCol w:w="146"/>
        <w:gridCol w:w="146"/>
        <w:gridCol w:w="146"/>
        <w:gridCol w:w="376"/>
        <w:gridCol w:w="703"/>
      </w:tblGrid>
      <w:tr>
        <w:trPr/>
        <w:tc>
          <w:tcPr>
            <w:tcW w:w="1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7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Three Months Ended June 30,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7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Six Months Ended June 30,</w:t>
            </w:r>
          </w:p>
        </w:tc>
        <w:tc>
          <w:tcPr>
            <w:tcW w:w="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0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Time Charter Statistics: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200"/>
              <w:jc w:val="right"/>
              <w:rPr/>
            </w:pPr>
            <w:r>
              <w:rPr/>
              <w:t> </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Rates Per Day Worked:</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AHTS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20,318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Overall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11,279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13,960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200"/>
              <w:jc w:val="right"/>
              <w:rPr/>
            </w:pPr>
            <w:r>
              <w:rPr/>
              <w:t> </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Utilization:</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AHTS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w:t>
            </w:r>
          </w:p>
        </w:tc>
        <w:tc>
          <w:tcPr>
            <w:tcW w:w="703"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FSV</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w:t>
            </w:r>
          </w:p>
        </w:tc>
        <w:tc>
          <w:tcPr>
            <w:tcW w:w="703"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PSV</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w:t>
            </w:r>
          </w:p>
        </w:tc>
        <w:tc>
          <w:tcPr>
            <w:tcW w:w="703"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Overall</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w:t>
            </w:r>
          </w:p>
        </w:tc>
        <w:tc>
          <w:tcPr>
            <w:tcW w:w="70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Available Days: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AHTS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Overall</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60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1,729</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60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1,567</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60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3,439</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60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3,066</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hanging="0"/>
              <w:jc w:val="right"/>
              <w:rPr/>
            </w:pPr>
            <w:r>
              <w:rPr/>
              <w:t> </w:t>
            </w:r>
          </w:p>
        </w:tc>
      </w:tr>
      <w:tr>
        <w:trPr/>
        <w:tc>
          <w:tcPr>
            <w:tcW w:w="160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revenues: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200"/>
              <w:jc w:val="right"/>
              <w:rPr/>
            </w:pPr>
            <w:r>
              <w:rPr/>
              <w:t> </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Time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24,414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104</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43,410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27,210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w:t>
            </w:r>
          </w:p>
        </w:tc>
        <w:tc>
          <w:tcPr>
            <w:tcW w:w="70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marine services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23,377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41,539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27,666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operating expenses: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200"/>
              <w:jc w:val="right"/>
              <w:rPr/>
            </w:pPr>
            <w:r>
              <w:rPr/>
              <w:t> </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Personnel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w:t>
            </w:r>
          </w:p>
        </w:tc>
        <w:tc>
          <w:tcPr>
            <w:tcW w:w="70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Repairs and maintenance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70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Drydocking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70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Insurance and loss reserves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70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Fuel, lubes and supplies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70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22,677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w:t>
            </w:r>
          </w:p>
        </w:tc>
        <w:tc>
          <w:tcPr>
            <w:tcW w:w="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Vessel Profit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w:t>
            </w:r>
          </w:p>
        </w:tc>
        <w:tc>
          <w:tcPr>
            <w:tcW w:w="2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18,862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w:t>
            </w:r>
          </w:p>
        </w:tc>
        <w:tc>
          <w:tcPr>
            <w:tcW w:w="2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7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200" w:after="0"/>
        <w:jc w:val="both"/>
        <w:rPr>
          <w:rFonts w:ascii="Times New Roman;serif" w:hAnsi="Times New Roman;serif"/>
          <w:b/>
          <w:sz w:val="24"/>
          <w:u w:val="single"/>
        </w:rPr>
      </w:pPr>
      <w:r>
        <w:rPr>
          <w:rFonts w:ascii="Times New Roman;serif" w:hAnsi="Times New Roman;serif"/>
          <w:b/>
          <w:sz w:val="24"/>
          <w:u w:val="single"/>
        </w:rPr>
        <w:t>Current Year Quarter compared with Prior Year Quarter</w:t>
      </w:r>
    </w:p>
    <w:p>
      <w:pPr>
        <w:pStyle w:val="TextBody"/>
        <w:bidi w:val="0"/>
        <w:spacing w:before="200" w:after="0"/>
        <w:jc w:val="both"/>
        <w:rPr>
          <w:rFonts w:ascii="Times New Roman" w:hAnsi="Times New Roman"/>
          <w:sz w:val="20"/>
        </w:rPr>
      </w:pPr>
      <w:r>
        <w:rPr>
          <w:rFonts w:ascii="Times New Roman;serif" w:hAnsi="Times New Roman;serif"/>
          <w:b w:val="false"/>
          <w:i/>
          <w:sz w:val="24"/>
        </w:rPr>
        <w:t>Operating Revenues.</w:t>
      </w:r>
      <w:r>
        <w:rPr>
          <w:rFonts w:ascii="Times New Roman" w:hAnsi="Times New Roman"/>
          <w:sz w:val="20"/>
        </w:rPr>
        <w:t xml:space="preserve"> </w:t>
      </w:r>
      <w:r>
        <w:rPr>
          <w:rFonts w:ascii="Times New Roman;serif" w:hAnsi="Times New Roman;serif"/>
          <w:b w:val="false"/>
          <w:sz w:val="24"/>
        </w:rPr>
        <w:t>Charter revenues were $9.5 million higher in the Current Year Quarter compared with the Prior Year Quarter. Charter revenues were $5.2 million higher due to the repositioning of vessels between geographic regions and $4.4 million higher for the Regional Core Fleet as a result of increased day rates and utilization partially offset by a $0.1 million decrease due to net asset dispositions. Other marine services were $2.1 million lower primarily due to the recognition of previously deferred revenue in the prior period and higher commission charges. As of June 30, 2023, the Company had no owned or leased-in vessels cold-stacked in this region.</w:t>
      </w:r>
    </w:p>
    <w:p>
      <w:pPr>
        <w:pStyle w:val="TextBody"/>
        <w:bidi w:val="0"/>
        <w:spacing w:before="200" w:after="0"/>
        <w:jc w:val="both"/>
        <w:rPr>
          <w:rFonts w:ascii="Times New Roman" w:hAnsi="Times New Roman"/>
          <w:sz w:val="20"/>
        </w:rPr>
      </w:pPr>
      <w:r>
        <w:rPr>
          <w:rFonts w:ascii="Times New Roman;serif" w:hAnsi="Times New Roman;serif"/>
          <w:b w:val="false"/>
          <w:i/>
          <w:sz w:val="24"/>
        </w:rPr>
        <w:t>Direct Operating Expenses.</w:t>
      </w:r>
      <w:r>
        <w:rPr>
          <w:rFonts w:ascii="Times New Roman" w:hAnsi="Times New Roman"/>
          <w:sz w:val="20"/>
        </w:rPr>
        <w:t xml:space="preserve"> </w:t>
      </w:r>
      <w:r>
        <w:rPr>
          <w:rFonts w:ascii="Times New Roman;serif" w:hAnsi="Times New Roman;serif"/>
          <w:b w:val="false"/>
          <w:sz w:val="24"/>
        </w:rPr>
        <w:t>Direct operating expenses were $0.2 million higher in the Current Year Quarter compared with the Prior Year Quarter. Direct operating expenses were $1.4 million higher due to the</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35</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repositioning of vessels between geographic regions, $1.1 million lower for the Regional Core Fleet due to the timing of repair expenditures and $0.1 million lower due to net asset dispositions.</w:t>
      </w:r>
    </w:p>
    <w:p>
      <w:pPr>
        <w:pStyle w:val="TextBody"/>
        <w:bidi w:val="0"/>
        <w:spacing w:before="200" w:after="0"/>
        <w:jc w:val="both"/>
        <w:rPr>
          <w:rFonts w:ascii="Times New Roman;serif" w:hAnsi="Times New Roman;serif"/>
          <w:b/>
          <w:sz w:val="24"/>
          <w:u w:val="single"/>
        </w:rPr>
      </w:pPr>
      <w:r>
        <w:rPr>
          <w:rFonts w:ascii="Times New Roman;serif" w:hAnsi="Times New Roman;serif"/>
          <w:b/>
          <w:sz w:val="24"/>
          <w:u w:val="single"/>
        </w:rPr>
        <w:t>Current Year Six Months compared with Prior Year Six Months</w:t>
      </w:r>
    </w:p>
    <w:p>
      <w:pPr>
        <w:pStyle w:val="TextBody"/>
        <w:bidi w:val="0"/>
        <w:spacing w:before="200" w:after="0"/>
        <w:jc w:val="both"/>
        <w:rPr>
          <w:rFonts w:ascii="Times New Roman" w:hAnsi="Times New Roman"/>
          <w:sz w:val="20"/>
        </w:rPr>
      </w:pPr>
      <w:r>
        <w:rPr>
          <w:rFonts w:ascii="Times New Roman;serif" w:hAnsi="Times New Roman;serif"/>
          <w:b w:val="false"/>
          <w:i/>
          <w:sz w:val="24"/>
        </w:rPr>
        <w:t>Operating Revenues.</w:t>
      </w:r>
      <w:r>
        <w:rPr>
          <w:rFonts w:ascii="Times New Roman" w:hAnsi="Times New Roman"/>
          <w:sz w:val="20"/>
        </w:rPr>
        <w:t xml:space="preserve"> </w:t>
      </w:r>
      <w:r>
        <w:rPr>
          <w:rFonts w:ascii="Times New Roman;serif" w:hAnsi="Times New Roman;serif"/>
          <w:b w:val="false"/>
          <w:sz w:val="24"/>
        </w:rPr>
        <w:t>Charter revenues were $16.2 million higher in the Current Year Six Months compared with the Prior Year Six Months. Charter revenues were $10.8 million higher due to the repositioning of vessels between geographic regions and $6.2 million higher for the Regional Core Fleet as a result of increased day rates and utilization partially offset by a $0.8 million decrease due to net asset dispositions. Other marine services were $2.3 million lower primarily due to the recognition of previously deferred revenue in the prior period and higher commission charges.</w:t>
      </w:r>
    </w:p>
    <w:p>
      <w:pPr>
        <w:pStyle w:val="TextBody"/>
        <w:bidi w:val="0"/>
        <w:spacing w:before="200" w:after="0"/>
        <w:jc w:val="both"/>
        <w:rPr>
          <w:rFonts w:ascii="Times New Roman" w:hAnsi="Times New Roman"/>
          <w:sz w:val="20"/>
        </w:rPr>
      </w:pPr>
      <w:r>
        <w:rPr>
          <w:rFonts w:ascii="Times New Roman;serif" w:hAnsi="Times New Roman;serif"/>
          <w:b w:val="false"/>
          <w:i/>
          <w:sz w:val="24"/>
        </w:rPr>
        <w:t>Direct Operating Expenses.</w:t>
      </w:r>
      <w:r>
        <w:rPr>
          <w:rFonts w:ascii="Times New Roman" w:hAnsi="Times New Roman"/>
          <w:sz w:val="20"/>
        </w:rPr>
        <w:t xml:space="preserve"> </w:t>
      </w:r>
      <w:r>
        <w:rPr>
          <w:rFonts w:ascii="Times New Roman;serif" w:hAnsi="Times New Roman;serif"/>
          <w:b w:val="false"/>
          <w:sz w:val="24"/>
        </w:rPr>
        <w:t>Direct operating expenses were $3.0 million higher in the Current Year Six Months compared with the Prior Year Six Months primarily due to the repositioning of vessels between geographic regions.</w:t>
      </w:r>
    </w:p>
    <w:p>
      <w:pPr>
        <w:pStyle w:val="TextBody"/>
        <w:bidi w:val="0"/>
        <w:spacing w:before="200" w:after="200"/>
        <w:jc w:val="both"/>
        <w:rPr>
          <w:rFonts w:ascii="Times New Roman" w:hAnsi="Times New Roman"/>
          <w:sz w:val="20"/>
        </w:rPr>
      </w:pPr>
      <w:r>
        <w:rPr>
          <w:rFonts w:ascii="Times New Roman;serif" w:hAnsi="Times New Roman;serif"/>
          <w:b/>
          <w:i/>
          <w:sz w:val="24"/>
        </w:rPr>
        <w:t>Middle East and Asia.</w:t>
      </w:r>
      <w:r>
        <w:rPr>
          <w:rFonts w:ascii="Times New Roman" w:hAnsi="Times New Roman"/>
          <w:sz w:val="20"/>
        </w:rPr>
        <w:t xml:space="preserve"> </w:t>
      </w:r>
      <w:r>
        <w:rPr>
          <w:rFonts w:ascii="Times New Roman;serif" w:hAnsi="Times New Roman;serif"/>
          <w:b w:val="false"/>
          <w:sz w:val="24"/>
        </w:rPr>
        <w:t>For the three and six months ended June 30, 2023 and 2022 the Company’s time charter statistics and direct vessel profit in the Middle East and Asia were as follows (in thousands, except statistics):</w:t>
      </w:r>
    </w:p>
    <w:tbl>
      <w:tblPr>
        <w:tblW w:w="10205" w:type="dxa"/>
        <w:jc w:val="left"/>
        <w:tblInd w:w="0" w:type="dxa"/>
        <w:tblLayout w:type="fixed"/>
        <w:tblCellMar>
          <w:top w:w="28" w:type="dxa"/>
          <w:left w:w="28" w:type="dxa"/>
          <w:bottom w:w="28" w:type="dxa"/>
          <w:right w:w="28" w:type="dxa"/>
        </w:tblCellMar>
      </w:tblPr>
      <w:tblGrid>
        <w:gridCol w:w="1600"/>
        <w:gridCol w:w="146"/>
        <w:gridCol w:w="196"/>
        <w:gridCol w:w="601"/>
        <w:gridCol w:w="166"/>
        <w:gridCol w:w="146"/>
        <w:gridCol w:w="146"/>
        <w:gridCol w:w="376"/>
        <w:gridCol w:w="289"/>
        <w:gridCol w:w="146"/>
        <w:gridCol w:w="196"/>
        <w:gridCol w:w="601"/>
        <w:gridCol w:w="146"/>
        <w:gridCol w:w="146"/>
        <w:gridCol w:w="146"/>
        <w:gridCol w:w="376"/>
        <w:gridCol w:w="256"/>
        <w:gridCol w:w="146"/>
        <w:gridCol w:w="196"/>
        <w:gridCol w:w="601"/>
        <w:gridCol w:w="166"/>
        <w:gridCol w:w="146"/>
        <w:gridCol w:w="146"/>
        <w:gridCol w:w="376"/>
        <w:gridCol w:w="289"/>
        <w:gridCol w:w="146"/>
        <w:gridCol w:w="196"/>
        <w:gridCol w:w="601"/>
        <w:gridCol w:w="146"/>
        <w:gridCol w:w="146"/>
        <w:gridCol w:w="146"/>
        <w:gridCol w:w="376"/>
        <w:gridCol w:w="703"/>
      </w:tblGrid>
      <w:tr>
        <w:trPr/>
        <w:tc>
          <w:tcPr>
            <w:tcW w:w="1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7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Three Months Ended June 30,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7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Six Months Ended June 30,</w:t>
            </w:r>
          </w:p>
        </w:tc>
        <w:tc>
          <w:tcPr>
            <w:tcW w:w="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0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Time Charter Statistics: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200"/>
              <w:jc w:val="right"/>
              <w:rPr/>
            </w:pPr>
            <w:r>
              <w:rPr/>
              <w:t> </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Rates Per Day Worked:</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AHTS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Liftboats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42,499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42,499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Overall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13,245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13,399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200"/>
              <w:jc w:val="right"/>
              <w:rPr/>
            </w:pPr>
            <w:r>
              <w:rPr/>
              <w:t> </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Utilization:</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AHTS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w:t>
            </w:r>
          </w:p>
        </w:tc>
        <w:tc>
          <w:tcPr>
            <w:tcW w:w="703"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FSV</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w:t>
            </w:r>
          </w:p>
        </w:tc>
        <w:tc>
          <w:tcPr>
            <w:tcW w:w="703"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PSV</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w:t>
            </w:r>
          </w:p>
        </w:tc>
        <w:tc>
          <w:tcPr>
            <w:tcW w:w="703"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Liftboats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w:t>
            </w:r>
          </w:p>
        </w:tc>
        <w:tc>
          <w:tcPr>
            <w:tcW w:w="703"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Overall</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w:t>
            </w:r>
          </w:p>
        </w:tc>
        <w:tc>
          <w:tcPr>
            <w:tcW w:w="70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Available Days: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AHTS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Liftboats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 w:hAnsi="Times New Roman"/>
                <w:sz w:val="18"/>
              </w:rPr>
            </w:pPr>
            <w:r>
              <w:rPr>
                <w:rFonts w:ascii="Times New Roman;serif" w:hAnsi="Times New Roman;serif"/>
                <w:b w:val="false"/>
                <w:sz w:val="18"/>
              </w:rPr>
              <w:t xml:space="preserve">Specialty </w:t>
            </w: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400"/>
              <w:jc w:val="right"/>
              <w:rPr/>
            </w:pPr>
            <w:r>
              <w:rPr/>
              <w:t> </w:t>
            </w:r>
          </w:p>
        </w:tc>
      </w:tr>
      <w:tr>
        <w:trPr/>
        <w:tc>
          <w:tcPr>
            <w:tcW w:w="1600"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Overall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hanging="0"/>
              <w:jc w:val="right"/>
              <w:rPr/>
            </w:pPr>
            <w:r>
              <w:rPr/>
              <w:t> </w:t>
            </w:r>
          </w:p>
        </w:tc>
      </w:tr>
      <w:tr>
        <w:trPr/>
        <w:tc>
          <w:tcPr>
            <w:tcW w:w="160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revenues: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200"/>
              <w:jc w:val="right"/>
              <w:rPr/>
            </w:pPr>
            <w:r>
              <w:rPr/>
              <w:t> </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Time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13,906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32,591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w:t>
            </w:r>
          </w:p>
        </w:tc>
        <w:tc>
          <w:tcPr>
            <w:tcW w:w="70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marine services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14,366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35,806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28,075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operating expenses: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firstLine="200"/>
              <w:jc w:val="right"/>
              <w:rPr/>
            </w:pPr>
            <w:r>
              <w:rPr/>
              <w:t> </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Personnel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w:t>
            </w:r>
          </w:p>
        </w:tc>
        <w:tc>
          <w:tcPr>
            <w:tcW w:w="70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Repairs and maintenance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70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Drydocking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70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Insurance and loss reserves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70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Fuel, lubes and supplies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70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13,765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25,734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w:t>
            </w:r>
          </w:p>
        </w:tc>
        <w:tc>
          <w:tcPr>
            <w:tcW w:w="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60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Vessel Profit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w:t>
            </w:r>
          </w:p>
        </w:tc>
        <w:tc>
          <w:tcPr>
            <w:tcW w:w="2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20,549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w:t>
            </w:r>
          </w:p>
        </w:tc>
        <w:tc>
          <w:tcPr>
            <w:tcW w:w="2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7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Times New Roman" w:hAnsi="Times New Roman"/>
          <w:b w:val="false"/>
          <w:sz w:val="18"/>
        </w:rPr>
      </w:pPr>
      <w:r>
        <w:rPr>
          <w:rFonts w:ascii="Times New Roman" w:hAnsi="Times New Roman"/>
          <w:b w:val="false"/>
          <w:sz w:val="18"/>
        </w:rPr>
        <w:t>(1)</w:t>
      </w:r>
    </w:p>
    <w:p>
      <w:pPr>
        <w:pStyle w:val="TextBody"/>
        <w:bidi w:val="0"/>
        <w:spacing w:before="40" w:after="283"/>
        <w:jc w:val="both"/>
        <w:rPr>
          <w:rFonts w:ascii="Times New Roman;serif" w:hAnsi="Times New Roman;serif"/>
          <w:b w:val="false"/>
          <w:sz w:val="16"/>
        </w:rPr>
      </w:pPr>
      <w:r>
        <w:rPr>
          <w:rFonts w:ascii="Times New Roman;serif" w:hAnsi="Times New Roman;serif"/>
          <w:b w:val="false"/>
          <w:sz w:val="16"/>
        </w:rPr>
        <w:t>In the second quarter of 2022, the Company removed from service one specialty vessel in this region. Specialty statistics reflect the removed from service status of this vessel.</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36</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serif" w:hAnsi="Times New Roman;serif"/>
          <w:b/>
          <w:sz w:val="24"/>
          <w:u w:val="single"/>
        </w:rPr>
      </w:pPr>
      <w:r>
        <w:rPr>
          <w:rFonts w:ascii="Times New Roman;serif" w:hAnsi="Times New Roman;serif"/>
          <w:b/>
          <w:sz w:val="24"/>
          <w:u w:val="single"/>
        </w:rPr>
        <w:t>Current Year Quarter compared with Prior Year Quarter</w:t>
      </w:r>
    </w:p>
    <w:p>
      <w:pPr>
        <w:pStyle w:val="TextBody"/>
        <w:bidi w:val="0"/>
        <w:spacing w:before="200" w:after="0"/>
        <w:jc w:val="both"/>
        <w:rPr>
          <w:rFonts w:ascii="Times New Roman" w:hAnsi="Times New Roman"/>
          <w:sz w:val="20"/>
        </w:rPr>
      </w:pPr>
      <w:r>
        <w:rPr>
          <w:rFonts w:ascii="Times New Roman;serif" w:hAnsi="Times New Roman;serif"/>
          <w:b w:val="false"/>
          <w:i/>
          <w:sz w:val="24"/>
        </w:rPr>
        <w:t>Operating Revenues.</w:t>
      </w:r>
      <w:r>
        <w:rPr>
          <w:rFonts w:ascii="Times New Roman" w:hAnsi="Times New Roman"/>
          <w:sz w:val="20"/>
        </w:rPr>
        <w:t xml:space="preserve"> </w:t>
      </w:r>
      <w:r>
        <w:rPr>
          <w:rFonts w:ascii="Times New Roman;serif" w:hAnsi="Times New Roman;serif"/>
          <w:b w:val="false"/>
          <w:sz w:val="24"/>
        </w:rPr>
        <w:t>Charter revenues were $2.7 million higher in the Current Year Quarter compared with the Prior Year Quarter. Charter revenues were $5.2 million higher for the Regional Core Fleet as a result of increased day rates and utilization and $2.5 million lower due to the repositioning of vessels between geographic regions. Other marine services were $2.9 million higher primarily due to business interruption insurance revenue. As of June 30, 2023, the Company had no owned or leased-in vessels cold-stacked in this region.</w:t>
      </w:r>
    </w:p>
    <w:p>
      <w:pPr>
        <w:pStyle w:val="TextBody"/>
        <w:bidi w:val="0"/>
        <w:spacing w:before="200" w:after="0"/>
        <w:jc w:val="both"/>
        <w:rPr>
          <w:rFonts w:ascii="Times New Roman" w:hAnsi="Times New Roman"/>
          <w:sz w:val="20"/>
        </w:rPr>
      </w:pPr>
      <w:r>
        <w:rPr>
          <w:rFonts w:ascii="Times New Roman;serif" w:hAnsi="Times New Roman;serif"/>
          <w:b w:val="false"/>
          <w:i/>
          <w:sz w:val="24"/>
        </w:rPr>
        <w:t>Direct Operating Expenses.</w:t>
      </w:r>
      <w:r>
        <w:rPr>
          <w:rFonts w:ascii="Times New Roman" w:hAnsi="Times New Roman"/>
          <w:sz w:val="20"/>
        </w:rPr>
        <w:t xml:space="preserve"> </w:t>
      </w:r>
      <w:r>
        <w:rPr>
          <w:rFonts w:ascii="Times New Roman;serif" w:hAnsi="Times New Roman;serif"/>
          <w:b w:val="false"/>
          <w:sz w:val="24"/>
        </w:rPr>
        <w:t>Direct operating expenses were $6.6 million lower in the Current Year Quarter compared with the Prior Year Quarter. Direct operating expenses were $1.9 million lower due to the repositioning of vessels between geographic regions and $4.7 million lower for the Regional Core Fleet primarily due to the insurance reimbursement of operating costs expensed in prior periods.</w:t>
      </w:r>
    </w:p>
    <w:p>
      <w:pPr>
        <w:pStyle w:val="TextBody"/>
        <w:bidi w:val="0"/>
        <w:spacing w:before="200" w:after="0"/>
        <w:jc w:val="both"/>
        <w:rPr>
          <w:rFonts w:ascii="Times New Roman;serif" w:hAnsi="Times New Roman;serif"/>
          <w:b/>
          <w:sz w:val="24"/>
          <w:u w:val="single"/>
        </w:rPr>
      </w:pPr>
      <w:r>
        <w:rPr>
          <w:rFonts w:ascii="Times New Roman;serif" w:hAnsi="Times New Roman;serif"/>
          <w:b/>
          <w:sz w:val="24"/>
          <w:u w:val="single"/>
        </w:rPr>
        <w:t>Current Year Six Months compared with Prior Year Six Months</w:t>
      </w:r>
    </w:p>
    <w:p>
      <w:pPr>
        <w:pStyle w:val="TextBody"/>
        <w:bidi w:val="0"/>
        <w:spacing w:before="200" w:after="0"/>
        <w:jc w:val="both"/>
        <w:rPr>
          <w:rFonts w:ascii="Times New Roman" w:hAnsi="Times New Roman"/>
          <w:sz w:val="20"/>
        </w:rPr>
      </w:pPr>
      <w:r>
        <w:rPr>
          <w:rFonts w:ascii="Times New Roman;serif" w:hAnsi="Times New Roman;serif"/>
          <w:b w:val="false"/>
          <w:i/>
          <w:sz w:val="24"/>
        </w:rPr>
        <w:t>Operating Revenues.</w:t>
      </w:r>
      <w:r>
        <w:rPr>
          <w:rFonts w:ascii="Times New Roman" w:hAnsi="Times New Roman"/>
          <w:sz w:val="20"/>
        </w:rPr>
        <w:t xml:space="preserve"> </w:t>
      </w:r>
      <w:r>
        <w:rPr>
          <w:rFonts w:ascii="Times New Roman;serif" w:hAnsi="Times New Roman;serif"/>
          <w:b w:val="false"/>
          <w:sz w:val="24"/>
        </w:rPr>
        <w:t>Charter revenues were $5.0 million higher in the Current Year Six Months compared with the Prior Year Six Months. Charter revenues were $9.4 million higher for the Regional Core Fleet as a result of increased day rates and utilization and $4.4 million lower due to the repositioning of vessels between geographic regions. Other marine services were $2.7 million higher primarily due to business interruption insurance revenue.</w:t>
      </w:r>
    </w:p>
    <w:p>
      <w:pPr>
        <w:pStyle w:val="TextBody"/>
        <w:bidi w:val="0"/>
        <w:spacing w:before="200" w:after="0"/>
        <w:jc w:val="both"/>
        <w:rPr>
          <w:rFonts w:ascii="Times New Roman" w:hAnsi="Times New Roman"/>
          <w:sz w:val="20"/>
        </w:rPr>
      </w:pPr>
      <w:r>
        <w:rPr>
          <w:rFonts w:ascii="Times New Roman;serif" w:hAnsi="Times New Roman;serif"/>
          <w:b w:val="false"/>
          <w:i/>
          <w:sz w:val="24"/>
        </w:rPr>
        <w:t>Direct Operating Expenses.</w:t>
      </w:r>
      <w:r>
        <w:rPr>
          <w:rFonts w:ascii="Times New Roman" w:hAnsi="Times New Roman"/>
          <w:sz w:val="20"/>
        </w:rPr>
        <w:t xml:space="preserve"> </w:t>
      </w:r>
      <w:r>
        <w:rPr>
          <w:rFonts w:ascii="Times New Roman;serif" w:hAnsi="Times New Roman;serif"/>
          <w:b w:val="false"/>
          <w:sz w:val="24"/>
        </w:rPr>
        <w:t>Direct operating expenses were $10.5 million lower in the Current Year Six Months compared with the Prior Year Six Months. Direct operating expenses were $4.4 million lower due to the repositioning of vessels between geographic regions and $6.1 million lower for the Regional Core Fleet primarily due to the insurance reimbursement of operating costs expensed in prior periods.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37</w:t>
      </w:r>
    </w:p>
    <w:p>
      <w:pPr>
        <w:pStyle w:val="HorizontalLine"/>
        <w:pBdr>
          <w:bottom w:val="double" w:sz="2" w:space="0" w:color="808080"/>
        </w:pBdr>
        <w:bidi w:val="0"/>
        <w:spacing w:before="0" w:after="283"/>
        <w:jc w:val="left"/>
        <w:rPr/>
      </w:pPr>
      <w:r>
        <w:rPr/>
      </w:r>
    </w:p>
    <w:p>
      <w:pPr>
        <w:pStyle w:val="TextBody"/>
        <w:bidi w:val="0"/>
        <w:spacing w:before="200" w:after="200"/>
        <w:jc w:val="both"/>
        <w:rPr>
          <w:rFonts w:ascii="Times New Roman" w:hAnsi="Times New Roman"/>
          <w:sz w:val="20"/>
        </w:rPr>
      </w:pPr>
      <w:r>
        <w:rPr>
          <w:rFonts w:ascii="Times New Roman;serif" w:hAnsi="Times New Roman;serif"/>
          <w:b/>
          <w:i/>
          <w:sz w:val="24"/>
        </w:rPr>
        <w:t xml:space="preserve">Latin America (Brazil, Mexico, Central and South America). </w:t>
      </w:r>
      <w:r>
        <w:rPr>
          <w:rFonts w:ascii="Times New Roman;serif" w:hAnsi="Times New Roman;serif"/>
          <w:b w:val="false"/>
          <w:sz w:val="24"/>
        </w:rPr>
        <w:t>For the three and six months ended June 30, 2023 and 2022 the Company’s time charter statistics and direct vessel profit in Latin America were as follows (in thousands, except statistics):</w:t>
      </w:r>
    </w:p>
    <w:tbl>
      <w:tblPr>
        <w:tblW w:w="10205" w:type="dxa"/>
        <w:jc w:val="left"/>
        <w:tblInd w:w="0" w:type="dxa"/>
        <w:tblLayout w:type="fixed"/>
        <w:tblCellMar>
          <w:top w:w="28" w:type="dxa"/>
          <w:left w:w="28" w:type="dxa"/>
          <w:bottom w:w="28" w:type="dxa"/>
          <w:right w:w="28" w:type="dxa"/>
        </w:tblCellMar>
      </w:tblPr>
      <w:tblGrid>
        <w:gridCol w:w="1708"/>
        <w:gridCol w:w="146"/>
        <w:gridCol w:w="196"/>
        <w:gridCol w:w="601"/>
        <w:gridCol w:w="146"/>
        <w:gridCol w:w="146"/>
        <w:gridCol w:w="146"/>
        <w:gridCol w:w="376"/>
        <w:gridCol w:w="256"/>
        <w:gridCol w:w="146"/>
        <w:gridCol w:w="196"/>
        <w:gridCol w:w="601"/>
        <w:gridCol w:w="146"/>
        <w:gridCol w:w="146"/>
        <w:gridCol w:w="146"/>
        <w:gridCol w:w="376"/>
        <w:gridCol w:w="256"/>
        <w:gridCol w:w="146"/>
        <w:gridCol w:w="196"/>
        <w:gridCol w:w="601"/>
        <w:gridCol w:w="146"/>
        <w:gridCol w:w="146"/>
        <w:gridCol w:w="146"/>
        <w:gridCol w:w="376"/>
        <w:gridCol w:w="256"/>
        <w:gridCol w:w="146"/>
        <w:gridCol w:w="196"/>
        <w:gridCol w:w="601"/>
        <w:gridCol w:w="146"/>
        <w:gridCol w:w="146"/>
        <w:gridCol w:w="146"/>
        <w:gridCol w:w="376"/>
        <w:gridCol w:w="701"/>
      </w:tblGrid>
      <w:tr>
        <w:trPr/>
        <w:tc>
          <w:tcPr>
            <w:tcW w:w="1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7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2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Three Months Ended June 30,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2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Six Months Ended June 30,</w:t>
            </w:r>
          </w:p>
        </w:tc>
        <w:tc>
          <w:tcPr>
            <w:tcW w:w="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0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Time Charter Statistics: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200"/>
              <w:jc w:val="right"/>
              <w:rPr/>
            </w:pPr>
            <w:r>
              <w:rPr/>
              <w:t> </w:t>
            </w:r>
          </w:p>
        </w:tc>
      </w:tr>
      <w:tr>
        <w:trPr/>
        <w:tc>
          <w:tcPr>
            <w:tcW w:w="17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Rates Per Day Worked:</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400"/>
              <w:jc w:val="right"/>
              <w:rPr/>
            </w:pPr>
            <w:r>
              <w:rPr/>
              <w:t> </w:t>
            </w:r>
          </w:p>
        </w:tc>
      </w:tr>
      <w:tr>
        <w:trPr/>
        <w:tc>
          <w:tcPr>
            <w:tcW w:w="170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11,960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400"/>
              <w:jc w:val="right"/>
              <w:rPr/>
            </w:pPr>
            <w:r>
              <w:rPr/>
              <w:t> </w:t>
            </w:r>
          </w:p>
        </w:tc>
      </w:tr>
      <w:tr>
        <w:trPr/>
        <w:tc>
          <w:tcPr>
            <w:tcW w:w="170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15,531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15,385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400"/>
              <w:jc w:val="right"/>
              <w:rPr/>
            </w:pPr>
            <w:r>
              <w:rPr/>
              <w:t> </w:t>
            </w:r>
          </w:p>
        </w:tc>
      </w:tr>
      <w:tr>
        <w:trPr/>
        <w:tc>
          <w:tcPr>
            <w:tcW w:w="170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Liftboats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25,175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400"/>
              <w:jc w:val="right"/>
              <w:rPr/>
            </w:pPr>
            <w:r>
              <w:rPr/>
              <w:t> </w:t>
            </w:r>
          </w:p>
        </w:tc>
      </w:tr>
      <w:tr>
        <w:trPr/>
        <w:tc>
          <w:tcPr>
            <w:tcW w:w="170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Overall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18,846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17,434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200"/>
              <w:jc w:val="right"/>
              <w:rPr/>
            </w:pPr>
            <w:r>
              <w:rPr/>
              <w:t> </w:t>
            </w:r>
          </w:p>
        </w:tc>
      </w:tr>
      <w:tr>
        <w:trPr/>
        <w:tc>
          <w:tcPr>
            <w:tcW w:w="17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Utilization:</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400"/>
              <w:jc w:val="right"/>
              <w:rPr/>
            </w:pPr>
            <w:r>
              <w:rPr/>
              <w:t> </w:t>
            </w:r>
          </w:p>
        </w:tc>
      </w:tr>
      <w:tr>
        <w:trPr/>
        <w:tc>
          <w:tcPr>
            <w:tcW w:w="170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FSV</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w:t>
            </w:r>
          </w:p>
        </w:tc>
        <w:tc>
          <w:tcPr>
            <w:tcW w:w="70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70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PSV</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w:t>
            </w:r>
          </w:p>
        </w:tc>
        <w:tc>
          <w:tcPr>
            <w:tcW w:w="70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70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Liftboats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70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70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Overall</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w:t>
            </w:r>
          </w:p>
        </w:tc>
        <w:tc>
          <w:tcPr>
            <w:tcW w:w="70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7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Available Days: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400"/>
              <w:jc w:val="right"/>
              <w:rPr/>
            </w:pPr>
            <w:r>
              <w:rPr/>
              <w:t> </w:t>
            </w:r>
          </w:p>
        </w:tc>
      </w:tr>
      <w:tr>
        <w:trPr/>
        <w:tc>
          <w:tcPr>
            <w:tcW w:w="170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FSV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400"/>
              <w:jc w:val="right"/>
              <w:rPr/>
            </w:pPr>
            <w:r>
              <w:rPr/>
              <w:t> </w:t>
            </w:r>
          </w:p>
        </w:tc>
      </w:tr>
      <w:tr>
        <w:trPr/>
        <w:tc>
          <w:tcPr>
            <w:tcW w:w="170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PSV</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400"/>
              <w:jc w:val="right"/>
              <w:rPr/>
            </w:pPr>
            <w:r>
              <w:rPr/>
              <w:t> </w:t>
            </w:r>
          </w:p>
        </w:tc>
      </w:tr>
      <w:tr>
        <w:trPr/>
        <w:tc>
          <w:tcPr>
            <w:tcW w:w="170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Liftboats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400"/>
              <w:jc w:val="right"/>
              <w:rPr/>
            </w:pPr>
            <w:r>
              <w:rPr/>
              <w:t> </w:t>
            </w:r>
          </w:p>
        </w:tc>
      </w:tr>
      <w:tr>
        <w:trPr/>
        <w:tc>
          <w:tcPr>
            <w:tcW w:w="1708"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Overall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pPr>
            <w:r>
              <w:rPr/>
              <w:t> </w:t>
            </w:r>
          </w:p>
        </w:tc>
      </w:tr>
      <w:tr>
        <w:trPr/>
        <w:tc>
          <w:tcPr>
            <w:tcW w:w="170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revenues: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200"/>
              <w:jc w:val="right"/>
              <w:rPr/>
            </w:pPr>
            <w:r>
              <w:rPr/>
              <w:t> </w:t>
            </w:r>
          </w:p>
        </w:tc>
      </w:tr>
      <w:tr>
        <w:trPr/>
        <w:tc>
          <w:tcPr>
            <w:tcW w:w="17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Time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13,706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19,846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w:t>
            </w:r>
          </w:p>
        </w:tc>
        <w:tc>
          <w:tcPr>
            <w:tcW w:w="70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7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Bareboat charter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70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7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marine services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70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29,999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21,793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70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operating expenses: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firstLine="200"/>
              <w:jc w:val="right"/>
              <w:rPr/>
            </w:pPr>
            <w:r>
              <w:rPr/>
              <w:t> </w:t>
            </w:r>
          </w:p>
        </w:tc>
      </w:tr>
      <w:tr>
        <w:trPr/>
        <w:tc>
          <w:tcPr>
            <w:tcW w:w="17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Personnel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w:t>
            </w:r>
          </w:p>
        </w:tc>
        <w:tc>
          <w:tcPr>
            <w:tcW w:w="70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7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Repairs and maintenance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w:t>
            </w:r>
          </w:p>
        </w:tc>
        <w:tc>
          <w:tcPr>
            <w:tcW w:w="70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7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Drydocking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70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7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Insurance and loss reserves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70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7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Fuel, lubes and supplies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70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7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70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14,813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w:t>
            </w:r>
          </w:p>
        </w:tc>
        <w:tc>
          <w:tcPr>
            <w:tcW w:w="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70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Direct Vessel Profit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15,554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w:t>
            </w:r>
          </w:p>
        </w:tc>
        <w:tc>
          <w:tcPr>
            <w:tcW w:w="7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200" w:after="0"/>
        <w:jc w:val="both"/>
        <w:rPr>
          <w:rFonts w:ascii="Times New Roman;serif" w:hAnsi="Times New Roman;serif"/>
          <w:b/>
          <w:sz w:val="24"/>
          <w:u w:val="single"/>
        </w:rPr>
      </w:pPr>
      <w:r>
        <w:rPr>
          <w:rFonts w:ascii="Times New Roman;serif" w:hAnsi="Times New Roman;serif"/>
          <w:b/>
          <w:sz w:val="24"/>
          <w:u w:val="single"/>
        </w:rPr>
        <w:t>Current Year Quarter compared with Prior Year Quarter</w:t>
      </w:r>
    </w:p>
    <w:p>
      <w:pPr>
        <w:pStyle w:val="TextBody"/>
        <w:bidi w:val="0"/>
        <w:spacing w:before="200" w:after="0"/>
        <w:jc w:val="both"/>
        <w:rPr>
          <w:rFonts w:ascii="Times New Roman" w:hAnsi="Times New Roman"/>
          <w:sz w:val="20"/>
        </w:rPr>
      </w:pPr>
      <w:r>
        <w:rPr>
          <w:rFonts w:ascii="Times New Roman;serif" w:hAnsi="Times New Roman;serif"/>
          <w:b w:val="false"/>
          <w:i/>
          <w:sz w:val="24"/>
        </w:rPr>
        <w:t>Operating Revenues.</w:t>
      </w:r>
      <w:r>
        <w:rPr>
          <w:rFonts w:ascii="Times New Roman" w:hAnsi="Times New Roman"/>
          <w:sz w:val="20"/>
        </w:rPr>
        <w:t xml:space="preserve"> </w:t>
      </w:r>
      <w:r>
        <w:rPr>
          <w:rFonts w:ascii="Times New Roman;serif" w:hAnsi="Times New Roman;serif"/>
          <w:b w:val="false"/>
          <w:sz w:val="24"/>
        </w:rPr>
        <w:t>Charter revenues were $3.1 million higher in the Current Year Quarter compared with the Prior Year Quarter. Charter revenues were $1.9 million higher due to the repositioning of vessels between geographic regions and $1.2 million higher for the Regional Core Fleet as a result of increased day rates and utilization. As of June 30, 2023, the Company had no owned or leased-in vessels cold-stacked in this region.</w:t>
      </w:r>
    </w:p>
    <w:p>
      <w:pPr>
        <w:pStyle w:val="TextBody"/>
        <w:bidi w:val="0"/>
        <w:spacing w:before="200" w:after="0"/>
        <w:jc w:val="both"/>
        <w:rPr>
          <w:rFonts w:ascii="Times New Roman" w:hAnsi="Times New Roman"/>
          <w:sz w:val="20"/>
        </w:rPr>
      </w:pPr>
      <w:r>
        <w:rPr>
          <w:rFonts w:ascii="Times New Roman;serif" w:hAnsi="Times New Roman;serif"/>
          <w:b w:val="false"/>
          <w:i/>
          <w:sz w:val="24"/>
        </w:rPr>
        <w:t>Direct Operating Expenses.</w:t>
      </w:r>
      <w:r>
        <w:rPr>
          <w:rFonts w:ascii="Times New Roman" w:hAnsi="Times New Roman"/>
          <w:sz w:val="20"/>
        </w:rPr>
        <w:t xml:space="preserve"> </w:t>
      </w:r>
      <w:r>
        <w:rPr>
          <w:rFonts w:ascii="Times New Roman;serif" w:hAnsi="Times New Roman;serif"/>
          <w:b w:val="false"/>
          <w:sz w:val="24"/>
        </w:rPr>
        <w:t>Direct operating expenses were $0.6 million higher in the Current Year Quarter compared with the Prior Year Quarter primarily due to the repositioning of vessels between geographic regions.</w:t>
      </w:r>
    </w:p>
    <w:p>
      <w:pPr>
        <w:pStyle w:val="TextBody"/>
        <w:bidi w:val="0"/>
        <w:spacing w:before="200" w:after="0"/>
        <w:jc w:val="both"/>
        <w:rPr>
          <w:rFonts w:ascii="Times New Roman;serif" w:hAnsi="Times New Roman;serif"/>
          <w:b/>
          <w:sz w:val="24"/>
          <w:u w:val="single"/>
        </w:rPr>
      </w:pPr>
      <w:r>
        <w:rPr>
          <w:rFonts w:ascii="Times New Roman;serif" w:hAnsi="Times New Roman;serif"/>
          <w:b/>
          <w:sz w:val="24"/>
          <w:u w:val="single"/>
        </w:rPr>
        <w:t>Current Year Six Months compared with Prior Year Six Months</w:t>
      </w:r>
    </w:p>
    <w:p>
      <w:pPr>
        <w:pStyle w:val="TextBody"/>
        <w:bidi w:val="0"/>
        <w:spacing w:before="200" w:after="0"/>
        <w:jc w:val="both"/>
        <w:rPr>
          <w:rFonts w:ascii="Times New Roman" w:hAnsi="Times New Roman"/>
          <w:sz w:val="20"/>
        </w:rPr>
      </w:pPr>
      <w:r>
        <w:rPr>
          <w:rFonts w:ascii="Times New Roman;serif" w:hAnsi="Times New Roman;serif"/>
          <w:b w:val="false"/>
          <w:i/>
          <w:sz w:val="24"/>
        </w:rPr>
        <w:t>Operating Revenues.</w:t>
      </w:r>
      <w:r>
        <w:rPr>
          <w:rFonts w:ascii="Times New Roman" w:hAnsi="Times New Roman"/>
          <w:sz w:val="20"/>
        </w:rPr>
        <w:t xml:space="preserve"> </w:t>
      </w:r>
      <w:r>
        <w:rPr>
          <w:rFonts w:ascii="Times New Roman;serif" w:hAnsi="Times New Roman;serif"/>
          <w:b w:val="false"/>
          <w:sz w:val="24"/>
        </w:rPr>
        <w:t>Charter revenues were $7.7 million higher in the Current Year Six Months compared with the Prior Year Six Months. Charter revenues were $3.9 million higher due to the repositioning of vessels between geographic regions and $3.8 million higher for the Regional Core Fleet as a result of increased day rates and utilization.</w:t>
      </w:r>
    </w:p>
    <w:p>
      <w:pPr>
        <w:pStyle w:val="TextBody"/>
        <w:bidi w:val="0"/>
        <w:spacing w:before="200" w:after="0"/>
        <w:jc w:val="both"/>
        <w:rPr>
          <w:rFonts w:ascii="Times New Roman" w:hAnsi="Times New Roman"/>
          <w:sz w:val="20"/>
        </w:rPr>
      </w:pPr>
      <w:r>
        <w:rPr>
          <w:rFonts w:ascii="Times New Roman;serif" w:hAnsi="Times New Roman;serif"/>
          <w:b w:val="false"/>
          <w:i/>
          <w:sz w:val="24"/>
        </w:rPr>
        <w:t>Direct Operating Expenses.</w:t>
      </w:r>
      <w:r>
        <w:rPr>
          <w:rFonts w:ascii="Times New Roman" w:hAnsi="Times New Roman"/>
          <w:sz w:val="20"/>
        </w:rPr>
        <w:t xml:space="preserve"> </w:t>
      </w:r>
      <w:r>
        <w:rPr>
          <w:rFonts w:ascii="Times New Roman;serif" w:hAnsi="Times New Roman;serif"/>
          <w:b w:val="false"/>
          <w:sz w:val="24"/>
        </w:rPr>
        <w:t>Direct operating expenses were $0.4 million lower in the Current Year Six Months compared with the Prior Year Six Months primarily due to the repositioning of vessels between geographic regions and the timing of certain repair expenditures.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38</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serif" w:hAnsi="Times New Roman;serif"/>
          <w:b/>
          <w:sz w:val="24"/>
          <w:u w:val="single"/>
        </w:rPr>
      </w:pPr>
      <w:r>
        <w:rPr>
          <w:rFonts w:ascii="Times New Roman;serif" w:hAnsi="Times New Roman;serif"/>
          <w:b/>
          <w:sz w:val="24"/>
          <w:u w:val="single"/>
        </w:rPr>
        <w:t>Other Operating Expenses</w:t>
      </w:r>
    </w:p>
    <w:p>
      <w:pPr>
        <w:pStyle w:val="TextBody"/>
        <w:bidi w:val="0"/>
        <w:spacing w:before="200" w:after="0"/>
        <w:jc w:val="both"/>
        <w:rPr>
          <w:rFonts w:ascii="Times New Roman" w:hAnsi="Times New Roman"/>
          <w:sz w:val="20"/>
        </w:rPr>
      </w:pPr>
      <w:r>
        <w:rPr>
          <w:rFonts w:ascii="Times New Roman;serif" w:hAnsi="Times New Roman;serif"/>
          <w:b/>
          <w:i/>
          <w:sz w:val="24"/>
        </w:rPr>
        <w:t>Lease Expense.</w:t>
      </w:r>
      <w:r>
        <w:rPr>
          <w:rFonts w:ascii="Times New Roman" w:hAnsi="Times New Roman"/>
          <w:sz w:val="20"/>
        </w:rPr>
        <w:t xml:space="preserve"> </w:t>
      </w:r>
      <w:r>
        <w:rPr>
          <w:rFonts w:ascii="Times New Roman;serif" w:hAnsi="Times New Roman;serif"/>
          <w:b w:val="false"/>
          <w:sz w:val="24"/>
        </w:rPr>
        <w:t>Leased-in equipment expense for the Current Year Quarter and Current Year Six Months was $0.3 million lower and $0.7 million lower compared with the Prior Year Quarter and Prior Year Six Months primarily due to the impairment of one leased-in vessel in 2022.</w:t>
      </w:r>
    </w:p>
    <w:p>
      <w:pPr>
        <w:pStyle w:val="TextBody"/>
        <w:bidi w:val="0"/>
        <w:spacing w:before="200" w:after="0"/>
        <w:jc w:val="both"/>
        <w:rPr>
          <w:rFonts w:ascii="Times New Roman" w:hAnsi="Times New Roman"/>
          <w:sz w:val="20"/>
        </w:rPr>
      </w:pPr>
      <w:r>
        <w:rPr>
          <w:rFonts w:ascii="Times New Roman;serif" w:hAnsi="Times New Roman;serif"/>
          <w:b/>
          <w:i/>
          <w:sz w:val="24"/>
        </w:rPr>
        <w:t>Administrative and general.</w:t>
      </w:r>
      <w:r>
        <w:rPr>
          <w:rFonts w:ascii="Times New Roman" w:hAnsi="Times New Roman"/>
          <w:sz w:val="20"/>
        </w:rPr>
        <w:t xml:space="preserve"> </w:t>
      </w:r>
      <w:r>
        <w:rPr>
          <w:rFonts w:ascii="Times New Roman;serif" w:hAnsi="Times New Roman;serif"/>
          <w:b w:val="false"/>
          <w:sz w:val="24"/>
        </w:rPr>
        <w:t>Administrative and general expenses for the Current Year Quarter and Current Year Six Months were $3.5 million higher and $5.2 million higher compared to the Prior Year Quarter and Prior Year Six Months due to increases in our allowance for credit losses and increases in salaries and benefits expenses in the Current Year Quarter and Current Year Six Months.</w:t>
      </w:r>
    </w:p>
    <w:p>
      <w:pPr>
        <w:pStyle w:val="TextBody"/>
        <w:bidi w:val="0"/>
        <w:spacing w:before="200" w:after="0"/>
        <w:jc w:val="both"/>
        <w:rPr>
          <w:rFonts w:ascii="Times New Roman" w:hAnsi="Times New Roman"/>
          <w:sz w:val="20"/>
        </w:rPr>
      </w:pPr>
      <w:r>
        <w:rPr>
          <w:rFonts w:ascii="Times New Roman;serif" w:hAnsi="Times New Roman;serif"/>
          <w:b/>
          <w:i/>
          <w:sz w:val="24"/>
        </w:rPr>
        <w:t>Depreciation and amortization.</w:t>
      </w:r>
      <w:r>
        <w:rPr>
          <w:rFonts w:ascii="Times New Roman" w:hAnsi="Times New Roman"/>
          <w:sz w:val="20"/>
        </w:rPr>
        <w:t xml:space="preserve"> </w:t>
      </w:r>
      <w:r>
        <w:rPr>
          <w:rFonts w:ascii="Times New Roman;serif" w:hAnsi="Times New Roman;serif"/>
          <w:b w:val="false"/>
          <w:sz w:val="24"/>
        </w:rPr>
        <w:t>Depreciation and amortization expense for the Current Year Quarter and Current Year Six Months were $0.6 million lower and $1.2 million lower compared to the Prior Year Quarter and Prior Year Six Months primarily due to net fleet changes.</w:t>
      </w:r>
    </w:p>
    <w:p>
      <w:pPr>
        <w:pStyle w:val="TextBody"/>
        <w:bidi w:val="0"/>
        <w:spacing w:before="200" w:after="0"/>
        <w:jc w:val="both"/>
        <w:rPr>
          <w:rFonts w:ascii="Times New Roman" w:hAnsi="Times New Roman"/>
          <w:sz w:val="20"/>
        </w:rPr>
      </w:pPr>
      <w:r>
        <w:rPr>
          <w:rFonts w:ascii="Times New Roman;serif" w:hAnsi="Times New Roman;serif"/>
          <w:b/>
          <w:i/>
          <w:sz w:val="24"/>
        </w:rPr>
        <w:t>Gains (Losses) on Asset Dispositions and Impairments, Net.</w:t>
      </w:r>
      <w:r>
        <w:rPr>
          <w:rFonts w:ascii="Times New Roman" w:hAnsi="Times New Roman"/>
          <w:sz w:val="20"/>
        </w:rPr>
        <w:t xml:space="preserve"> </w:t>
      </w:r>
      <w:r>
        <w:rPr>
          <w:rFonts w:ascii="Times New Roman;serif" w:hAnsi="Times New Roman;serif"/>
          <w:b w:val="false"/>
          <w:sz w:val="24"/>
        </w:rPr>
        <w:t>During the Current Year Quarter, the Company sold one specialty vessel, previously removed from service, and other equipment for net cash proceeds of $0.4 million, after transaction costs, and a gain of $0.3 million. During the Prior Year Quarter, the Company sold one FSV and other equipment for net cash proceeds of $1.4 million, after transaction costs. The Company classified the FSV as held for sale and recorded impairment charges of $0.9 million during the first quarter of 2022.</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During the Current Year Six Months, the Company sold three liftboats, one specialty vessel, previously removed from service, and other equipment, previously classified as held for sale, as well as other equipment not previously classified as such, for net cash proceeds of $8.0 million, after transaction costs, and a gain of $2.9 million. During the Prior Year Six Months, the Company sold one FSV, one liftboat, previously removed from service, office space, and other equipment for net cash proceeds of $6.7 million, after transaction costs, and a gain of $2.2 million, which included impairment charges of $0.9 million for the FSV classified as held for sale during the first quarter of 2022 and sold during the second quarter of 2022.</w:t>
      </w:r>
    </w:p>
    <w:p>
      <w:pPr>
        <w:pStyle w:val="TextBody"/>
        <w:bidi w:val="0"/>
        <w:spacing w:before="0" w:after="0"/>
        <w:jc w:val="both"/>
        <w:rPr/>
      </w:pPr>
      <w:r>
        <w:rPr/>
        <w:t> </w:t>
      </w:r>
    </w:p>
    <w:p>
      <w:pPr>
        <w:pStyle w:val="TextBody"/>
        <w:bidi w:val="0"/>
        <w:spacing w:before="0" w:after="0"/>
        <w:jc w:val="both"/>
        <w:rPr>
          <w:rFonts w:ascii="Times New Roman;serif" w:hAnsi="Times New Roman;serif"/>
          <w:b/>
          <w:sz w:val="24"/>
        </w:rPr>
      </w:pPr>
      <w:r>
        <w:rPr>
          <w:rFonts w:ascii="Times New Roman;serif" w:hAnsi="Times New Roman;serif"/>
          <w:b/>
          <w:sz w:val="24"/>
        </w:rPr>
        <w:t>Other Income (Expense), Net</w:t>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For the three and six months ended June 30, 2023 and 2022, the Company’s other income (expense) was as follows (in thousands):</w:t>
      </w:r>
    </w:p>
    <w:tbl>
      <w:tblPr>
        <w:tblW w:w="8201" w:type="dxa"/>
        <w:jc w:val="left"/>
        <w:tblInd w:w="0" w:type="dxa"/>
        <w:tblLayout w:type="fixed"/>
        <w:tblCellMar>
          <w:top w:w="28" w:type="dxa"/>
          <w:left w:w="28" w:type="dxa"/>
          <w:bottom w:w="28" w:type="dxa"/>
          <w:right w:w="28" w:type="dxa"/>
        </w:tblCellMar>
      </w:tblPr>
      <w:tblGrid>
        <w:gridCol w:w="2656"/>
        <w:gridCol w:w="146"/>
        <w:gridCol w:w="259"/>
        <w:gridCol w:w="756"/>
        <w:gridCol w:w="219"/>
        <w:gridCol w:w="193"/>
        <w:gridCol w:w="259"/>
        <w:gridCol w:w="756"/>
        <w:gridCol w:w="166"/>
        <w:gridCol w:w="146"/>
        <w:gridCol w:w="216"/>
        <w:gridCol w:w="729"/>
        <w:gridCol w:w="183"/>
        <w:gridCol w:w="161"/>
        <w:gridCol w:w="216"/>
        <w:gridCol w:w="729"/>
        <w:gridCol w:w="4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3" w:type="dxa"/>
            <w:tcBorders/>
            <w:vAlign w:val="center"/>
          </w:tcPr>
          <w:p>
            <w:pPr>
              <w:pStyle w:val="TableContents"/>
              <w:bidi w:val="0"/>
              <w:spacing w:before="0" w:after="0"/>
              <w:ind w:left="0" w:right="0" w:hanging="0"/>
              <w:jc w:val="left"/>
              <w:rPr/>
            </w:pPr>
            <w:r>
              <w:rPr/>
              <w:t> </w:t>
            </w:r>
          </w:p>
        </w:tc>
        <w:tc>
          <w:tcPr>
            <w:tcW w:w="10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Income (Expense):</w:t>
            </w:r>
          </w:p>
        </w:tc>
        <w:tc>
          <w:tcPr>
            <w:tcW w:w="146" w:type="dxa"/>
            <w:tcBorders/>
            <w:vAlign w:val="center"/>
          </w:tcPr>
          <w:p>
            <w:pPr>
              <w:pStyle w:val="TableContents"/>
              <w:bidi w:val="0"/>
              <w:spacing w:before="0" w:after="0"/>
              <w:ind w:left="0" w:right="0" w:hanging="0"/>
              <w:jc w:val="left"/>
              <w:rPr/>
            </w:pPr>
            <w:r>
              <w:rPr/>
              <w:t> </w:t>
            </w:r>
          </w:p>
        </w:tc>
        <w:tc>
          <w:tcPr>
            <w:tcW w:w="1015" w:type="dxa"/>
            <w:gridSpan w:val="2"/>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101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265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Interest income</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422</w:t>
            </w:r>
          </w:p>
        </w:tc>
        <w:tc>
          <w:tcPr>
            <w:tcW w:w="219"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882</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219</w:t>
            </w:r>
          </w:p>
        </w:tc>
        <w:tc>
          <w:tcPr>
            <w:tcW w:w="411" w:type="dxa"/>
            <w:tcBorders/>
            <w:vAlign w:val="center"/>
          </w:tcPr>
          <w:p>
            <w:pPr>
              <w:pStyle w:val="TableContents"/>
              <w:bidi w:val="0"/>
              <w:spacing w:before="0" w:after="0"/>
              <w:ind w:left="0" w:right="0" w:firstLine="200"/>
              <w:jc w:val="left"/>
              <w:rPr/>
            </w:pPr>
            <w:r>
              <w:rPr/>
              <w:t> </w:t>
            </w:r>
          </w:p>
        </w:tc>
      </w:tr>
      <w:tr>
        <w:trPr/>
        <w:tc>
          <w:tcPr>
            <w:tcW w:w="265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Interest expense</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(8,736</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3"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(17,524</w:t>
            </w:r>
          </w:p>
        </w:tc>
        <w:tc>
          <w:tcPr>
            <w:tcW w:w="1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(13,616</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65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Derivative gains (losses), net</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219"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65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Foreign currency (losses) gains, net</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(603</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3"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(1,428</w:t>
            </w:r>
          </w:p>
        </w:tc>
        <w:tc>
          <w:tcPr>
            <w:tcW w:w="1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1,991</w:t>
            </w:r>
          </w:p>
        </w:tc>
        <w:tc>
          <w:tcPr>
            <w:tcW w:w="411" w:type="dxa"/>
            <w:tcBorders/>
            <w:vAlign w:val="center"/>
          </w:tcPr>
          <w:p>
            <w:pPr>
              <w:pStyle w:val="TableContents"/>
              <w:bidi w:val="0"/>
              <w:spacing w:before="0" w:after="0"/>
              <w:ind w:left="0" w:right="0" w:firstLine="200"/>
              <w:jc w:val="left"/>
              <w:rPr/>
            </w:pPr>
            <w:r>
              <w:rPr/>
              <w:t> </w:t>
            </w:r>
          </w:p>
        </w:tc>
      </w:tr>
      <w:tr>
        <w:trPr/>
        <w:tc>
          <w:tcPr>
            <w:tcW w:w="265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net</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(8,917</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3"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(18,070</w:t>
            </w:r>
          </w:p>
        </w:tc>
        <w:tc>
          <w:tcPr>
            <w:tcW w:w="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(11,448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200" w:after="0"/>
        <w:jc w:val="both"/>
        <w:rPr>
          <w:rFonts w:ascii="Times New Roman" w:hAnsi="Times New Roman"/>
          <w:sz w:val="20"/>
        </w:rPr>
      </w:pPr>
      <w:r>
        <w:rPr>
          <w:rFonts w:ascii="Times New Roman;serif" w:hAnsi="Times New Roman;serif"/>
          <w:b/>
          <w:i/>
          <w:sz w:val="24"/>
        </w:rPr>
        <w:t>Interest income.</w:t>
      </w:r>
      <w:r>
        <w:rPr>
          <w:rFonts w:ascii="Times New Roman" w:hAnsi="Times New Roman"/>
          <w:sz w:val="20"/>
        </w:rPr>
        <w:t xml:space="preserve"> </w:t>
      </w:r>
      <w:r>
        <w:rPr>
          <w:rFonts w:ascii="Times New Roman;serif" w:hAnsi="Times New Roman;serif"/>
          <w:b w:val="false"/>
          <w:sz w:val="24"/>
        </w:rPr>
        <w:t>Interest income for the Current Year Quarter and Current Year Six Months compared with the Prior Year Quarter and Prior Year Six Months was higher due to interest received for the loan due from MexMar.</w:t>
      </w:r>
    </w:p>
    <w:p>
      <w:pPr>
        <w:pStyle w:val="TextBody"/>
        <w:bidi w:val="0"/>
        <w:spacing w:before="200" w:after="0"/>
        <w:jc w:val="both"/>
        <w:rPr>
          <w:rFonts w:ascii="Times New Roman" w:hAnsi="Times New Roman"/>
          <w:sz w:val="20"/>
        </w:rPr>
      </w:pPr>
      <w:r>
        <w:rPr>
          <w:rFonts w:ascii="Times New Roman;serif" w:hAnsi="Times New Roman;serif"/>
          <w:b/>
          <w:i/>
          <w:sz w:val="24"/>
        </w:rPr>
        <w:t>Interest expense.</w:t>
      </w:r>
      <w:r>
        <w:rPr>
          <w:rFonts w:ascii="Times New Roman" w:hAnsi="Times New Roman"/>
          <w:sz w:val="20"/>
        </w:rPr>
        <w:t xml:space="preserve"> </w:t>
      </w:r>
      <w:r>
        <w:rPr>
          <w:rFonts w:ascii="Times New Roman;serif" w:hAnsi="Times New Roman;serif"/>
          <w:b w:val="false"/>
          <w:sz w:val="24"/>
        </w:rPr>
        <w:t>Interest expense was higher in the Current Year Quarter and Current Year Six Months compared with the Prior Year Quarter and Prior Year Six Months primarily due to a higher interest rate on the SMFH Credit Facility, a higher interest rate due to the exchange of the Old Convertible Notes for the Guaranteed Notes and the New Convertible Notes and higher interest rates on variable rate debt.</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39</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 w:hAnsi="Times New Roman"/>
          <w:sz w:val="20"/>
        </w:rPr>
      </w:pPr>
      <w:r>
        <w:rPr>
          <w:rFonts w:ascii="Times New Roman;serif" w:hAnsi="Times New Roman;serif"/>
          <w:b/>
          <w:i/>
          <w:sz w:val="24"/>
        </w:rPr>
        <w:t>Derivative losses, net.</w:t>
      </w:r>
      <w:r>
        <w:rPr>
          <w:rFonts w:ascii="Times New Roman" w:hAnsi="Times New Roman"/>
          <w:sz w:val="20"/>
        </w:rPr>
        <w:t xml:space="preserve"> </w:t>
      </w:r>
      <w:r>
        <w:rPr>
          <w:rFonts w:ascii="Times New Roman;serif" w:hAnsi="Times New Roman;serif"/>
          <w:b w:val="false"/>
          <w:sz w:val="24"/>
        </w:rPr>
        <w:t>Net derivative losses for the Current Year Quarter and Current Year Six Months compared with the Prior Year Quarter and Prior Year Six Months decreased due to the Company no longer having a conversion option liability.</w:t>
      </w:r>
    </w:p>
    <w:p>
      <w:pPr>
        <w:pStyle w:val="TextBody"/>
        <w:bidi w:val="0"/>
        <w:spacing w:before="200" w:after="0"/>
        <w:jc w:val="both"/>
        <w:rPr>
          <w:rFonts w:ascii="Times New Roman" w:hAnsi="Times New Roman"/>
          <w:sz w:val="20"/>
        </w:rPr>
      </w:pPr>
      <w:r>
        <w:rPr>
          <w:rFonts w:ascii="Times New Roman;serif" w:hAnsi="Times New Roman;serif"/>
          <w:b/>
          <w:i/>
          <w:sz w:val="24"/>
        </w:rPr>
        <w:t>Foreign currency gains (losses), net.</w:t>
      </w:r>
      <w:r>
        <w:rPr>
          <w:rFonts w:ascii="Times New Roman" w:hAnsi="Times New Roman"/>
          <w:sz w:val="20"/>
        </w:rPr>
        <w:t xml:space="preserve"> </w:t>
      </w:r>
      <w:r>
        <w:rPr>
          <w:rFonts w:ascii="Times New Roman;serif" w:hAnsi="Times New Roman;serif"/>
          <w:b w:val="false"/>
          <w:sz w:val="24"/>
        </w:rPr>
        <w:t>Foreign currency losses for the Current Year Quarter and Current Year Six Months compared to foreign currency gains for the Prior Year Quarter and Prior Year Six Months was primarily due to various changes in foreign currencies.</w:t>
      </w:r>
    </w:p>
    <w:p>
      <w:pPr>
        <w:pStyle w:val="TextBody"/>
        <w:bidi w:val="0"/>
        <w:spacing w:before="200" w:after="0"/>
        <w:jc w:val="left"/>
        <w:rPr>
          <w:rFonts w:ascii="Times New Roman;serif" w:hAnsi="Times New Roman;serif"/>
          <w:b/>
          <w:sz w:val="24"/>
        </w:rPr>
      </w:pPr>
      <w:r>
        <w:rPr>
          <w:rFonts w:ascii="Times New Roman;serif" w:hAnsi="Times New Roman;serif"/>
          <w:b/>
          <w:sz w:val="24"/>
        </w:rPr>
        <w:t>Income Tax Expense</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During the six months ended June 30, 2023, the Company’s effective income tax rate of 0.40% was primarily due to foreign taxes paid that are not creditable against U.S. income taxes.</w:t>
      </w:r>
    </w:p>
    <w:p>
      <w:pPr>
        <w:pStyle w:val="TextBody"/>
        <w:bidi w:val="0"/>
        <w:spacing w:before="200" w:after="0"/>
        <w:jc w:val="both"/>
        <w:rPr>
          <w:rFonts w:ascii="Times New Roman;serif" w:hAnsi="Times New Roman;serif"/>
          <w:b/>
          <w:sz w:val="24"/>
        </w:rPr>
      </w:pPr>
      <w:r>
        <w:rPr>
          <w:rFonts w:ascii="Times New Roman;serif" w:hAnsi="Times New Roman;serif"/>
          <w:b/>
          <w:sz w:val="24"/>
        </w:rPr>
        <w:t>Equity in Earnings of 50% or Less Owned Companies</w:t>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Equity in earnings of 50% or less owned companies for the Current Year Quarter compared with the Prior Year Quarter were essentially flat and earnings for the Current Year Six Months compared with the Prior Year Six Months were $5.2 million lower due to the following changes in equity earnings (losses) (in thousands):</w:t>
      </w:r>
    </w:p>
    <w:tbl>
      <w:tblPr>
        <w:tblW w:w="7320" w:type="dxa"/>
        <w:jc w:val="left"/>
        <w:tblInd w:w="0" w:type="dxa"/>
        <w:tblLayout w:type="fixed"/>
        <w:tblCellMar>
          <w:top w:w="28" w:type="dxa"/>
          <w:left w:w="28" w:type="dxa"/>
          <w:bottom w:w="28" w:type="dxa"/>
          <w:right w:w="28" w:type="dxa"/>
        </w:tblCellMar>
      </w:tblPr>
      <w:tblGrid>
        <w:gridCol w:w="1996"/>
        <w:gridCol w:w="146"/>
        <w:gridCol w:w="290"/>
        <w:gridCol w:w="645"/>
        <w:gridCol w:w="245"/>
        <w:gridCol w:w="216"/>
        <w:gridCol w:w="290"/>
        <w:gridCol w:w="757"/>
        <w:gridCol w:w="166"/>
        <w:gridCol w:w="146"/>
        <w:gridCol w:w="278"/>
        <w:gridCol w:w="535"/>
        <w:gridCol w:w="207"/>
        <w:gridCol w:w="207"/>
        <w:gridCol w:w="278"/>
        <w:gridCol w:w="727"/>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4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6" w:type="dxa"/>
            <w:tcBorders/>
            <w:vAlign w:val="center"/>
          </w:tcPr>
          <w:p>
            <w:pPr>
              <w:pStyle w:val="TableContents"/>
              <w:bidi w:val="0"/>
              <w:spacing w:before="0" w:after="0"/>
              <w:ind w:left="0" w:right="0" w:hanging="0"/>
              <w:jc w:val="left"/>
              <w:rPr/>
            </w:pPr>
            <w:r>
              <w:rPr/>
              <w:t> </w:t>
            </w:r>
          </w:p>
        </w:tc>
        <w:tc>
          <w:tcPr>
            <w:tcW w:w="10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7"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MexMar</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5"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35" w:type="dxa"/>
            <w:tcBorders/>
            <w:vAlign w:val="center"/>
          </w:tcPr>
          <w:p>
            <w:pPr>
              <w:pStyle w:val="TableContents"/>
              <w:bidi w:val="0"/>
              <w:spacing w:before="0" w:after="0"/>
              <w:ind w:left="0" w:right="0" w:hanging="0"/>
              <w:jc w:val="right"/>
              <w:rPr/>
            </w:pPr>
            <w:r>
              <w:rPr/>
              <w:t>—</w:t>
            </w:r>
          </w:p>
        </w:tc>
        <w:tc>
          <w:tcPr>
            <w:tcW w:w="207"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3,822</w:t>
            </w:r>
          </w:p>
        </w:tc>
        <w:tc>
          <w:tcPr>
            <w:tcW w:w="191" w:type="dxa"/>
            <w:tcBorders/>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SEACOR Arabia</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64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613</w:t>
            </w:r>
          </w:p>
        </w:tc>
        <w:tc>
          <w:tcPr>
            <w:tcW w:w="245"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53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815</w:t>
            </w:r>
          </w:p>
        </w:tc>
        <w:tc>
          <w:tcPr>
            <w:tcW w:w="207"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351</w:t>
            </w:r>
          </w:p>
        </w:tc>
        <w:tc>
          <w:tcPr>
            <w:tcW w:w="191" w:type="dxa"/>
            <w:tcBorders/>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Offshore Vessel Holdings</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645"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535" w:type="dxa"/>
            <w:tcBorders/>
            <w:vAlign w:val="center"/>
          </w:tcPr>
          <w:p>
            <w:pPr>
              <w:pStyle w:val="TableContents"/>
              <w:bidi w:val="0"/>
              <w:spacing w:before="0" w:after="0"/>
              <w:ind w:left="0" w:right="0" w:hanging="0"/>
              <w:jc w:val="right"/>
              <w:rPr/>
            </w:pPr>
            <w:r>
              <w:rPr/>
              <w:t>—</w:t>
            </w:r>
          </w:p>
        </w:tc>
        <w:tc>
          <w:tcPr>
            <w:tcW w:w="207"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1,642</w:t>
            </w:r>
          </w:p>
        </w:tc>
        <w:tc>
          <w:tcPr>
            <w:tcW w:w="191" w:type="dxa"/>
            <w:tcBorders/>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2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(240</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16" w:type="dxa"/>
            <w:tcBorders/>
            <w:vAlign w:val="center"/>
          </w:tcPr>
          <w:p>
            <w:pPr>
              <w:pStyle w:val="TableContents"/>
              <w:bidi w:val="0"/>
              <w:spacing w:before="0" w:after="0"/>
              <w:ind w:left="0" w:right="0" w:hanging="0"/>
              <w:jc w:val="left"/>
              <w:rPr/>
            </w:pPr>
            <w:r>
              <w:rPr/>
              <w:t> </w:t>
            </w:r>
          </w:p>
        </w:tc>
        <w:tc>
          <w:tcPr>
            <w:tcW w:w="2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373</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2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909</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6,089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i/>
          <w:sz w:val="24"/>
        </w:rPr>
        <w:t xml:space="preserve">MexMar, OVH and SEACOR Marlin. </w:t>
      </w:r>
      <w:r>
        <w:rPr>
          <w:rFonts w:ascii="Times New Roman;serif" w:hAnsi="Times New Roman;serif"/>
          <w:b w:val="false"/>
          <w:sz w:val="24"/>
        </w:rPr>
        <w:t>On September 29, 2022, each of the Framework Agreement Transactions were consummated. As a result, the Company no longer owns any equity interest in either MexMar or in OVH, and the Company owns all of the equity interests in SEACOR Marlin LLC. As a result, the Company expects its equity in earnings of 50% or less owned companies not to be significant in future periods.</w:t>
      </w:r>
    </w:p>
    <w:p>
      <w:pPr>
        <w:pStyle w:val="TextBody"/>
        <w:bidi w:val="0"/>
        <w:spacing w:before="200" w:after="0"/>
        <w:jc w:val="both"/>
        <w:rPr>
          <w:rFonts w:ascii="Times New Roman;serif" w:hAnsi="Times New Roman;serif"/>
          <w:b/>
          <w:sz w:val="24"/>
        </w:rPr>
      </w:pPr>
      <w:r>
        <w:rPr>
          <w:rFonts w:ascii="Times New Roman;serif" w:hAnsi="Times New Roman;serif"/>
          <w:b/>
          <w:sz w:val="24"/>
        </w:rPr>
        <w:t>Liquidity and Capital Resources</w:t>
      </w:r>
    </w:p>
    <w:p>
      <w:pPr>
        <w:pStyle w:val="TextBody"/>
        <w:bidi w:val="0"/>
        <w:spacing w:before="200" w:after="0"/>
        <w:jc w:val="both"/>
        <w:rPr>
          <w:rFonts w:ascii="Times New Roman;serif" w:hAnsi="Times New Roman;serif"/>
          <w:b/>
          <w:sz w:val="24"/>
        </w:rPr>
      </w:pPr>
      <w:r>
        <w:rPr>
          <w:rFonts w:ascii="Times New Roman;serif" w:hAnsi="Times New Roman;serif"/>
          <w:b/>
          <w:sz w:val="24"/>
        </w:rPr>
        <w:t>General</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The Company’s ongoing liquidity requirements arise primarily from working capital needs, capital commitments and its obligations to service outstanding debt and comply with covenants under its debt facilities. The Company may use its liquidity to fund capital expenditures, make acquisitions or to make other investments. Sources of liquidity are cash balances, construction reserve funds, cash flows from operations and collections of our short-term note receivable. From time to time, the Company may secure additional liquidity through asset sales or the issuance of debt, shares of Common Stock or common stock of its subsidiaries, preferred stock or a combination thereof.</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40</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 w:hAnsi="Times New Roman"/>
          <w:sz w:val="20"/>
        </w:rPr>
      </w:pPr>
      <w:r>
        <w:rPr>
          <w:rFonts w:ascii="Times New Roman;serif" w:hAnsi="Times New Roman;serif"/>
          <w:b w:val="false"/>
          <w:sz w:val="24"/>
        </w:rPr>
        <w:t>As of June 30, 2023, the Company held balances of cash, cash equivalents and restricted cash totaling $43.5 million. As of June 30, 2022, the Company held balances of cash, cash equivalents and restricted cash totaling $25.9 million. The Company expects that it will receive $5.0 million next quarter as MexMar pays off the remaining $5.0 million under its loan which is held entirely by the Company.</w:t>
      </w:r>
      <w:r>
        <w:rPr>
          <w:rFonts w:ascii="Times New Roman" w:hAnsi="Times New Roman"/>
          <w:sz w:val="20"/>
        </w:rPr>
        <w:t xml:space="preserve"> </w:t>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As of June 30, 2023, the Company had outstanding debt of $307.9 million, net of debt discount and issue costs. The Company’s contractual long-term debt maturities as of June 30, 2023, are as follows (in thousands):</w:t>
      </w:r>
    </w:p>
    <w:tbl>
      <w:tblPr>
        <w:tblW w:w="3190" w:type="dxa"/>
        <w:jc w:val="left"/>
        <w:tblInd w:w="0" w:type="dxa"/>
        <w:tblLayout w:type="fixed"/>
        <w:tblCellMar>
          <w:top w:w="28" w:type="dxa"/>
          <w:left w:w="28" w:type="dxa"/>
          <w:bottom w:w="28" w:type="dxa"/>
          <w:right w:w="28" w:type="dxa"/>
        </w:tblCellMar>
      </w:tblPr>
      <w:tblGrid>
        <w:gridCol w:w="1966"/>
        <w:gridCol w:w="146"/>
        <w:gridCol w:w="196"/>
        <w:gridCol w:w="691"/>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Actual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Remainder 2023</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35,547</w:t>
            </w:r>
          </w:p>
        </w:tc>
        <w:tc>
          <w:tcPr>
            <w:tcW w:w="191" w:type="dxa"/>
            <w:tcBorders/>
            <w:vAlign w:val="center"/>
          </w:tcPr>
          <w:p>
            <w:pPr>
              <w:pStyle w:val="TableContents"/>
              <w:bidi w:val="0"/>
              <w:spacing w:before="0" w:after="0"/>
              <w:ind w:left="0" w:right="0" w:hanging="0"/>
              <w:jc w:val="left"/>
              <w:rPr/>
            </w:pPr>
            <w:r>
              <w:rPr/>
              <w:t> </w:t>
            </w:r>
          </w:p>
        </w:tc>
      </w:tr>
      <w:tr>
        <w:trPr/>
        <w:tc>
          <w:tcPr>
            <w:tcW w:w="19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2024</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54,359</w:t>
            </w:r>
          </w:p>
        </w:tc>
        <w:tc>
          <w:tcPr>
            <w:tcW w:w="191" w:type="dxa"/>
            <w:tcBorders/>
            <w:vAlign w:val="center"/>
          </w:tcPr>
          <w:p>
            <w:pPr>
              <w:pStyle w:val="TableContents"/>
              <w:bidi w:val="0"/>
              <w:spacing w:before="0" w:after="0"/>
              <w:ind w:left="0" w:right="0" w:hanging="0"/>
              <w:jc w:val="left"/>
              <w:rPr/>
            </w:pPr>
            <w:r>
              <w:rPr/>
              <w:t> </w:t>
            </w:r>
          </w:p>
        </w:tc>
      </w:tr>
      <w:tr>
        <w:trPr/>
        <w:tc>
          <w:tcPr>
            <w:tcW w:w="19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2025</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28,991</w:t>
            </w:r>
          </w:p>
        </w:tc>
        <w:tc>
          <w:tcPr>
            <w:tcW w:w="191" w:type="dxa"/>
            <w:tcBorders/>
            <w:vAlign w:val="center"/>
          </w:tcPr>
          <w:p>
            <w:pPr>
              <w:pStyle w:val="TableContents"/>
              <w:bidi w:val="0"/>
              <w:spacing w:before="0" w:after="0"/>
              <w:ind w:left="0" w:right="0" w:hanging="0"/>
              <w:jc w:val="left"/>
              <w:rPr/>
            </w:pPr>
            <w:r>
              <w:rPr/>
              <w:t> </w:t>
            </w:r>
          </w:p>
        </w:tc>
      </w:tr>
      <w:tr>
        <w:trPr/>
        <w:tc>
          <w:tcPr>
            <w:tcW w:w="19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2026</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166,736</w:t>
            </w:r>
          </w:p>
        </w:tc>
        <w:tc>
          <w:tcPr>
            <w:tcW w:w="191" w:type="dxa"/>
            <w:tcBorders/>
            <w:vAlign w:val="center"/>
          </w:tcPr>
          <w:p>
            <w:pPr>
              <w:pStyle w:val="TableContents"/>
              <w:bidi w:val="0"/>
              <w:spacing w:before="0" w:after="0"/>
              <w:ind w:left="0" w:right="0" w:hanging="0"/>
              <w:jc w:val="left"/>
              <w:rPr/>
            </w:pPr>
            <w:r>
              <w:rPr/>
              <w:t> </w:t>
            </w:r>
          </w:p>
        </w:tc>
      </w:tr>
      <w:tr>
        <w:trPr/>
        <w:tc>
          <w:tcPr>
            <w:tcW w:w="19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2027</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14,965</w:t>
            </w:r>
          </w:p>
        </w:tc>
        <w:tc>
          <w:tcPr>
            <w:tcW w:w="191" w:type="dxa"/>
            <w:tcBorders/>
            <w:vAlign w:val="center"/>
          </w:tcPr>
          <w:p>
            <w:pPr>
              <w:pStyle w:val="TableContents"/>
              <w:bidi w:val="0"/>
              <w:spacing w:before="0" w:after="0"/>
              <w:ind w:left="0" w:right="0" w:hanging="0"/>
              <w:jc w:val="left"/>
              <w:rPr/>
            </w:pPr>
            <w:r>
              <w:rPr/>
              <w:t> </w:t>
            </w:r>
          </w:p>
        </w:tc>
      </w:tr>
      <w:tr>
        <w:trPr/>
        <w:tc>
          <w:tcPr>
            <w:tcW w:w="19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Years subsequent to 2027</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46,333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346,931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As of June 30, 2023, the Company had unfunded capital commitments of $1.7 million for miscellaneous vessel equipment payable during the remainder of 2023. The Company has indefinitely deferred an additional $9.3 million of orders with respect to one FSV that the Company had previously reported as unfunded capital commitments.</w:t>
      </w:r>
    </w:p>
    <w:p>
      <w:pPr>
        <w:pStyle w:val="TextBody"/>
        <w:bidi w:val="0"/>
        <w:spacing w:before="200" w:after="0"/>
        <w:jc w:val="both"/>
        <w:rPr>
          <w:rFonts w:ascii="Times New Roman;serif" w:hAnsi="Times New Roman;serif"/>
          <w:b/>
          <w:sz w:val="24"/>
        </w:rPr>
      </w:pPr>
      <w:r>
        <w:rPr>
          <w:rFonts w:ascii="Times New Roman;serif" w:hAnsi="Times New Roman;serif"/>
          <w:b/>
          <w:sz w:val="24"/>
        </w:rPr>
        <w:t>Summary of Cash Flows</w:t>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The following is a summary of the Company’s cash flows for the six months ended June 30, 2023 and 2022 (in thousands):</w:t>
      </w:r>
    </w:p>
    <w:tbl>
      <w:tblPr>
        <w:tblW w:w="8762" w:type="dxa"/>
        <w:jc w:val="left"/>
        <w:tblInd w:w="0" w:type="dxa"/>
        <w:tblLayout w:type="fixed"/>
        <w:tblCellMar>
          <w:top w:w="28" w:type="dxa"/>
          <w:left w:w="28" w:type="dxa"/>
          <w:bottom w:w="28" w:type="dxa"/>
          <w:right w:w="28" w:type="dxa"/>
        </w:tblCellMar>
      </w:tblPr>
      <w:tblGrid>
        <w:gridCol w:w="5971"/>
        <w:gridCol w:w="146"/>
        <w:gridCol w:w="216"/>
        <w:gridCol w:w="729"/>
        <w:gridCol w:w="183"/>
        <w:gridCol w:w="161"/>
        <w:gridCol w:w="216"/>
        <w:gridCol w:w="729"/>
        <w:gridCol w:w="41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flows provided by or (used in):</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183" w:type="dxa"/>
            <w:tcBorders/>
            <w:vAlign w:val="center"/>
          </w:tcPr>
          <w:p>
            <w:pPr>
              <w:pStyle w:val="TableContents"/>
              <w:bidi w:val="0"/>
              <w:spacing w:before="0" w:after="0"/>
              <w:ind w:left="0" w:right="0" w:hanging="0"/>
              <w:jc w:val="right"/>
              <w:rPr/>
            </w:pPr>
            <w:r>
              <w:rPr/>
              <w:t> </w:t>
            </w:r>
          </w:p>
        </w:tc>
        <w:tc>
          <w:tcPr>
            <w:tcW w:w="161"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 Activities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3,331</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(5,103</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Investing Activities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17,533</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6,995</w:t>
            </w:r>
          </w:p>
        </w:tc>
        <w:tc>
          <w:tcPr>
            <w:tcW w:w="411" w:type="dxa"/>
            <w:tcBorders/>
            <w:vAlign w:val="center"/>
          </w:tcPr>
          <w:p>
            <w:pPr>
              <w:pStyle w:val="TableContents"/>
              <w:bidi w:val="0"/>
              <w:spacing w:before="0" w:after="0"/>
              <w:ind w:left="0" w:right="0" w:firstLine="200"/>
              <w:jc w:val="lef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Financing Activities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(20,362</w:t>
            </w:r>
          </w:p>
        </w:tc>
        <w:tc>
          <w:tcPr>
            <w:tcW w:w="1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(17,204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Effects of Exchange Rate Changes on Cash, Restricted Cash and Cash Equivalents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Change in Cash, Restricted Cash and Cash Equivalents</w:t>
            </w:r>
          </w:p>
        </w:tc>
        <w:tc>
          <w:tcPr>
            <w:tcW w:w="146" w:type="dxa"/>
            <w:tcBorders/>
            <w:vAlign w:val="center"/>
          </w:tcPr>
          <w:p>
            <w:pPr>
              <w:pStyle w:val="TableContents"/>
              <w:bidi w:val="0"/>
              <w:spacing w:before="0" w:after="0"/>
              <w:ind w:left="0" w:right="0" w:hanging="0"/>
              <w:jc w:val="left"/>
              <w:rPr/>
            </w:pPr>
            <w:r>
              <w:rPr/>
              <w:t> </w:t>
            </w:r>
          </w:p>
        </w:tc>
        <w:tc>
          <w:tcPr>
            <w:tcW w:w="21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501</w:t>
            </w:r>
          </w:p>
        </w:tc>
        <w:tc>
          <w:tcPr>
            <w:tcW w:w="18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(15,316</w:t>
            </w:r>
          </w:p>
        </w:tc>
        <w:tc>
          <w:tcPr>
            <w:tcW w:w="4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200" w:after="0"/>
        <w:jc w:val="both"/>
        <w:rPr>
          <w:rFonts w:ascii="Times New Roman;serif" w:hAnsi="Times New Roman;serif"/>
          <w:b/>
          <w:sz w:val="24"/>
        </w:rPr>
      </w:pPr>
      <w:r>
        <w:rPr>
          <w:rFonts w:ascii="Times New Roman;serif" w:hAnsi="Times New Roman;serif"/>
          <w:b/>
          <w:sz w:val="24"/>
        </w:rPr>
        <w:t>Operating Activities</w:t>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Cash flows provided by operating activities increased by $8.4 million in the Current Year Six Months compared with the Prior Year Six Months primarily due to increases in day rates and utilization offset by changes in working capital. The components of cash flows provided by and/or used in operating activities during the Current Year Six Months and Prior Year Six Months were as follows (in thousands):</w:t>
      </w:r>
    </w:p>
    <w:tbl>
      <w:tblPr>
        <w:tblW w:w="9827" w:type="dxa"/>
        <w:jc w:val="left"/>
        <w:tblInd w:w="0" w:type="dxa"/>
        <w:tblLayout w:type="fixed"/>
        <w:tblCellMar>
          <w:top w:w="28" w:type="dxa"/>
          <w:left w:w="28" w:type="dxa"/>
          <w:bottom w:w="28" w:type="dxa"/>
          <w:right w:w="28" w:type="dxa"/>
        </w:tblCellMar>
      </w:tblPr>
      <w:tblGrid>
        <w:gridCol w:w="7036"/>
        <w:gridCol w:w="146"/>
        <w:gridCol w:w="216"/>
        <w:gridCol w:w="729"/>
        <w:gridCol w:w="183"/>
        <w:gridCol w:w="161"/>
        <w:gridCol w:w="216"/>
        <w:gridCol w:w="729"/>
        <w:gridCol w:w="411"/>
      </w:tblGrid>
      <w:tr>
        <w:trPr/>
        <w:tc>
          <w:tcPr>
            <w:tcW w:w="7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0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DVP:</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183" w:type="dxa"/>
            <w:tcBorders/>
            <w:vAlign w:val="center"/>
          </w:tcPr>
          <w:p>
            <w:pPr>
              <w:pStyle w:val="TableContents"/>
              <w:bidi w:val="0"/>
              <w:spacing w:before="0" w:after="0"/>
              <w:ind w:left="0" w:right="0" w:hanging="0"/>
              <w:jc w:val="right"/>
              <w:rPr/>
            </w:pPr>
            <w:r>
              <w:rPr/>
              <w:t> </w:t>
            </w:r>
          </w:p>
        </w:tc>
        <w:tc>
          <w:tcPr>
            <w:tcW w:w="161"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70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United States, primarily Gulf of Mexico</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(1,676</w:t>
            </w:r>
          </w:p>
        </w:tc>
        <w:tc>
          <w:tcPr>
            <w:tcW w:w="1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(1,348</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70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Africa and Europe</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18,862</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7,994</w:t>
            </w:r>
          </w:p>
        </w:tc>
        <w:tc>
          <w:tcPr>
            <w:tcW w:w="411" w:type="dxa"/>
            <w:tcBorders/>
            <w:vAlign w:val="center"/>
          </w:tcPr>
          <w:p>
            <w:pPr>
              <w:pStyle w:val="TableContents"/>
              <w:bidi w:val="0"/>
              <w:spacing w:before="0" w:after="0"/>
              <w:ind w:left="0" w:right="0" w:firstLine="200"/>
              <w:jc w:val="left"/>
              <w:rPr/>
            </w:pPr>
            <w:r>
              <w:rPr/>
              <w:t> </w:t>
            </w:r>
          </w:p>
        </w:tc>
      </w:tr>
      <w:tr>
        <w:trPr/>
        <w:tc>
          <w:tcPr>
            <w:tcW w:w="70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Middle East and Asia</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20,549</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2,341</w:t>
            </w:r>
          </w:p>
        </w:tc>
        <w:tc>
          <w:tcPr>
            <w:tcW w:w="411" w:type="dxa"/>
            <w:tcBorders/>
            <w:vAlign w:val="center"/>
          </w:tcPr>
          <w:p>
            <w:pPr>
              <w:pStyle w:val="TableContents"/>
              <w:bidi w:val="0"/>
              <w:spacing w:before="0" w:after="0"/>
              <w:ind w:left="0" w:right="0" w:firstLine="200"/>
              <w:jc w:val="left"/>
              <w:rPr/>
            </w:pPr>
            <w:r>
              <w:rPr/>
              <w:t> </w:t>
            </w:r>
          </w:p>
        </w:tc>
      </w:tr>
      <w:tr>
        <w:trPr/>
        <w:tc>
          <w:tcPr>
            <w:tcW w:w="70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Latin America</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15,554</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6,980</w:t>
            </w:r>
          </w:p>
        </w:tc>
        <w:tc>
          <w:tcPr>
            <w:tcW w:w="411"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leased-in equipment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(1,311</w:t>
            </w:r>
          </w:p>
        </w:tc>
        <w:tc>
          <w:tcPr>
            <w:tcW w:w="1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(1,098</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Administrative and general (excluding provisions for bad debts and amortization of share awards)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(19,727</w:t>
            </w:r>
          </w:p>
        </w:tc>
        <w:tc>
          <w:tcPr>
            <w:tcW w:w="1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(17,454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net (excluding non-cash losses)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Dividends received from 50% or less owned companies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1,044</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1,887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33,295</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(739</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Changes in operating assets and liabilities before interest and income taxes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(16,378</w:t>
            </w:r>
          </w:p>
        </w:tc>
        <w:tc>
          <w:tcPr>
            <w:tcW w:w="1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5,522</w:t>
            </w:r>
          </w:p>
        </w:tc>
        <w:tc>
          <w:tcPr>
            <w:tcW w:w="411"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settlements on derivative transactions, net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380</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036"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 xml:space="preserve">Interest paid, excluding capitalized interest </w:t>
            </w: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(14,292</w:t>
            </w:r>
          </w:p>
        </w:tc>
        <w:tc>
          <w:tcPr>
            <w:tcW w:w="1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(10,341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received</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882</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219</w:t>
            </w:r>
          </w:p>
        </w:tc>
        <w:tc>
          <w:tcPr>
            <w:tcW w:w="411"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Income taxes (paid) refunded, net</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(556</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cash flows (used in)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3,331</w:t>
            </w:r>
          </w:p>
        </w:tc>
        <w:tc>
          <w:tcPr>
            <w:tcW w:w="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(5,103</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pBdr>
          <w:bottom w:val="single" w:sz="4" w:space="1" w:color="000000"/>
        </w:pBdr>
        <w:bidi w:val="0"/>
        <w:spacing w:before="0" w:after="0"/>
        <w:jc w:val="both"/>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41</w:t>
      </w:r>
    </w:p>
    <w:p>
      <w:pPr>
        <w:pStyle w:val="HorizontalLine"/>
        <w:pBdr>
          <w:bottom w:val="double" w:sz="2" w:space="0" w:color="808080"/>
        </w:pBdr>
        <w:bidi w:val="0"/>
        <w:spacing w:before="0" w:after="283"/>
        <w:jc w:val="left"/>
        <w:rPr/>
      </w:pPr>
      <w:r>
        <w:rPr/>
      </w:r>
    </w:p>
    <w:p>
      <w:pPr>
        <w:pStyle w:val="TextBody"/>
        <w:bidi w:val="0"/>
        <w:spacing w:before="40" w:after="0"/>
        <w:jc w:val="both"/>
        <w:rPr>
          <w:rFonts w:ascii="Times New Roman" w:hAnsi="Times New Roman"/>
          <w:b w:val="false"/>
          <w:sz w:val="18"/>
        </w:rPr>
      </w:pPr>
      <w:r>
        <w:rPr>
          <w:rFonts w:ascii="Times New Roman" w:hAnsi="Times New Roman"/>
          <w:b w:val="false"/>
          <w:sz w:val="18"/>
        </w:rPr>
        <w:t>(1)</w:t>
      </w:r>
    </w:p>
    <w:p>
      <w:pPr>
        <w:pStyle w:val="TextBody"/>
        <w:bidi w:val="0"/>
        <w:spacing w:before="40" w:after="283"/>
        <w:jc w:val="both"/>
        <w:rPr>
          <w:rFonts w:ascii="Times New Roman;serif" w:hAnsi="Times New Roman;serif"/>
          <w:b w:val="false"/>
          <w:sz w:val="16"/>
        </w:rPr>
      </w:pPr>
      <w:r>
        <w:rPr>
          <w:rFonts w:ascii="Times New Roman;serif" w:hAnsi="Times New Roman;serif"/>
          <w:b w:val="false"/>
          <w:sz w:val="16"/>
        </w:rPr>
        <w:t>During the Current Year Six Months and the Prior Year Six Months, the Company paid no capitalized interest.</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pStyle w:val="TextBody"/>
        <w:bidi w:val="0"/>
        <w:spacing w:before="200" w:after="0"/>
        <w:jc w:val="both"/>
        <w:rPr>
          <w:rFonts w:ascii="Times New Roman;serif" w:hAnsi="Times New Roman;serif"/>
          <w:b/>
          <w:sz w:val="24"/>
        </w:rPr>
      </w:pPr>
      <w:r>
        <w:rPr>
          <w:rFonts w:ascii="Times New Roman;serif" w:hAnsi="Times New Roman;serif"/>
          <w:b/>
          <w:sz w:val="24"/>
        </w:rPr>
        <w:t>Investing Activities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During the Current Year Six Months, net cash provided by investing activities was $17.5 million, primarily as a result of the following:</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4"/>
        </w:rPr>
      </w:pPr>
      <w:r>
        <w:rPr>
          <w:rFonts w:ascii="Times New Roman;serif" w:hAnsi="Times New Roman;serif"/>
          <w:b w:val="false"/>
          <w:sz w:val="24"/>
        </w:rPr>
        <w:t>capital expenditures were $0.5 million;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4"/>
        </w:rPr>
      </w:pPr>
      <w:r>
        <w:rPr>
          <w:rFonts w:ascii="Times New Roman;serif" w:hAnsi="Times New Roman;serif"/>
          <w:b w:val="false"/>
          <w:sz w:val="24"/>
        </w:rPr>
        <w:t>the Company sold other equipment for net cash proceeds of $8.0 million, after transaction costs, and a gain of $2.9 million;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4"/>
        </w:rPr>
      </w:pPr>
      <w:r>
        <w:rPr>
          <w:rFonts w:ascii="Times New Roman;serif" w:hAnsi="Times New Roman;serif"/>
          <w:b w:val="false"/>
          <w:sz w:val="24"/>
        </w:rPr>
        <w:t>the Company received $10.0 million of principal payments under the MexMar Third A&amp;R Facility Agreement.</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During the Prior Year Six Months, net cash provided by investing activities was $7.0 million, primarily as a result of the following:</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4"/>
        </w:rPr>
      </w:pPr>
      <w:r>
        <w:rPr>
          <w:rFonts w:ascii="Times New Roman;serif" w:hAnsi="Times New Roman;serif"/>
          <w:b w:val="false"/>
          <w:sz w:val="24"/>
        </w:rPr>
        <w:t>capital expenditures were less than $0.1 million;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4"/>
        </w:rPr>
      </w:pPr>
      <w:r>
        <w:rPr>
          <w:rFonts w:ascii="Times New Roman;serif" w:hAnsi="Times New Roman;serif"/>
          <w:b w:val="false"/>
          <w:sz w:val="24"/>
        </w:rPr>
        <w:t>the Company sold one FSV, one liftboat, previously removed from service, office space, and other equipment for net cash proceeds of $6.7 million, after transaction costs, and a gain of $2.2 million;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4"/>
        </w:rPr>
      </w:pPr>
      <w:r>
        <w:rPr>
          <w:rFonts w:ascii="Times New Roman;serif" w:hAnsi="Times New Roman;serif"/>
          <w:b w:val="false"/>
          <w:sz w:val="24"/>
        </w:rPr>
        <w:t xml:space="preserve">the Company received $0.4 million from investments in, and advances to, its 50% or less owned companies for principal payments on notes receivables. </w:t>
      </w:r>
    </w:p>
    <w:p>
      <w:pPr>
        <w:pStyle w:val="TextBody"/>
        <w:bidi w:val="0"/>
        <w:spacing w:before="200" w:after="0"/>
        <w:jc w:val="both"/>
        <w:rPr>
          <w:rFonts w:ascii="Times New Roman;serif" w:hAnsi="Times New Roman;serif"/>
          <w:b/>
          <w:sz w:val="24"/>
        </w:rPr>
      </w:pPr>
      <w:r>
        <w:rPr>
          <w:rFonts w:ascii="Times New Roman;serif" w:hAnsi="Times New Roman;serif"/>
          <w:b/>
          <w:sz w:val="24"/>
        </w:rPr>
        <w:t>Financing Activities</w:t>
      </w:r>
    </w:p>
    <w:p>
      <w:pPr>
        <w:pStyle w:val="TextBody"/>
        <w:bidi w:val="0"/>
        <w:spacing w:before="200" w:after="0"/>
        <w:jc w:val="both"/>
        <w:rPr>
          <w:rFonts w:ascii="Times New Roman" w:hAnsi="Times New Roman"/>
          <w:sz w:val="20"/>
        </w:rPr>
      </w:pPr>
      <w:r>
        <w:rPr>
          <w:rFonts w:ascii="Times New Roman;serif" w:hAnsi="Times New Roman;serif"/>
          <w:b w:val="false"/>
          <w:sz w:val="24"/>
        </w:rPr>
        <w:t>During the Current Year Six Months, net cash used in financing activities was $20.4 million, primarily as a result of the following:</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4"/>
        </w:rPr>
      </w:pPr>
      <w:r>
        <w:rPr>
          <w:rFonts w:ascii="Times New Roman;serif" w:hAnsi="Times New Roman;serif"/>
          <w:b w:val="false"/>
          <w:sz w:val="24"/>
        </w:rPr>
        <w:t>the Company made scheduled payments on long-term debt and other obligations of $18.1 million;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4"/>
        </w:rPr>
      </w:pPr>
      <w:r>
        <w:rPr>
          <w:rFonts w:ascii="Times New Roman;serif" w:hAnsi="Times New Roman;serif"/>
          <w:b w:val="false"/>
          <w:sz w:val="24"/>
        </w:rPr>
        <w:t>the Company made payments on debt extinguishment of $26.8 million;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4"/>
        </w:rPr>
      </w:pPr>
      <w:r>
        <w:rPr>
          <w:rFonts w:ascii="Times New Roman;serif" w:hAnsi="Times New Roman;serif"/>
          <w:b w:val="false"/>
          <w:sz w:val="24"/>
        </w:rPr>
        <w:t>the Company received proceeds from the issuance of long-term debt of $27.2 million;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4"/>
        </w:rPr>
      </w:pPr>
      <w:r>
        <w:rPr>
          <w:rFonts w:ascii="Times New Roman;serif" w:hAnsi="Times New Roman;serif"/>
          <w:b w:val="false"/>
          <w:sz w:val="24"/>
        </w:rPr>
        <w:t>the Company made payments on finance leases of $0.3 million;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4"/>
        </w:rPr>
      </w:pPr>
      <w:r>
        <w:rPr>
          <w:rFonts w:ascii="Times New Roman;serif" w:hAnsi="Times New Roman;serif"/>
          <w:b w:val="false"/>
          <w:sz w:val="24"/>
        </w:rPr>
        <w:t>the Company made payments on tax withholdings for restricted stock vesting and director share awards of $2.4 million.</w:t>
      </w:r>
    </w:p>
    <w:p>
      <w:pPr>
        <w:pStyle w:val="TextBody"/>
        <w:bidi w:val="0"/>
        <w:spacing w:before="200" w:after="0"/>
        <w:jc w:val="both"/>
        <w:rPr>
          <w:rFonts w:ascii="Times New Roman" w:hAnsi="Times New Roman"/>
          <w:sz w:val="20"/>
        </w:rPr>
      </w:pPr>
      <w:r>
        <w:rPr>
          <w:rFonts w:ascii="Times New Roman;serif" w:hAnsi="Times New Roman;serif"/>
          <w:b w:val="false"/>
          <w:sz w:val="24"/>
        </w:rPr>
        <w:t>During the Prior Year Six Months, net cash used in financing activities was $17.2 million primarily as a result of the following:</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4"/>
        </w:rPr>
      </w:pPr>
      <w:r>
        <w:rPr>
          <w:rFonts w:ascii="Times New Roman;serif" w:hAnsi="Times New Roman;serif"/>
          <w:b w:val="false"/>
          <w:sz w:val="24"/>
        </w:rPr>
        <w:t>the Company made scheduled payments on long-term debt and other obligations of $16.5 million;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4"/>
        </w:rPr>
      </w:pPr>
      <w:r>
        <w:rPr>
          <w:rFonts w:ascii="Times New Roman;serif" w:hAnsi="Times New Roman;serif"/>
          <w:b w:val="false"/>
          <w:sz w:val="24"/>
        </w:rPr>
        <w:t>the Company received $0.2 million proceeds from the exercise of stock options;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4"/>
        </w:rPr>
      </w:pPr>
      <w:r>
        <w:rPr>
          <w:rFonts w:ascii="Times New Roman;serif" w:hAnsi="Times New Roman;serif"/>
          <w:b w:val="false"/>
          <w:sz w:val="24"/>
        </w:rPr>
        <w:t>the Company made payments on finance leases of $0.1 million;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4"/>
        </w:rPr>
      </w:pPr>
      <w:r>
        <w:rPr>
          <w:rFonts w:ascii="Times New Roman;serif" w:hAnsi="Times New Roman;serif"/>
          <w:b w:val="false"/>
          <w:sz w:val="24"/>
        </w:rPr>
        <w:t>the Company made payments on tax withholdings for restricted stock vesting and director share awards of $0.7 million.</w:t>
      </w:r>
    </w:p>
    <w:p>
      <w:pPr>
        <w:pStyle w:val="TextBody"/>
        <w:bidi w:val="0"/>
        <w:spacing w:before="200" w:after="0"/>
        <w:jc w:val="both"/>
        <w:rPr>
          <w:rFonts w:ascii="Times New Roman;serif" w:hAnsi="Times New Roman;serif"/>
          <w:b/>
          <w:sz w:val="24"/>
        </w:rPr>
      </w:pPr>
      <w:r>
        <w:rPr>
          <w:rFonts w:ascii="Times New Roman;serif" w:hAnsi="Times New Roman;serif"/>
          <w:b/>
          <w:sz w:val="24"/>
        </w:rPr>
        <w:t>Short and Long-Term Liquidity Requirements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42</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The Company believes that a combination of cash balances on hand, cash generated from operating activities, collections of our short-term note receivable and access to the credit and capital markets will provide sufficient liquidity to meet its obligations, including to support its capital expenditures program, working capital needs, debt service requirements and covenant compliance over the short to long term.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or the availability of the credit and capital markets on acceptable terms. Management continuously monitors the Company’s liquidity and compliance with covenants in its credit facilities.</w:t>
      </w:r>
    </w:p>
    <w:p>
      <w:pPr>
        <w:pStyle w:val="TextBody"/>
        <w:bidi w:val="0"/>
        <w:spacing w:before="200" w:after="0"/>
        <w:jc w:val="both"/>
        <w:rPr>
          <w:rFonts w:ascii="Times New Roman;serif" w:hAnsi="Times New Roman;serif"/>
          <w:b/>
          <w:sz w:val="24"/>
        </w:rPr>
      </w:pPr>
      <w:r>
        <w:rPr>
          <w:rFonts w:ascii="Times New Roman;serif" w:hAnsi="Times New Roman;serif"/>
          <w:b/>
          <w:sz w:val="24"/>
        </w:rPr>
        <w:t>Note Receivable</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For a discussion of the Company’s short-term note receivable agreement see “Note 2. Note Receivable” in the unaudited consolidated financial statements included in Part I. Item 1. “Financial Statements” elsewhere in this Quarterly Report on Form 10-Q.</w:t>
      </w:r>
    </w:p>
    <w:p>
      <w:pPr>
        <w:pStyle w:val="TextBody"/>
        <w:bidi w:val="0"/>
        <w:spacing w:before="200" w:after="0"/>
        <w:jc w:val="both"/>
        <w:rPr>
          <w:rFonts w:ascii="Times New Roman;serif" w:hAnsi="Times New Roman;serif"/>
          <w:b/>
          <w:sz w:val="24"/>
        </w:rPr>
      </w:pPr>
      <w:r>
        <w:rPr>
          <w:rFonts w:ascii="Times New Roman;serif" w:hAnsi="Times New Roman;serif"/>
          <w:b/>
          <w:sz w:val="24"/>
        </w:rPr>
        <w:t>Debt Securities and Credit Agreements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For a discussion of the Company’s debt securities and credit agreements, see “Note 5. Long-Term Debt” in the unaudited consolidated financial statements included in Part I. Item 1. “Financial Statements” elsewhere in this Quarterly Report on Form 10-Q and in “Note 8. Long-Term Debt” in the Company’s audited consolidated financial statements included in its 2022 Annual Report. Other than as set forth below, there has not been any material changes to the agreements governing the Company’s long-term debt during the period.</w:t>
      </w:r>
    </w:p>
    <w:p>
      <w:pPr>
        <w:pStyle w:val="TextBody"/>
        <w:bidi w:val="0"/>
        <w:spacing w:before="200" w:after="0"/>
        <w:jc w:val="both"/>
        <w:rPr>
          <w:rFonts w:ascii="Times New Roman" w:hAnsi="Times New Roman"/>
          <w:sz w:val="20"/>
        </w:rPr>
      </w:pPr>
      <w:r>
        <w:rPr>
          <w:rFonts w:ascii="Times New Roman;serif" w:hAnsi="Times New Roman;serif"/>
          <w:b/>
          <w:i/>
          <w:sz w:val="24"/>
        </w:rPr>
        <w:t>SEACOR Alpine Credit Facility.</w:t>
      </w:r>
      <w:r>
        <w:rPr>
          <w:rFonts w:ascii="Times New Roman" w:hAnsi="Times New Roman"/>
          <w:sz w:val="20"/>
        </w:rPr>
        <w:t xml:space="preserve"> </w:t>
      </w:r>
      <w:r>
        <w:rPr>
          <w:rFonts w:ascii="Times New Roman;serif" w:hAnsi="Times New Roman;serif"/>
          <w:b w:val="false"/>
          <w:sz w:val="24"/>
        </w:rPr>
        <w:t>On June 16, 2023, SEACOR Marine, as a guarantor, the SEACOR Alpine Borrowers, as borrowers, and SM Alpine, as a guarantor, each a wholly-owned subsidiary of SEACOR Marine, entered into a $28.0 million senior secured term loan facility with Mountain Supply LLC, an affiliate of Hudson Structured Capital Management, as lender, facility agent and security trustee (the “SEACOR Alpine Credit Facility” and such agreement being the “SEACOR Alpine Credit Agreement”). The proceeds of the SEACOR Alpine Credit Facility were made available to the SEACOR Alpine Borrowers in three tranches and were used to satisfy in full amounts outstanding under certain shipyard financing provided by COSCO Shipping Heavy Industry (Zhoushan) Co. in connection with the newbuild delivery of three Marshall Islands flagged platform supply vessels to the SEACOR Alpine Borrowers during 2019 and 2020. The parties funds available under the SEACOR Alpine Credit Facility were fully drawn on June 27, 2023.</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The SEACOR Alpine Credit Facility matures in June 2028 (the “SEACOR Alpine Maturity Date”). The principal amount of each of the three tranches of the SEACOR Alpine Credit Facility is to be repaid in monthly installments of (i) $100,000 for the first eight (8) installments, (ii) $140,000 for the following twenty-four (24) installments, and (iii) $100,000 for each installment thereafter until the SEACOR Alpine Maturity Date. The SEACOR Alpine Credit Facility bears interest at a fixed rate of 10.25% per annum. The loan may be prepaid at any time in amounts of $500,000 or greater, subject to the payment of prepayment interest in respect of the loan or tranche (or portions thereof) being prepaid as follows: (A) if such prepayment is made prior to the first anniversary of the drawdown date, an amount equal to the greater of (x) the amount of unpaid interest which would have accrued until the first anniversary of the drawdown date and (y) 1.5% of the principal amount of the loan which was prepaid, (B) if such prepayment is made on or after the first anniversary of the drawdown date but prior to the third anniversary of the drawdown date, 1.0% of the principal amount of the loan which was prepaid, and (C) if such prepayment is made on or after the third anniversary of the drawdown date, no prepayment interest shall be payable.</w:t>
      </w:r>
    </w:p>
    <w:p>
      <w:pPr>
        <w:pStyle w:val="TextBody"/>
        <w:bidi w:val="0"/>
        <w:spacing w:before="200" w:after="0"/>
        <w:jc w:val="both"/>
        <w:rPr>
          <w:rFonts w:ascii="Times New Roman" w:hAnsi="Times New Roman"/>
          <w:sz w:val="20"/>
        </w:rPr>
      </w:pPr>
      <w:r>
        <w:rPr>
          <w:rFonts w:ascii="Times New Roman;serif" w:hAnsi="Times New Roman;serif"/>
          <w:b w:val="false"/>
          <w:sz w:val="24"/>
        </w:rPr>
        <w:t>The SEACOR Alpine Credit Facility contains customary covenants for financings of this type including financial maintenance and restrictive covenants, including the maintenance of certain ratios such as the aggregate collateral vessel value to the sum of the outstanding principal amounts of the loans. The SEACOR Alpine Credit</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43</w:t>
      </w:r>
    </w:p>
    <w:p>
      <w:pPr>
        <w:pStyle w:val="HorizontalLine"/>
        <w:pBdr>
          <w:bottom w:val="double" w:sz="2" w:space="0" w:color="808080"/>
        </w:pBdr>
        <w:bidi w:val="0"/>
        <w:spacing w:before="0" w:after="283"/>
        <w:jc w:val="left"/>
        <w:rPr/>
      </w:pPr>
      <w:r>
        <w:rPr/>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Facility restricts the payment of dividends and distributions and the ability of the SEACOR Alpine Borrowers to make certain investments. In addition, the SEACOR Alpine Credit Facility includes customary events of default.</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In connection with the SEACOR Alpine Credit Facility, SEACOR Marine issued a guaranty with respect to the obligations of the SEACOR Alpine Borrowers under the Credit Agreement and related documents. This guaranty includes, among other customary covenants, various financial covenants, including minimum liquidity, and debt-to-capitalization and interest coverage ratios.</w:t>
      </w:r>
    </w:p>
    <w:p>
      <w:pPr>
        <w:pStyle w:val="TextBody"/>
        <w:bidi w:val="0"/>
        <w:spacing w:before="200" w:after="0"/>
        <w:jc w:val="both"/>
        <w:rPr>
          <w:rFonts w:ascii="Times New Roman;serif" w:hAnsi="Times New Roman;serif"/>
          <w:b/>
          <w:sz w:val="24"/>
        </w:rPr>
      </w:pPr>
      <w:r>
        <w:rPr>
          <w:rFonts w:ascii="Times New Roman;serif" w:hAnsi="Times New Roman;serif"/>
          <w:b/>
          <w:sz w:val="24"/>
        </w:rPr>
        <w:t>Future Cash Requirements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For a discussion of the Company’s future cash requirements, refer to “Management’s Discussion and Analysis of Financial Condition and Results of Operations - Liquidity and Capital Resources” in the Company’s 2022 Annual Report. There has been no material change in the Company’s future cash requirements since our fiscal year ended December 31, 2022, except as described in “Results of Operations - Liquidity and Capital Resources”.</w:t>
      </w:r>
    </w:p>
    <w:p>
      <w:pPr>
        <w:pStyle w:val="TextBody"/>
        <w:bidi w:val="0"/>
        <w:spacing w:before="200" w:after="0"/>
        <w:jc w:val="both"/>
        <w:rPr>
          <w:rFonts w:ascii="Times New Roman;serif" w:hAnsi="Times New Roman;serif"/>
          <w:b/>
          <w:sz w:val="24"/>
        </w:rPr>
      </w:pPr>
      <w:r>
        <w:rPr>
          <w:rFonts w:ascii="Times New Roman;serif" w:hAnsi="Times New Roman;serif"/>
          <w:b/>
          <w:sz w:val="24"/>
        </w:rPr>
        <w:t>Contingencies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For a discussion of the Company’s contingencies, see “Note 11. Commitments and Contingencies” in the unaudited consolidated financial statements included in Part I. Item 1. “Financial Statements” elsewhere in this Quarterly Report on Form 10-Q.</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44</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serif" w:hAnsi="Times New Roman;serif"/>
          <w:b/>
          <w:sz w:val="24"/>
        </w:rPr>
      </w:pPr>
      <w:bookmarkStart w:id="12" w:name="item_3_quantitative_qualitative_disclosu"/>
      <w:bookmarkEnd w:id="12"/>
      <w:r>
        <w:rPr>
          <w:rFonts w:ascii="Times New Roman;serif" w:hAnsi="Times New Roman;serif"/>
          <w:b/>
          <w:sz w:val="24"/>
        </w:rPr>
        <w:t>ITEM 3. QUANTITATIVE AND QUALITATIVE DISCLOSURES ABOUT MARKET RISK</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For a discussion of the Company’s exposure to market risk, refer to “Quantitative and Qualitative Disclosures About Market Risk” included in the Company’s 2022 Annual Report. There has been no material change in the Company’s exposure to market risk during the six months ended June 30, 2023.</w:t>
      </w:r>
    </w:p>
    <w:p>
      <w:pPr>
        <w:pStyle w:val="TextBody"/>
        <w:bidi w:val="0"/>
        <w:spacing w:before="200" w:after="0"/>
        <w:jc w:val="both"/>
        <w:rPr>
          <w:rFonts w:ascii="Times New Roman" w:hAnsi="Times New Roman"/>
          <w:sz w:val="20"/>
        </w:rPr>
      </w:pPr>
      <w:bookmarkStart w:id="13" w:name="item_4_controls_procedures"/>
      <w:bookmarkEnd w:id="13"/>
      <w:r>
        <w:rPr>
          <w:rFonts w:ascii="Times New Roman;serif" w:hAnsi="Times New Roman;serif"/>
          <w:b/>
          <w:sz w:val="24"/>
        </w:rPr>
        <w:t>ITEM 4. CONTROLS</w:t>
      </w:r>
      <w:r>
        <w:rPr>
          <w:rFonts w:ascii="Times New Roman" w:hAnsi="Times New Roman"/>
          <w:sz w:val="20"/>
        </w:rPr>
        <w:t xml:space="preserve"> </w:t>
      </w:r>
      <w:r>
        <w:rPr>
          <w:rFonts w:ascii="Times New Roman;serif" w:hAnsi="Times New Roman;serif"/>
          <w:b/>
          <w:sz w:val="24"/>
        </w:rPr>
        <w:t>AND PROCEDURES</w:t>
      </w:r>
    </w:p>
    <w:p>
      <w:pPr>
        <w:pStyle w:val="TextBody"/>
        <w:bidi w:val="0"/>
        <w:spacing w:before="200" w:after="0"/>
        <w:jc w:val="both"/>
        <w:rPr>
          <w:rFonts w:ascii="Times New Roman;serif" w:hAnsi="Times New Roman;serif"/>
          <w:b/>
          <w:sz w:val="24"/>
        </w:rPr>
      </w:pPr>
      <w:r>
        <w:rPr>
          <w:rFonts w:ascii="Times New Roman;serif" w:hAnsi="Times New Roman;serif"/>
          <w:b/>
          <w:sz w:val="24"/>
        </w:rPr>
        <w:t>Evaluation of Disclosure Controls and Procedures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With the participation of the Company’s principal executive officer and principal financial officer, management evaluated the effectiveness of the Company’s disclosure controls and procedures (as defined in Rules 13a-15(e) and 15d-15(e) under the Exchange Act), as of June 30, 2023. Based on their evaluation, the Company’s principal executive officer and principal financial officer concluded that the Company’s disclosure controls and procedures were effective as of June 30, 2023 to provide reasonable assurance that information required to be disclosed by the Company in reports filed or submitted under the Exchange Act is (i) recorded, processed, summarized and reported within the time periods specified in the United States Securities and Exchange Commission’s (“SEC”) rules and forms and (ii) accumulated and communicated to the Company’s management, including its Chief Executive Officer and Chief Financial Officer, as appropriate to allow timely decisions regarding required disclosure.</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pStyle w:val="TextBody"/>
        <w:bidi w:val="0"/>
        <w:spacing w:before="200" w:after="0"/>
        <w:jc w:val="both"/>
        <w:rPr>
          <w:rFonts w:ascii="Times New Roman;serif" w:hAnsi="Times New Roman;serif"/>
          <w:b/>
          <w:sz w:val="24"/>
        </w:rPr>
      </w:pPr>
      <w:r>
        <w:rPr>
          <w:rFonts w:ascii="Times New Roman;serif" w:hAnsi="Times New Roman;serif"/>
          <w:b/>
          <w:sz w:val="24"/>
        </w:rPr>
        <w:t>Changes in Internal Control Over Financial Reporting</w:t>
      </w:r>
    </w:p>
    <w:p>
      <w:pPr>
        <w:pStyle w:val="TextBody"/>
        <w:bidi w:val="0"/>
        <w:spacing w:before="200" w:after="0"/>
        <w:jc w:val="both"/>
        <w:rPr>
          <w:rFonts w:ascii="Times New Roman" w:hAnsi="Times New Roman"/>
          <w:sz w:val="20"/>
        </w:rPr>
      </w:pPr>
      <w:r>
        <w:rPr>
          <w:rFonts w:ascii="Times New Roman;serif" w:hAnsi="Times New Roman;serif"/>
          <w:b w:val="false"/>
          <w:sz w:val="24"/>
        </w:rPr>
        <w:t>There have been no changes in the Company’s internal control over financial reporting (as defined in Rules 13a-15(f) and 15d-15(f) under the Exchange Act) that occurred during the Current Year Quarter</w:t>
      </w:r>
      <w:r>
        <w:rPr>
          <w:rFonts w:ascii="Times New Roman" w:hAnsi="Times New Roman"/>
          <w:sz w:val="20"/>
        </w:rPr>
        <w:t xml:space="preserve"> </w:t>
      </w:r>
      <w:r>
        <w:rPr>
          <w:rFonts w:ascii="Times New Roman;serif" w:hAnsi="Times New Roman;serif"/>
          <w:b w:val="false"/>
          <w:sz w:val="24"/>
        </w:rPr>
        <w:t>that have materially affected, or are reasonably likely to materially affect, the Company’s internal control over financial reporting.</w:t>
      </w:r>
    </w:p>
    <w:p>
      <w:pPr>
        <w:pStyle w:val="TextBody"/>
        <w:bidi w:val="0"/>
        <w:spacing w:before="0" w:after="0"/>
        <w:jc w:val="both"/>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45</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sz w:val="20"/>
        </w:rPr>
      </w:pPr>
      <w:bookmarkStart w:id="14" w:name="part_iior_information"/>
      <w:bookmarkEnd w:id="14"/>
      <w:r>
        <w:rPr>
          <w:rFonts w:ascii="Times New Roman;serif" w:hAnsi="Times New Roman;serif"/>
          <w:b/>
          <w:sz w:val="24"/>
        </w:rPr>
        <w:t>PART II—OTHER</w:t>
      </w:r>
      <w:r>
        <w:rPr>
          <w:rFonts w:ascii="Times New Roman" w:hAnsi="Times New Roman"/>
          <w:sz w:val="20"/>
        </w:rPr>
        <w:t xml:space="preserve"> </w:t>
      </w:r>
      <w:r>
        <w:rPr>
          <w:rFonts w:ascii="Times New Roman;serif" w:hAnsi="Times New Roman;serif"/>
          <w:b/>
          <w:sz w:val="24"/>
        </w:rPr>
        <w:t>INFORMATION</w:t>
      </w:r>
    </w:p>
    <w:p>
      <w:pPr>
        <w:pStyle w:val="TextBody"/>
        <w:bidi w:val="0"/>
        <w:spacing w:before="200" w:after="0"/>
        <w:jc w:val="both"/>
        <w:rPr>
          <w:rFonts w:ascii="Times New Roman" w:hAnsi="Times New Roman"/>
          <w:sz w:val="20"/>
        </w:rPr>
      </w:pPr>
      <w:bookmarkStart w:id="15" w:name="item_1_legal_proceedings"/>
      <w:bookmarkEnd w:id="15"/>
      <w:r>
        <w:rPr>
          <w:rFonts w:ascii="Times New Roman;serif" w:hAnsi="Times New Roman;serif"/>
          <w:b/>
          <w:sz w:val="24"/>
        </w:rPr>
        <w:t>ITEM 1. LEGAL</w:t>
      </w:r>
      <w:r>
        <w:rPr>
          <w:rFonts w:ascii="Times New Roman" w:hAnsi="Times New Roman"/>
          <w:sz w:val="20"/>
        </w:rPr>
        <w:t xml:space="preserve"> </w:t>
      </w:r>
      <w:r>
        <w:rPr>
          <w:rFonts w:ascii="Times New Roman;serif" w:hAnsi="Times New Roman;serif"/>
          <w:b/>
          <w:sz w:val="24"/>
        </w:rPr>
        <w:t>PROCEEDINGS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For a description of developments with respect to pending legal proceedings described in the Company’s 2022 Annual Report, see “Note 11. Commitments and Contingencies” included in Part I. Item 1. “Financial Statements” elsewhere in this Quarterly Report on Form 10-Q.</w:t>
      </w:r>
    </w:p>
    <w:p>
      <w:pPr>
        <w:pStyle w:val="TextBody"/>
        <w:bidi w:val="0"/>
        <w:spacing w:before="200" w:after="0"/>
        <w:jc w:val="both"/>
        <w:rPr>
          <w:rFonts w:ascii="Times New Roman;serif" w:hAnsi="Times New Roman;serif"/>
          <w:b/>
          <w:sz w:val="24"/>
        </w:rPr>
      </w:pPr>
      <w:bookmarkStart w:id="16" w:name="item_1a_risk_factors"/>
      <w:bookmarkEnd w:id="16"/>
      <w:r>
        <w:rPr>
          <w:rFonts w:ascii="Times New Roman;serif" w:hAnsi="Times New Roman;serif"/>
          <w:b/>
          <w:sz w:val="24"/>
        </w:rPr>
        <w:t>ITEM 1A. RISK FACTORS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For a discussion of the Company’s risk factors, refer to “Risk Factors” included in the Company’s 2022 Annual Report. There have been no material changes in the Company’s risk factors during the Current Year Quarter.</w:t>
      </w:r>
    </w:p>
    <w:p>
      <w:pPr>
        <w:pStyle w:val="TextBody"/>
        <w:bidi w:val="0"/>
        <w:spacing w:before="200" w:after="0"/>
        <w:jc w:val="both"/>
        <w:rPr>
          <w:rFonts w:ascii="Times New Roman;serif" w:hAnsi="Times New Roman;serif"/>
          <w:b/>
          <w:sz w:val="24"/>
        </w:rPr>
      </w:pPr>
      <w:bookmarkStart w:id="17" w:name="item_2_unregistered_sales_equity_securit"/>
      <w:bookmarkEnd w:id="17"/>
      <w:r>
        <w:rPr>
          <w:rFonts w:ascii="Times New Roman;serif" w:hAnsi="Times New Roman;serif"/>
          <w:b/>
          <w:sz w:val="24"/>
        </w:rPr>
        <w:t>ITEM 2. UNREGISTERED SALES OF EQUITY SECURITIES AND USE OF PROCEEDS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(a), (b) None.</w:t>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(c) This table provides information with respect to purchases by the Company of shares of its Common Stock during the Current Year Quarter:</w:t>
      </w:r>
    </w:p>
    <w:tbl>
      <w:tblPr>
        <w:tblW w:w="9734" w:type="dxa"/>
        <w:jc w:val="left"/>
        <w:tblInd w:w="0" w:type="dxa"/>
        <w:tblLayout w:type="fixed"/>
        <w:tblCellMar>
          <w:top w:w="28" w:type="dxa"/>
          <w:left w:w="28" w:type="dxa"/>
          <w:bottom w:w="28" w:type="dxa"/>
          <w:right w:w="28" w:type="dxa"/>
        </w:tblCellMar>
      </w:tblPr>
      <w:tblGrid>
        <w:gridCol w:w="2356"/>
        <w:gridCol w:w="146"/>
        <w:gridCol w:w="309"/>
        <w:gridCol w:w="1086"/>
        <w:gridCol w:w="146"/>
        <w:gridCol w:w="146"/>
        <w:gridCol w:w="460"/>
        <w:gridCol w:w="995"/>
        <w:gridCol w:w="146"/>
        <w:gridCol w:w="146"/>
        <w:gridCol w:w="484"/>
        <w:gridCol w:w="1151"/>
        <w:gridCol w:w="146"/>
        <w:gridCol w:w="146"/>
        <w:gridCol w:w="497"/>
        <w:gridCol w:w="1183"/>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 Number of</w:t>
              <w:br/>
              <w:t>Shares Withheld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Average Price per</w:t>
              <w:br/>
              <w:t>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 Number of</w:t>
              <w:br/>
              <w:t>Shares Purchased</w:t>
              <w:br/>
              <w:t>as Part of a Publicly</w:t>
              <w:br/>
              <w:t>Announced Plan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Maximum Number</w:t>
              <w:br/>
              <w:t>of Shares that may</w:t>
              <w:br/>
              <w:t>be Purchased Under</w:t>
              <w:br/>
              <w:t>the Plan</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April 1, 2023 to April 30, 2023</w:t>
            </w:r>
          </w:p>
        </w:tc>
        <w:tc>
          <w:tcPr>
            <w:tcW w:w="146" w:type="dxa"/>
            <w:tcBorders/>
            <w:vAlign w:val="center"/>
          </w:tcPr>
          <w:p>
            <w:pPr>
              <w:pStyle w:val="TableContents"/>
              <w:bidi w:val="0"/>
              <w:spacing w:before="0" w:after="0"/>
              <w:ind w:left="0" w:right="0" w:hanging="0"/>
              <w:jc w:val="left"/>
              <w:rPr/>
            </w:pPr>
            <w:r>
              <w:rPr/>
              <w:t> </w:t>
            </w:r>
          </w:p>
        </w:tc>
        <w:tc>
          <w:tcPr>
            <w:tcW w:w="3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May 1, 2023 to May 31, 2023</w:t>
            </w:r>
          </w:p>
        </w:tc>
        <w:tc>
          <w:tcPr>
            <w:tcW w:w="146" w:type="dxa"/>
            <w:tcBorders/>
            <w:vAlign w:val="center"/>
          </w:tcPr>
          <w:p>
            <w:pPr>
              <w:pStyle w:val="TableContents"/>
              <w:bidi w:val="0"/>
              <w:spacing w:before="0" w:after="0"/>
              <w:ind w:left="0" w:right="0" w:hanging="0"/>
              <w:jc w:val="left"/>
              <w:rPr/>
            </w:pPr>
            <w:r>
              <w:rPr/>
              <w:t> </w:t>
            </w:r>
          </w:p>
        </w:tc>
        <w:tc>
          <w:tcPr>
            <w:tcW w:w="3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June 1, 2023 to June 30, 2023</w:t>
            </w:r>
          </w:p>
        </w:tc>
        <w:tc>
          <w:tcPr>
            <w:tcW w:w="146" w:type="dxa"/>
            <w:tcBorders/>
            <w:vAlign w:val="center"/>
          </w:tcPr>
          <w:p>
            <w:pPr>
              <w:pStyle w:val="TableContents"/>
              <w:bidi w:val="0"/>
              <w:spacing w:before="0" w:after="0"/>
              <w:ind w:left="0" w:right="0" w:hanging="0"/>
              <w:jc w:val="left"/>
              <w:rPr/>
            </w:pPr>
            <w:r>
              <w:rPr/>
              <w:t> </w:t>
            </w:r>
          </w:p>
        </w:tc>
        <w:tc>
          <w:tcPr>
            <w:tcW w:w="309"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For the three months ended June 30, 2023, the Company acquired for treasury 12,032 shares of Common Stock from its directors and employees for an aggregate purchase price of $102,552 to cover their tax withholding obligations upon the lapsing of restrictions on share awards. These shares were purchased in accordance with the terms of the Company’s 2017 Equity Incentive Plan, 2020 Equity Incentive Plan and 2022 Equity Incentive Plan, as applicable.</w:t>
      </w:r>
    </w:p>
    <w:p>
      <w:pPr>
        <w:pStyle w:val="TextBody"/>
        <w:bidi w:val="0"/>
        <w:spacing w:before="200" w:after="0"/>
        <w:jc w:val="both"/>
        <w:rPr>
          <w:rFonts w:ascii="Times New Roman" w:hAnsi="Times New Roman"/>
          <w:sz w:val="20"/>
        </w:rPr>
      </w:pPr>
      <w:bookmarkStart w:id="18" w:name="item_3_default_upon_senior_securities"/>
      <w:bookmarkEnd w:id="18"/>
      <w:r>
        <w:rPr>
          <w:rFonts w:ascii="Times New Roman;serif" w:hAnsi="Times New Roman;serif"/>
          <w:b/>
          <w:sz w:val="24"/>
        </w:rPr>
        <w:t>ITEM 3. DEFAULT UPON</w:t>
      </w:r>
      <w:r>
        <w:rPr>
          <w:rFonts w:ascii="Times New Roman" w:hAnsi="Times New Roman"/>
          <w:sz w:val="20"/>
        </w:rPr>
        <w:t xml:space="preserve"> </w:t>
      </w:r>
      <w:r>
        <w:rPr>
          <w:rFonts w:ascii="Times New Roman;serif" w:hAnsi="Times New Roman;serif"/>
          <w:b/>
          <w:sz w:val="24"/>
        </w:rPr>
        <w:t>SENIOR SECURITIES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None.</w:t>
      </w:r>
    </w:p>
    <w:p>
      <w:pPr>
        <w:pStyle w:val="TextBody"/>
        <w:bidi w:val="0"/>
        <w:spacing w:before="200" w:after="0"/>
        <w:jc w:val="both"/>
        <w:rPr>
          <w:rFonts w:ascii="Times New Roman;serif" w:hAnsi="Times New Roman;serif"/>
          <w:b/>
          <w:sz w:val="24"/>
        </w:rPr>
      </w:pPr>
      <w:bookmarkStart w:id="19" w:name="item_4_mine_safety_disclosures"/>
      <w:bookmarkEnd w:id="19"/>
      <w:r>
        <w:rPr>
          <w:rFonts w:ascii="Times New Roman;serif" w:hAnsi="Times New Roman;serif"/>
          <w:b/>
          <w:sz w:val="24"/>
        </w:rPr>
        <w:t>ITEM 4. MINE SAFETY DISCLOSURES</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Not applicable.</w:t>
      </w:r>
    </w:p>
    <w:p>
      <w:pPr>
        <w:pStyle w:val="TextBody"/>
        <w:bidi w:val="0"/>
        <w:spacing w:before="200" w:after="0"/>
        <w:jc w:val="both"/>
        <w:rPr>
          <w:rFonts w:ascii="Times New Roman" w:hAnsi="Times New Roman"/>
          <w:sz w:val="20"/>
        </w:rPr>
      </w:pPr>
      <w:bookmarkStart w:id="20" w:name="item_5_or_information"/>
      <w:bookmarkEnd w:id="20"/>
      <w:r>
        <w:rPr>
          <w:rFonts w:ascii="Times New Roman;serif" w:hAnsi="Times New Roman;serif"/>
          <w:b/>
          <w:sz w:val="24"/>
        </w:rPr>
        <w:t>ITEM 5. OTHER</w:t>
      </w:r>
      <w:r>
        <w:rPr>
          <w:rFonts w:ascii="Times New Roman" w:hAnsi="Times New Roman"/>
          <w:sz w:val="20"/>
        </w:rPr>
        <w:t xml:space="preserve"> </w:t>
      </w:r>
      <w:r>
        <w:rPr>
          <w:rFonts w:ascii="Times New Roman;serif" w:hAnsi="Times New Roman;serif"/>
          <w:b/>
          <w:sz w:val="24"/>
        </w:rPr>
        <w:t>INFORMATION</w:t>
      </w:r>
    </w:p>
    <w:p>
      <w:pPr>
        <w:pStyle w:val="TextBody"/>
        <w:bidi w:val="0"/>
        <w:spacing w:before="200" w:after="0"/>
        <w:jc w:val="both"/>
        <w:rPr>
          <w:rFonts w:ascii="Times New Roman;serif" w:hAnsi="Times New Roman;serif"/>
          <w:b w:val="false"/>
          <w:sz w:val="24"/>
        </w:rPr>
      </w:pPr>
      <w:r>
        <w:rPr>
          <w:rFonts w:ascii="Times New Roman;serif" w:hAnsi="Times New Roman;serif"/>
          <w:b w:val="false"/>
          <w:sz w:val="24"/>
        </w:rPr>
        <w:t>None.</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46</w:t>
      </w:r>
    </w:p>
    <w:p>
      <w:pPr>
        <w:pStyle w:val="HorizontalLine"/>
        <w:pBdr>
          <w:bottom w:val="double" w:sz="2" w:space="0" w:color="808080"/>
        </w:pBdr>
        <w:bidi w:val="0"/>
        <w:spacing w:before="0" w:after="283"/>
        <w:jc w:val="left"/>
        <w:rPr/>
      </w:pPr>
      <w:r>
        <w:rPr/>
      </w:r>
    </w:p>
    <w:p>
      <w:pPr>
        <w:pStyle w:val="TextBody"/>
        <w:bidi w:val="0"/>
        <w:spacing w:before="0" w:after="200"/>
        <w:jc w:val="both"/>
        <w:rPr>
          <w:rFonts w:ascii="Times New Roman" w:hAnsi="Times New Roman"/>
          <w:sz w:val="20"/>
        </w:rPr>
      </w:pPr>
      <w:bookmarkStart w:id="21" w:name="item_6_exhibits"/>
      <w:bookmarkEnd w:id="21"/>
      <w:r>
        <w:rPr>
          <w:rFonts w:ascii="Times New Roman;serif" w:hAnsi="Times New Roman;serif"/>
          <w:b/>
          <w:sz w:val="24"/>
        </w:rPr>
        <w:t>ITEM 6.</w:t>
      </w:r>
      <w:r>
        <w:rPr>
          <w:rFonts w:ascii="Times New Roman" w:hAnsi="Times New Roman"/>
          <w:sz w:val="20"/>
        </w:rPr>
        <w:t xml:space="preserve"> </w:t>
      </w:r>
      <w:r>
        <w:rPr>
          <w:rFonts w:ascii="Times New Roman;serif" w:hAnsi="Times New Roman;serif"/>
          <w:b/>
          <w:sz w:val="24"/>
        </w:rPr>
        <w:t>EXHIBITS</w:t>
      </w:r>
    </w:p>
    <w:tbl>
      <w:tblPr>
        <w:tblW w:w="10205" w:type="dxa"/>
        <w:jc w:val="left"/>
        <w:tblInd w:w="0" w:type="dxa"/>
        <w:tblLayout w:type="fixed"/>
        <w:tblCellMar>
          <w:top w:w="28" w:type="dxa"/>
          <w:left w:w="28" w:type="dxa"/>
          <w:bottom w:w="28" w:type="dxa"/>
          <w:right w:w="28" w:type="dxa"/>
        </w:tblCellMar>
      </w:tblPr>
      <w:tblGrid>
        <w:gridCol w:w="657"/>
        <w:gridCol w:w="146"/>
        <w:gridCol w:w="9402"/>
      </w:tblGrid>
      <w:tr>
        <w:trPr/>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2" w:type="dxa"/>
            <w:tcBorders/>
            <w:vAlign w:val="center"/>
          </w:tcPr>
          <w:p>
            <w:pPr>
              <w:pStyle w:val="TableContents"/>
              <w:bidi w:val="0"/>
              <w:spacing w:before="0" w:after="283"/>
              <w:jc w:val="left"/>
              <w:rPr>
                <w:sz w:val="4"/>
                <w:szCs w:val="4"/>
              </w:rPr>
            </w:pPr>
            <w:r>
              <w:rPr>
                <w:sz w:val="4"/>
                <w:szCs w:val="4"/>
              </w:rPr>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Credit Agreement, dated as of June 16, 2023, by and among SEACOR Alps LLC, SEACOR Andes LLC, SEACOR Atlas LLC, SEACOR Marine Holdings Inc., SEACOR Marine Alpine LLC, and Mountain Supply LLC (incorporated herein by reference to Exhibit 10.1 of SEACOR Marine Holdings Inc.’s Current Report on Form 8-K filed with the Commission on June 20, 2023 (File No. 001-37966)).</w:t>
              </w:r>
            </w:hyperlink>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Guaranty, dated as of June 16, 2023, by SEACOR Marine Holdings Inc. in favor of Mountain Supply LLC (incorporated herein by reference to Exhibit 10.2 of SEACOR Marine Holdings Inc.’s Current Report on Form 8-K filed with the Commission on June 20, 2023 (File No. 001-37966)).</w:t>
              </w:r>
            </w:hyperlink>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mhi-ex31_1.htm">
              <w:r>
                <w:rPr>
                  <w:rStyle w:val="InternetLink"/>
                  <w:rFonts w:ascii="Times New Roman;serif" w:hAnsi="Times New Roman;serif"/>
                  <w:b w:val="false"/>
                  <w:sz w:val="20"/>
                  <w:u w:val="single"/>
                </w:rPr>
                <w:t>Certification by the Principal Executive Officer pursuant to Rule 13a-14(a) and Rule 15d-14(a) of the Securities Exchange Act, as amended.</w:t>
              </w:r>
            </w:hyperlink>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mhi-ex31_2.htm">
              <w:r>
                <w:rPr>
                  <w:rStyle w:val="InternetLink"/>
                  <w:rFonts w:ascii="Times New Roman;serif" w:hAnsi="Times New Roman;serif"/>
                  <w:b w:val="false"/>
                  <w:sz w:val="20"/>
                  <w:u w:val="single"/>
                </w:rPr>
                <w:t>Certification by the Principal Financial Officer pursuant to Rule 13a-14(a) and Rule 15d-14(a) of the Securities Exchange Act, as amended.</w:t>
              </w:r>
            </w:hyperlink>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mhi-ex32.htm">
              <w:r>
                <w:rPr>
                  <w:rStyle w:val="InternetLink"/>
                  <w:rFonts w:ascii="Times New Roman;serif" w:hAnsi="Times New Roman;serif"/>
                  <w:b w:val="false"/>
                  <w:sz w:val="20"/>
                  <w:u w:val="single"/>
                </w:rPr>
                <w:t>Certification by the Principal Executive Officer and Chief Financial Officer pursuant to 18 U.S.C. Section 1350, as adopted pursuant to Section 906 of the Sarbanes-Oxley Act of 2002.</w:t>
              </w:r>
            </w:hyperlink>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w:t>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w:t>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w:t>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w:t>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w:t>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cover page for the Company’s Quarterly Report on Form 10-Q for the quarter ended June 30, 2023, has been formatted in Inline XBRL.</w:t>
            </w:r>
          </w:p>
        </w:tc>
      </w:tr>
      <w:tr>
        <w:trPr/>
        <w:tc>
          <w:tcPr>
            <w:tcW w:w="6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0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 Incorporated by reference.</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 Pursuant to Rule 406T of Regulation S-T, these interactive data files are deemed not filed or part of a registration statement or prospectus for purposes of Section 11 or 12 of the Securities Act of 1933 or Section 18 of the Securities Exchange Act of 1934 and otherwise are not subject to liability.</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4"/>
        </w:rPr>
      </w:pPr>
      <w:bookmarkStart w:id="22" w:name="signatures"/>
      <w:bookmarkEnd w:id="22"/>
      <w:r>
        <w:rPr>
          <w:rFonts w:ascii="Times New Roman;serif" w:hAnsi="Times New Roman;serif"/>
          <w:b/>
          <w:sz w:val="24"/>
        </w:rPr>
        <w:t>SIGNATURES</w:t>
      </w:r>
    </w:p>
    <w:p>
      <w:pPr>
        <w:pStyle w:val="TextBody"/>
        <w:bidi w:val="0"/>
        <w:spacing w:before="200" w:after="200"/>
        <w:jc w:val="both"/>
        <w:rPr>
          <w:rFonts w:ascii="Times New Roman;serif" w:hAnsi="Times New Roman;serif"/>
          <w:b w:val="false"/>
          <w:sz w:val="24"/>
        </w:rPr>
      </w:pPr>
      <w:r>
        <w:rPr>
          <w:rFonts w:ascii="Times New Roman;serif" w:hAnsi="Times New Roman;serif"/>
          <w:b w:val="false"/>
          <w:sz w:val="24"/>
        </w:rPr>
        <w:t>Pursuant to the requirements of the Securities Exchange Act of 1934, the registrant has duly caused this report to be signed on its behalf by the undersigned thereunto duly authorized.</w:t>
      </w:r>
    </w:p>
    <w:tbl>
      <w:tblPr>
        <w:tblW w:w="6841" w:type="dxa"/>
        <w:jc w:val="left"/>
        <w:tblInd w:w="0" w:type="dxa"/>
        <w:tblLayout w:type="fixed"/>
        <w:tblCellMar>
          <w:top w:w="28" w:type="dxa"/>
          <w:left w:w="28" w:type="dxa"/>
          <w:bottom w:w="28" w:type="dxa"/>
          <w:right w:w="28" w:type="dxa"/>
        </w:tblCellMar>
      </w:tblPr>
      <w:tblGrid>
        <w:gridCol w:w="646"/>
        <w:gridCol w:w="162"/>
        <w:gridCol w:w="1592"/>
        <w:gridCol w:w="467"/>
        <w:gridCol w:w="162"/>
        <w:gridCol w:w="3812"/>
      </w:tblGrid>
      <w:tr>
        <w:trPr/>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0"/>
              <w:ind w:left="0" w:right="15"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1592" w:type="dxa"/>
            <w:tcBorders/>
            <w:vAlign w:val="center"/>
          </w:tcPr>
          <w:p>
            <w:pPr>
              <w:pStyle w:val="TableContents"/>
              <w:bidi w:val="0"/>
              <w:spacing w:before="0" w:after="0"/>
              <w:ind w:left="0" w:right="16" w:hanging="0"/>
              <w:jc w:val="left"/>
              <w:rPr/>
            </w:pPr>
            <w:r>
              <w:rPr/>
              <w:t> </w:t>
            </w:r>
          </w:p>
        </w:tc>
        <w:tc>
          <w:tcPr>
            <w:tcW w:w="467" w:type="dxa"/>
            <w:tcBorders/>
            <w:vAlign w:val="center"/>
          </w:tcPr>
          <w:p>
            <w:pPr>
              <w:pStyle w:val="TableContents"/>
              <w:bidi w:val="0"/>
              <w:spacing w:before="0" w:after="0"/>
              <w:ind w:left="0" w:right="16"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3812" w:type="dxa"/>
            <w:tcBorders/>
            <w:vAlign w:val="center"/>
          </w:tcPr>
          <w:p>
            <w:pPr>
              <w:pStyle w:val="TableContents"/>
              <w:bidi w:val="0"/>
              <w:spacing w:before="0" w:after="0"/>
              <w:ind w:left="0" w:right="16" w:hanging="0"/>
              <w:jc w:val="left"/>
              <w:rPr>
                <w:rFonts w:ascii="Times New Roman;serif" w:hAnsi="Times New Roman;serif"/>
                <w:b w:val="false"/>
                <w:sz w:val="24"/>
              </w:rPr>
            </w:pPr>
            <w:r>
              <w:rPr>
                <w:rFonts w:ascii="Times New Roman;serif" w:hAnsi="Times New Roman;serif"/>
                <w:b w:val="false"/>
                <w:sz w:val="24"/>
              </w:rPr>
              <w:t>SEACOR Marine Holdings Inc.</w:t>
            </w:r>
          </w:p>
        </w:tc>
      </w:tr>
      <w:tr>
        <w:trPr/>
        <w:tc>
          <w:tcPr>
            <w:tcW w:w="646" w:type="dxa"/>
            <w:tcBorders/>
            <w:vAlign w:val="center"/>
          </w:tcPr>
          <w:p>
            <w:pPr>
              <w:pStyle w:val="TableContents"/>
              <w:bidi w:val="0"/>
              <w:spacing w:before="0" w:after="0"/>
              <w:ind w:left="0" w:right="15"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1592" w:type="dxa"/>
            <w:tcBorders/>
            <w:vAlign w:val="center"/>
          </w:tcPr>
          <w:p>
            <w:pPr>
              <w:pStyle w:val="TableContents"/>
              <w:bidi w:val="0"/>
              <w:spacing w:before="0" w:after="0"/>
              <w:ind w:left="0" w:right="16" w:hanging="0"/>
              <w:jc w:val="left"/>
              <w:rPr/>
            </w:pPr>
            <w:r>
              <w:rPr/>
              <w:t> </w:t>
            </w:r>
          </w:p>
        </w:tc>
        <w:tc>
          <w:tcPr>
            <w:tcW w:w="467" w:type="dxa"/>
            <w:tcBorders/>
            <w:vAlign w:val="center"/>
          </w:tcPr>
          <w:p>
            <w:pPr>
              <w:pStyle w:val="TableContents"/>
              <w:bidi w:val="0"/>
              <w:spacing w:before="0" w:after="0"/>
              <w:ind w:left="0" w:right="16"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3812" w:type="dxa"/>
            <w:tcBorders/>
            <w:vAlign w:val="center"/>
          </w:tcPr>
          <w:p>
            <w:pPr>
              <w:pStyle w:val="TableContents"/>
              <w:bidi w:val="0"/>
              <w:spacing w:before="0" w:after="0"/>
              <w:ind w:left="0" w:right="16" w:hanging="0"/>
              <w:jc w:val="left"/>
              <w:rPr/>
            </w:pPr>
            <w:r>
              <w:rPr/>
              <w:t> </w:t>
            </w:r>
          </w:p>
        </w:tc>
      </w:tr>
      <w:tr>
        <w:trPr/>
        <w:tc>
          <w:tcPr>
            <w:tcW w:w="646" w:type="dxa"/>
            <w:tcBorders/>
            <w:vAlign w:val="center"/>
          </w:tcPr>
          <w:p>
            <w:pPr>
              <w:pStyle w:val="TableContents"/>
              <w:bidi w:val="0"/>
              <w:spacing w:before="0" w:after="0"/>
              <w:ind w:left="0" w:right="15" w:hanging="0"/>
              <w:jc w:val="center"/>
              <w:rPr>
                <w:rFonts w:ascii="Times New Roman;serif" w:hAnsi="Times New Roman;serif"/>
                <w:b w:val="false"/>
                <w:sz w:val="24"/>
              </w:rPr>
            </w:pPr>
            <w:r>
              <w:rPr>
                <w:rFonts w:ascii="Times New Roman;serif" w:hAnsi="Times New Roman;serif"/>
                <w:b w:val="false"/>
                <w:sz w:val="24"/>
              </w:rPr>
              <w:t>Date:</w:t>
            </w:r>
          </w:p>
        </w:tc>
        <w:tc>
          <w:tcPr>
            <w:tcW w:w="162" w:type="dxa"/>
            <w:tcBorders/>
            <w:vAlign w:val="center"/>
          </w:tcPr>
          <w:p>
            <w:pPr>
              <w:pStyle w:val="TableContents"/>
              <w:bidi w:val="0"/>
              <w:spacing w:before="0" w:after="0"/>
              <w:ind w:left="0" w:right="16" w:hanging="0"/>
              <w:jc w:val="left"/>
              <w:rPr/>
            </w:pPr>
            <w:r>
              <w:rPr/>
              <w:t> </w:t>
            </w:r>
          </w:p>
        </w:tc>
        <w:tc>
          <w:tcPr>
            <w:tcW w:w="1592" w:type="dxa"/>
            <w:tcBorders/>
            <w:vAlign w:val="center"/>
          </w:tcPr>
          <w:p>
            <w:pPr>
              <w:pStyle w:val="TableContents"/>
              <w:bidi w:val="0"/>
              <w:spacing w:before="0" w:after="0"/>
              <w:ind w:left="0" w:right="16" w:hanging="0"/>
              <w:jc w:val="left"/>
              <w:rPr>
                <w:rFonts w:ascii="Times New Roman;serif" w:hAnsi="Times New Roman;serif"/>
                <w:b w:val="false"/>
                <w:sz w:val="24"/>
              </w:rPr>
            </w:pPr>
            <w:r>
              <w:rPr>
                <w:rFonts w:ascii="Times New Roman;serif" w:hAnsi="Times New Roman;serif"/>
                <w:b w:val="false"/>
                <w:sz w:val="24"/>
              </w:rPr>
              <w:t>August 2, 2023</w:t>
            </w:r>
          </w:p>
        </w:tc>
        <w:tc>
          <w:tcPr>
            <w:tcW w:w="467" w:type="dxa"/>
            <w:tcBorders/>
            <w:vAlign w:val="center"/>
          </w:tcPr>
          <w:p>
            <w:pPr>
              <w:pStyle w:val="TableContents"/>
              <w:bidi w:val="0"/>
              <w:spacing w:before="0" w:after="0"/>
              <w:ind w:left="0" w:right="16" w:hanging="0"/>
              <w:jc w:val="left"/>
              <w:rPr>
                <w:rFonts w:ascii="Times New Roman;serif" w:hAnsi="Times New Roman;serif"/>
                <w:b w:val="false"/>
                <w:sz w:val="24"/>
              </w:rPr>
            </w:pPr>
            <w:r>
              <w:rPr>
                <w:rFonts w:ascii="Times New Roman;serif" w:hAnsi="Times New Roman;serif"/>
                <w:b w:val="false"/>
                <w:sz w:val="24"/>
              </w:rPr>
              <w:t>By:</w:t>
            </w:r>
          </w:p>
        </w:tc>
        <w:tc>
          <w:tcPr>
            <w:tcW w:w="162" w:type="dxa"/>
            <w:tcBorders/>
            <w:vAlign w:val="center"/>
          </w:tcPr>
          <w:p>
            <w:pPr>
              <w:pStyle w:val="TableContents"/>
              <w:bidi w:val="0"/>
              <w:spacing w:before="0" w:after="0"/>
              <w:ind w:left="0" w:right="16" w:hanging="0"/>
              <w:jc w:val="left"/>
              <w:rPr/>
            </w:pPr>
            <w:r>
              <w:rPr/>
              <w:t> </w:t>
            </w:r>
          </w:p>
        </w:tc>
        <w:tc>
          <w:tcPr>
            <w:tcW w:w="3812" w:type="dxa"/>
            <w:tcBorders>
              <w:bottom w:val="single" w:sz="6" w:space="0" w:color="000000"/>
            </w:tcBorders>
            <w:tcMar>
              <w:top w:w="0" w:type="dxa"/>
              <w:left w:w="0" w:type="dxa"/>
              <w:right w:w="0" w:type="dxa"/>
            </w:tcMar>
            <w:vAlign w:val="center"/>
          </w:tcPr>
          <w:p>
            <w:pPr>
              <w:pStyle w:val="TableContents"/>
              <w:bidi w:val="0"/>
              <w:spacing w:before="0" w:after="0"/>
              <w:ind w:left="0" w:right="16" w:hanging="0"/>
              <w:jc w:val="left"/>
              <w:rPr>
                <w:rFonts w:ascii="Times New Roman;serif" w:hAnsi="Times New Roman;serif"/>
                <w:b w:val="false"/>
                <w:sz w:val="24"/>
              </w:rPr>
            </w:pPr>
            <w:r>
              <w:rPr>
                <w:rFonts w:ascii="Times New Roman;serif" w:hAnsi="Times New Roman;serif"/>
                <w:b w:val="false"/>
                <w:sz w:val="24"/>
              </w:rPr>
              <w:t>/s/ John Gellert</w:t>
            </w:r>
          </w:p>
        </w:tc>
      </w:tr>
      <w:tr>
        <w:trPr/>
        <w:tc>
          <w:tcPr>
            <w:tcW w:w="646" w:type="dxa"/>
            <w:tcBorders/>
            <w:vAlign w:val="center"/>
          </w:tcPr>
          <w:p>
            <w:pPr>
              <w:pStyle w:val="TableContents"/>
              <w:bidi w:val="0"/>
              <w:spacing w:before="0" w:after="0"/>
              <w:ind w:left="0" w:right="15"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1592" w:type="dxa"/>
            <w:tcBorders/>
            <w:vAlign w:val="center"/>
          </w:tcPr>
          <w:p>
            <w:pPr>
              <w:pStyle w:val="TableContents"/>
              <w:bidi w:val="0"/>
              <w:spacing w:before="0" w:after="0"/>
              <w:ind w:left="0" w:right="16" w:hanging="0"/>
              <w:jc w:val="left"/>
              <w:rPr/>
            </w:pPr>
            <w:r>
              <w:rPr/>
              <w:t> </w:t>
            </w:r>
          </w:p>
        </w:tc>
        <w:tc>
          <w:tcPr>
            <w:tcW w:w="467" w:type="dxa"/>
            <w:tcBorders/>
            <w:vAlign w:val="center"/>
          </w:tcPr>
          <w:p>
            <w:pPr>
              <w:pStyle w:val="TableContents"/>
              <w:bidi w:val="0"/>
              <w:spacing w:before="0" w:after="0"/>
              <w:ind w:left="0" w:right="16"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3812" w:type="dxa"/>
            <w:tcBorders/>
            <w:vAlign w:val="center"/>
          </w:tcPr>
          <w:p>
            <w:pPr>
              <w:pStyle w:val="TableContents"/>
              <w:bidi w:val="0"/>
              <w:spacing w:before="0" w:after="0"/>
              <w:ind w:left="0" w:right="16" w:hanging="0"/>
              <w:jc w:val="left"/>
              <w:rPr>
                <w:rFonts w:ascii="Times New Roman" w:hAnsi="Times New Roman"/>
                <w:sz w:val="24"/>
              </w:rPr>
            </w:pPr>
            <w:r>
              <w:rPr>
                <w:rFonts w:ascii="Times New Roman;serif" w:hAnsi="Times New Roman;serif"/>
                <w:b w:val="false"/>
                <w:sz w:val="24"/>
              </w:rPr>
              <w:t xml:space="preserve">John Gellert, </w:t>
            </w:r>
            <w:r>
              <w:rPr>
                <w:rFonts w:ascii="Times New Roman;serif" w:hAnsi="Times New Roman;serif"/>
                <w:b w:val="false"/>
                <w:i/>
                <w:sz w:val="24"/>
              </w:rPr>
              <w:t>President,</w:t>
            </w:r>
            <w:r>
              <w:rPr>
                <w:rFonts w:ascii="Times New Roman" w:hAnsi="Times New Roman"/>
                <w:sz w:val="24"/>
              </w:rPr>
              <w:t xml:space="preserve"> </w:t>
            </w:r>
          </w:p>
          <w:p>
            <w:pPr>
              <w:pStyle w:val="TableContents"/>
              <w:bidi w:val="0"/>
              <w:spacing w:before="0" w:after="0"/>
              <w:ind w:left="0" w:right="16" w:hanging="0"/>
              <w:jc w:val="left"/>
              <w:rPr>
                <w:rFonts w:ascii="Times New Roman;serif" w:hAnsi="Times New Roman;serif"/>
                <w:b w:val="false"/>
                <w:i/>
                <w:sz w:val="24"/>
              </w:rPr>
            </w:pPr>
            <w:r>
              <w:rPr>
                <w:rFonts w:ascii="Times New Roman;serif" w:hAnsi="Times New Roman;serif"/>
                <w:b w:val="false"/>
                <w:i/>
                <w:sz w:val="24"/>
              </w:rPr>
              <w:t>Chief Executive Officer</w:t>
            </w:r>
          </w:p>
          <w:p>
            <w:pPr>
              <w:pStyle w:val="TableContents"/>
              <w:bidi w:val="0"/>
              <w:spacing w:before="0" w:after="0"/>
              <w:ind w:left="0" w:right="16" w:hanging="0"/>
              <w:jc w:val="left"/>
              <w:rPr>
                <w:rFonts w:ascii="Times New Roman;serif" w:hAnsi="Times New Roman;serif"/>
                <w:b w:val="false"/>
                <w:i/>
                <w:sz w:val="24"/>
              </w:rPr>
            </w:pPr>
            <w:r>
              <w:rPr>
                <w:rFonts w:ascii="Times New Roman;serif" w:hAnsi="Times New Roman;serif"/>
                <w:b w:val="false"/>
                <w:i/>
                <w:sz w:val="24"/>
              </w:rPr>
              <w:t>(Principal Executive Officer)</w:t>
            </w:r>
          </w:p>
        </w:tc>
      </w:tr>
      <w:tr>
        <w:trPr/>
        <w:tc>
          <w:tcPr>
            <w:tcW w:w="646" w:type="dxa"/>
            <w:tcBorders/>
            <w:vAlign w:val="center"/>
          </w:tcPr>
          <w:p>
            <w:pPr>
              <w:pStyle w:val="TableContents"/>
              <w:bidi w:val="0"/>
              <w:spacing w:before="0" w:after="0"/>
              <w:ind w:left="0" w:right="15"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1592" w:type="dxa"/>
            <w:tcBorders/>
            <w:vAlign w:val="center"/>
          </w:tcPr>
          <w:p>
            <w:pPr>
              <w:pStyle w:val="TableContents"/>
              <w:bidi w:val="0"/>
              <w:spacing w:before="0" w:after="0"/>
              <w:ind w:left="0" w:right="16" w:hanging="0"/>
              <w:jc w:val="left"/>
              <w:rPr/>
            </w:pPr>
            <w:r>
              <w:rPr/>
              <w:t> </w:t>
            </w:r>
          </w:p>
        </w:tc>
        <w:tc>
          <w:tcPr>
            <w:tcW w:w="467" w:type="dxa"/>
            <w:tcBorders/>
            <w:vAlign w:val="center"/>
          </w:tcPr>
          <w:p>
            <w:pPr>
              <w:pStyle w:val="TableContents"/>
              <w:bidi w:val="0"/>
              <w:spacing w:before="0" w:after="0"/>
              <w:ind w:left="0" w:right="16"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3812" w:type="dxa"/>
            <w:tcBorders/>
            <w:vAlign w:val="center"/>
          </w:tcPr>
          <w:p>
            <w:pPr>
              <w:pStyle w:val="TableContents"/>
              <w:bidi w:val="0"/>
              <w:spacing w:before="0" w:after="0"/>
              <w:ind w:left="0" w:right="16" w:hanging="0"/>
              <w:jc w:val="left"/>
              <w:rPr/>
            </w:pPr>
            <w:r>
              <w:rPr/>
              <w:t> </w:t>
            </w:r>
          </w:p>
        </w:tc>
      </w:tr>
      <w:tr>
        <w:trPr/>
        <w:tc>
          <w:tcPr>
            <w:tcW w:w="646" w:type="dxa"/>
            <w:tcBorders/>
            <w:vAlign w:val="center"/>
          </w:tcPr>
          <w:p>
            <w:pPr>
              <w:pStyle w:val="TableContents"/>
              <w:bidi w:val="0"/>
              <w:spacing w:before="0" w:after="0"/>
              <w:ind w:left="0" w:right="15" w:hanging="0"/>
              <w:jc w:val="center"/>
              <w:rPr>
                <w:rFonts w:ascii="Times New Roman;serif" w:hAnsi="Times New Roman;serif"/>
                <w:b w:val="false"/>
                <w:sz w:val="24"/>
              </w:rPr>
            </w:pPr>
            <w:r>
              <w:rPr>
                <w:rFonts w:ascii="Times New Roman;serif" w:hAnsi="Times New Roman;serif"/>
                <w:b w:val="false"/>
                <w:sz w:val="24"/>
              </w:rPr>
              <w:t>Date:</w:t>
            </w:r>
          </w:p>
        </w:tc>
        <w:tc>
          <w:tcPr>
            <w:tcW w:w="162" w:type="dxa"/>
            <w:tcBorders/>
            <w:vAlign w:val="center"/>
          </w:tcPr>
          <w:p>
            <w:pPr>
              <w:pStyle w:val="TableContents"/>
              <w:bidi w:val="0"/>
              <w:spacing w:before="0" w:after="0"/>
              <w:ind w:left="0" w:right="16" w:hanging="0"/>
              <w:jc w:val="left"/>
              <w:rPr/>
            </w:pPr>
            <w:r>
              <w:rPr/>
              <w:t> </w:t>
            </w:r>
          </w:p>
        </w:tc>
        <w:tc>
          <w:tcPr>
            <w:tcW w:w="1592" w:type="dxa"/>
            <w:tcBorders/>
            <w:vAlign w:val="center"/>
          </w:tcPr>
          <w:p>
            <w:pPr>
              <w:pStyle w:val="TableContents"/>
              <w:bidi w:val="0"/>
              <w:spacing w:before="0" w:after="0"/>
              <w:ind w:left="0" w:right="16" w:hanging="0"/>
              <w:jc w:val="left"/>
              <w:rPr>
                <w:rFonts w:ascii="Times New Roman;serif" w:hAnsi="Times New Roman;serif"/>
                <w:b w:val="false"/>
                <w:sz w:val="24"/>
              </w:rPr>
            </w:pPr>
            <w:r>
              <w:rPr>
                <w:rFonts w:ascii="Times New Roman;serif" w:hAnsi="Times New Roman;serif"/>
                <w:b w:val="false"/>
                <w:sz w:val="24"/>
              </w:rPr>
              <w:t>August 2, 2023</w:t>
            </w:r>
          </w:p>
        </w:tc>
        <w:tc>
          <w:tcPr>
            <w:tcW w:w="467" w:type="dxa"/>
            <w:tcBorders/>
            <w:vAlign w:val="center"/>
          </w:tcPr>
          <w:p>
            <w:pPr>
              <w:pStyle w:val="TableContents"/>
              <w:bidi w:val="0"/>
              <w:spacing w:before="0" w:after="0"/>
              <w:ind w:left="0" w:right="16" w:hanging="0"/>
              <w:jc w:val="left"/>
              <w:rPr>
                <w:rFonts w:ascii="Times New Roman;serif" w:hAnsi="Times New Roman;serif"/>
                <w:b w:val="false"/>
                <w:sz w:val="24"/>
              </w:rPr>
            </w:pPr>
            <w:r>
              <w:rPr>
                <w:rFonts w:ascii="Times New Roman;serif" w:hAnsi="Times New Roman;serif"/>
                <w:b w:val="false"/>
                <w:sz w:val="24"/>
              </w:rPr>
              <w:t>By:</w:t>
            </w:r>
          </w:p>
        </w:tc>
        <w:tc>
          <w:tcPr>
            <w:tcW w:w="162" w:type="dxa"/>
            <w:tcBorders/>
            <w:vAlign w:val="center"/>
          </w:tcPr>
          <w:p>
            <w:pPr>
              <w:pStyle w:val="TableContents"/>
              <w:bidi w:val="0"/>
              <w:spacing w:before="0" w:after="0"/>
              <w:ind w:left="0" w:right="16" w:hanging="0"/>
              <w:jc w:val="left"/>
              <w:rPr/>
            </w:pPr>
            <w:r>
              <w:rPr/>
              <w:t> </w:t>
            </w:r>
          </w:p>
        </w:tc>
        <w:tc>
          <w:tcPr>
            <w:tcW w:w="3812" w:type="dxa"/>
            <w:tcBorders>
              <w:bottom w:val="single" w:sz="6" w:space="0" w:color="000000"/>
            </w:tcBorders>
            <w:tcMar>
              <w:top w:w="0" w:type="dxa"/>
              <w:left w:w="0" w:type="dxa"/>
              <w:right w:w="0" w:type="dxa"/>
            </w:tcMar>
            <w:vAlign w:val="center"/>
          </w:tcPr>
          <w:p>
            <w:pPr>
              <w:pStyle w:val="TableContents"/>
              <w:bidi w:val="0"/>
              <w:spacing w:before="0" w:after="0"/>
              <w:ind w:left="0" w:right="16" w:hanging="0"/>
              <w:jc w:val="left"/>
              <w:rPr>
                <w:rFonts w:ascii="Times New Roman;serif" w:hAnsi="Times New Roman;serif"/>
                <w:b w:val="false"/>
                <w:sz w:val="24"/>
              </w:rPr>
            </w:pPr>
            <w:r>
              <w:rPr>
                <w:rFonts w:ascii="Times New Roman;serif" w:hAnsi="Times New Roman;serif"/>
                <w:b w:val="false"/>
                <w:sz w:val="24"/>
              </w:rPr>
              <w:t>/s/ Jesús Llorca</w:t>
            </w:r>
          </w:p>
        </w:tc>
      </w:tr>
      <w:tr>
        <w:trPr/>
        <w:tc>
          <w:tcPr>
            <w:tcW w:w="646" w:type="dxa"/>
            <w:tcBorders/>
            <w:vAlign w:val="center"/>
          </w:tcPr>
          <w:p>
            <w:pPr>
              <w:pStyle w:val="TableContents"/>
              <w:bidi w:val="0"/>
              <w:spacing w:before="0" w:after="0"/>
              <w:ind w:left="0" w:right="15"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1592" w:type="dxa"/>
            <w:tcBorders/>
            <w:vAlign w:val="center"/>
          </w:tcPr>
          <w:p>
            <w:pPr>
              <w:pStyle w:val="TableContents"/>
              <w:bidi w:val="0"/>
              <w:spacing w:before="0" w:after="0"/>
              <w:ind w:left="0" w:right="16" w:hanging="0"/>
              <w:jc w:val="left"/>
              <w:rPr/>
            </w:pPr>
            <w:r>
              <w:rPr/>
              <w:t> </w:t>
            </w:r>
          </w:p>
        </w:tc>
        <w:tc>
          <w:tcPr>
            <w:tcW w:w="467" w:type="dxa"/>
            <w:tcBorders/>
            <w:vAlign w:val="center"/>
          </w:tcPr>
          <w:p>
            <w:pPr>
              <w:pStyle w:val="TableContents"/>
              <w:bidi w:val="0"/>
              <w:spacing w:before="0" w:after="0"/>
              <w:ind w:left="0" w:right="16"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3812" w:type="dxa"/>
            <w:tcBorders/>
            <w:vAlign w:val="center"/>
          </w:tcPr>
          <w:p>
            <w:pPr>
              <w:pStyle w:val="TableContents"/>
              <w:bidi w:val="0"/>
              <w:spacing w:before="0" w:after="0"/>
              <w:ind w:left="0" w:right="16" w:hanging="0"/>
              <w:jc w:val="left"/>
              <w:rPr>
                <w:rFonts w:ascii="Times New Roman" w:hAnsi="Times New Roman"/>
                <w:sz w:val="24"/>
              </w:rPr>
            </w:pPr>
            <w:r>
              <w:rPr>
                <w:rFonts w:ascii="Times New Roman;serif" w:hAnsi="Times New Roman;serif"/>
                <w:b w:val="false"/>
                <w:sz w:val="24"/>
              </w:rPr>
              <w:t xml:space="preserve">Jesús Llorca, </w:t>
            </w:r>
            <w:r>
              <w:rPr>
                <w:rFonts w:ascii="Times New Roman;serif" w:hAnsi="Times New Roman;serif"/>
                <w:b w:val="false"/>
                <w:i/>
                <w:sz w:val="24"/>
              </w:rPr>
              <w:t>Executive Vice President</w:t>
            </w:r>
          </w:p>
          <w:p>
            <w:pPr>
              <w:pStyle w:val="TableContents"/>
              <w:bidi w:val="0"/>
              <w:spacing w:before="0" w:after="0"/>
              <w:ind w:left="0" w:right="16" w:hanging="0"/>
              <w:jc w:val="left"/>
              <w:rPr>
                <w:rFonts w:ascii="Times New Roman;serif" w:hAnsi="Times New Roman;serif"/>
                <w:b w:val="false"/>
                <w:i/>
                <w:sz w:val="24"/>
              </w:rPr>
            </w:pPr>
            <w:r>
              <w:rPr>
                <w:rFonts w:ascii="Times New Roman;serif" w:hAnsi="Times New Roman;serif"/>
                <w:b w:val="false"/>
                <w:i/>
                <w:sz w:val="24"/>
              </w:rPr>
              <w:t>and Chief Financial Officer</w:t>
            </w:r>
          </w:p>
          <w:p>
            <w:pPr>
              <w:pStyle w:val="TableContents"/>
              <w:bidi w:val="0"/>
              <w:spacing w:before="0" w:after="0"/>
              <w:ind w:left="0" w:right="16" w:hanging="0"/>
              <w:jc w:val="left"/>
              <w:rPr>
                <w:rFonts w:ascii="Times New Roman;serif" w:hAnsi="Times New Roman;serif"/>
                <w:b w:val="false"/>
                <w:i/>
                <w:sz w:val="24"/>
              </w:rPr>
            </w:pPr>
            <w:r>
              <w:rPr>
                <w:rFonts w:ascii="Times New Roman;serif" w:hAnsi="Times New Roman;serif"/>
                <w:b w:val="false"/>
                <w:i/>
                <w:sz w:val="24"/>
              </w:rPr>
              <w:t>(Principal Financial Officer)</w:t>
            </w:r>
          </w:p>
          <w:p>
            <w:pPr>
              <w:pStyle w:val="TableContents"/>
              <w:bidi w:val="0"/>
              <w:spacing w:before="0" w:after="0"/>
              <w:ind w:left="0" w:right="16" w:hanging="0"/>
              <w:jc w:val="left"/>
              <w:rPr/>
            </w:pPr>
            <w:r>
              <w:rPr/>
              <w:t> </w:t>
            </w:r>
          </w:p>
        </w:tc>
      </w:tr>
      <w:tr>
        <w:trPr/>
        <w:tc>
          <w:tcPr>
            <w:tcW w:w="646" w:type="dxa"/>
            <w:tcBorders/>
            <w:vAlign w:val="center"/>
          </w:tcPr>
          <w:p>
            <w:pPr>
              <w:pStyle w:val="TableContents"/>
              <w:bidi w:val="0"/>
              <w:spacing w:before="0" w:after="0"/>
              <w:ind w:left="0" w:right="15" w:hanging="0"/>
              <w:jc w:val="center"/>
              <w:rPr>
                <w:rFonts w:ascii="Times New Roman;serif" w:hAnsi="Times New Roman;serif"/>
                <w:b w:val="false"/>
                <w:sz w:val="24"/>
              </w:rPr>
            </w:pPr>
            <w:r>
              <w:rPr>
                <w:rFonts w:ascii="Times New Roman;serif" w:hAnsi="Times New Roman;serif"/>
                <w:b w:val="false"/>
                <w:sz w:val="24"/>
              </w:rPr>
              <w:t>Date:</w:t>
            </w:r>
          </w:p>
        </w:tc>
        <w:tc>
          <w:tcPr>
            <w:tcW w:w="162" w:type="dxa"/>
            <w:tcBorders/>
            <w:vAlign w:val="center"/>
          </w:tcPr>
          <w:p>
            <w:pPr>
              <w:pStyle w:val="TableContents"/>
              <w:bidi w:val="0"/>
              <w:spacing w:before="0" w:after="0"/>
              <w:ind w:left="0" w:right="16" w:hanging="0"/>
              <w:jc w:val="left"/>
              <w:rPr/>
            </w:pPr>
            <w:r>
              <w:rPr/>
              <w:t> </w:t>
            </w:r>
          </w:p>
        </w:tc>
        <w:tc>
          <w:tcPr>
            <w:tcW w:w="1592" w:type="dxa"/>
            <w:tcBorders/>
            <w:vAlign w:val="center"/>
          </w:tcPr>
          <w:p>
            <w:pPr>
              <w:pStyle w:val="TableContents"/>
              <w:bidi w:val="0"/>
              <w:spacing w:before="0" w:after="0"/>
              <w:ind w:left="0" w:right="16" w:hanging="0"/>
              <w:jc w:val="left"/>
              <w:rPr>
                <w:rFonts w:ascii="Times New Roman;serif" w:hAnsi="Times New Roman;serif"/>
                <w:b w:val="false"/>
                <w:sz w:val="24"/>
              </w:rPr>
            </w:pPr>
            <w:r>
              <w:rPr>
                <w:rFonts w:ascii="Times New Roman;serif" w:hAnsi="Times New Roman;serif"/>
                <w:b w:val="false"/>
                <w:sz w:val="24"/>
              </w:rPr>
              <w:t>August 2, 2023</w:t>
            </w:r>
          </w:p>
        </w:tc>
        <w:tc>
          <w:tcPr>
            <w:tcW w:w="467" w:type="dxa"/>
            <w:tcBorders/>
            <w:vAlign w:val="center"/>
          </w:tcPr>
          <w:p>
            <w:pPr>
              <w:pStyle w:val="TableContents"/>
              <w:bidi w:val="0"/>
              <w:spacing w:before="0" w:after="0"/>
              <w:ind w:left="0" w:right="16" w:hanging="0"/>
              <w:jc w:val="left"/>
              <w:rPr>
                <w:rFonts w:ascii="Times New Roman;serif" w:hAnsi="Times New Roman;serif"/>
                <w:b w:val="false"/>
                <w:sz w:val="24"/>
              </w:rPr>
            </w:pPr>
            <w:r>
              <w:rPr>
                <w:rFonts w:ascii="Times New Roman;serif" w:hAnsi="Times New Roman;serif"/>
                <w:b w:val="false"/>
                <w:sz w:val="24"/>
              </w:rPr>
              <w:t>By:</w:t>
            </w:r>
          </w:p>
        </w:tc>
        <w:tc>
          <w:tcPr>
            <w:tcW w:w="162" w:type="dxa"/>
            <w:tcBorders/>
            <w:vAlign w:val="center"/>
          </w:tcPr>
          <w:p>
            <w:pPr>
              <w:pStyle w:val="TableContents"/>
              <w:bidi w:val="0"/>
              <w:spacing w:before="0" w:after="0"/>
              <w:ind w:left="0" w:right="16" w:hanging="0"/>
              <w:jc w:val="left"/>
              <w:rPr/>
            </w:pPr>
            <w:r>
              <w:rPr/>
              <w:t> </w:t>
            </w:r>
          </w:p>
        </w:tc>
        <w:tc>
          <w:tcPr>
            <w:tcW w:w="3812" w:type="dxa"/>
            <w:tcBorders>
              <w:bottom w:val="single" w:sz="6" w:space="0" w:color="000000"/>
            </w:tcBorders>
            <w:tcMar>
              <w:top w:w="0" w:type="dxa"/>
              <w:left w:w="0" w:type="dxa"/>
              <w:right w:w="0" w:type="dxa"/>
            </w:tcMar>
            <w:vAlign w:val="center"/>
          </w:tcPr>
          <w:p>
            <w:pPr>
              <w:pStyle w:val="TableContents"/>
              <w:bidi w:val="0"/>
              <w:spacing w:before="0" w:after="0"/>
              <w:ind w:left="0" w:right="16" w:hanging="0"/>
              <w:jc w:val="left"/>
              <w:rPr>
                <w:rFonts w:ascii="Times New Roman;serif" w:hAnsi="Times New Roman;serif"/>
                <w:b w:val="false"/>
                <w:sz w:val="24"/>
              </w:rPr>
            </w:pPr>
            <w:r>
              <w:rPr>
                <w:rFonts w:ascii="Times New Roman;serif" w:hAnsi="Times New Roman;serif"/>
                <w:b w:val="false"/>
                <w:sz w:val="24"/>
              </w:rPr>
              <w:t>/s/ Gregory S. Rossmiller</w:t>
            </w:r>
          </w:p>
        </w:tc>
      </w:tr>
      <w:tr>
        <w:trPr/>
        <w:tc>
          <w:tcPr>
            <w:tcW w:w="646" w:type="dxa"/>
            <w:tcBorders/>
            <w:vAlign w:val="center"/>
          </w:tcPr>
          <w:p>
            <w:pPr>
              <w:pStyle w:val="TableContents"/>
              <w:bidi w:val="0"/>
              <w:spacing w:before="0" w:after="0"/>
              <w:ind w:left="0" w:right="15"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1592" w:type="dxa"/>
            <w:tcBorders/>
            <w:vAlign w:val="center"/>
          </w:tcPr>
          <w:p>
            <w:pPr>
              <w:pStyle w:val="TableContents"/>
              <w:bidi w:val="0"/>
              <w:spacing w:before="0" w:after="0"/>
              <w:ind w:left="0" w:right="16" w:hanging="0"/>
              <w:jc w:val="left"/>
              <w:rPr/>
            </w:pPr>
            <w:r>
              <w:rPr/>
              <w:t> </w:t>
            </w:r>
          </w:p>
        </w:tc>
        <w:tc>
          <w:tcPr>
            <w:tcW w:w="467" w:type="dxa"/>
            <w:tcBorders/>
            <w:vAlign w:val="center"/>
          </w:tcPr>
          <w:p>
            <w:pPr>
              <w:pStyle w:val="TableContents"/>
              <w:bidi w:val="0"/>
              <w:spacing w:before="0" w:after="0"/>
              <w:ind w:left="0" w:right="16"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3812" w:type="dxa"/>
            <w:tcBorders/>
            <w:vAlign w:val="center"/>
          </w:tcPr>
          <w:p>
            <w:pPr>
              <w:pStyle w:val="TableContents"/>
              <w:bidi w:val="0"/>
              <w:spacing w:before="0" w:after="0"/>
              <w:ind w:left="0" w:right="16" w:hanging="0"/>
              <w:jc w:val="left"/>
              <w:rPr>
                <w:rFonts w:ascii="Times New Roman;serif" w:hAnsi="Times New Roman;serif"/>
                <w:b w:val="false"/>
                <w:sz w:val="24"/>
              </w:rPr>
            </w:pPr>
            <w:r>
              <w:rPr>
                <w:rFonts w:ascii="Times New Roman;serif" w:hAnsi="Times New Roman;serif"/>
                <w:b w:val="false"/>
                <w:sz w:val="24"/>
              </w:rPr>
              <w:t>Gregory S. Rossmiller,</w:t>
            </w:r>
          </w:p>
          <w:p>
            <w:pPr>
              <w:pStyle w:val="TableContents"/>
              <w:bidi w:val="0"/>
              <w:spacing w:before="0" w:after="0"/>
              <w:ind w:left="0" w:right="16" w:hanging="0"/>
              <w:jc w:val="left"/>
              <w:rPr>
                <w:rFonts w:ascii="Times New Roman" w:hAnsi="Times New Roman"/>
                <w:sz w:val="24"/>
              </w:rPr>
            </w:pPr>
            <w:r>
              <w:rPr>
                <w:rFonts w:ascii="Times New Roman;serif" w:hAnsi="Times New Roman;serif"/>
                <w:b w:val="false"/>
                <w:i/>
                <w:sz w:val="24"/>
              </w:rPr>
              <w:t>Senior</w:t>
            </w:r>
            <w:r>
              <w:rPr>
                <w:rFonts w:ascii="Times New Roman" w:hAnsi="Times New Roman"/>
                <w:sz w:val="24"/>
              </w:rPr>
              <w:t xml:space="preserve"> </w:t>
            </w:r>
            <w:r>
              <w:rPr>
                <w:rFonts w:ascii="Times New Roman;serif" w:hAnsi="Times New Roman;serif"/>
                <w:b w:val="false"/>
                <w:i/>
                <w:sz w:val="24"/>
              </w:rPr>
              <w:t>Vice President</w:t>
            </w:r>
          </w:p>
          <w:p>
            <w:pPr>
              <w:pStyle w:val="TableContents"/>
              <w:bidi w:val="0"/>
              <w:spacing w:before="0" w:after="0"/>
              <w:ind w:left="0" w:right="16" w:hanging="0"/>
              <w:jc w:val="left"/>
              <w:rPr>
                <w:rFonts w:ascii="Times New Roman;serif" w:hAnsi="Times New Roman;serif"/>
                <w:b w:val="false"/>
                <w:i/>
                <w:sz w:val="24"/>
              </w:rPr>
            </w:pPr>
            <w:r>
              <w:rPr>
                <w:rFonts w:ascii="Times New Roman;serif" w:hAnsi="Times New Roman;serif"/>
                <w:b w:val="false"/>
                <w:i/>
                <w:sz w:val="24"/>
              </w:rPr>
              <w:t>and Chief Accounting Officer</w:t>
            </w:r>
          </w:p>
          <w:p>
            <w:pPr>
              <w:pStyle w:val="TableContents"/>
              <w:bidi w:val="0"/>
              <w:spacing w:before="0" w:after="0"/>
              <w:ind w:left="0" w:right="16" w:hanging="0"/>
              <w:jc w:val="left"/>
              <w:rPr>
                <w:rFonts w:ascii="Times New Roman;serif" w:hAnsi="Times New Roman;serif"/>
                <w:b w:val="false"/>
                <w:i/>
                <w:sz w:val="24"/>
              </w:rPr>
            </w:pPr>
            <w:r>
              <w:rPr>
                <w:rFonts w:ascii="Times New Roman;serif" w:hAnsi="Times New Roman;serif"/>
                <w:b w:val="false"/>
                <w:i/>
                <w:sz w:val="24"/>
              </w:rPr>
              <w:t>(Principal Accounting Officer)</w:t>
            </w:r>
          </w:p>
          <w:p>
            <w:pPr>
              <w:pStyle w:val="TableContents"/>
              <w:bidi w:val="0"/>
              <w:spacing w:before="0" w:after="0"/>
              <w:ind w:left="0" w:right="16" w:hanging="0"/>
              <w:jc w:val="left"/>
              <w:rPr/>
            </w:pPr>
            <w:r>
              <w:rPr/>
              <w:t> </w:t>
            </w:r>
          </w:p>
        </w:tc>
      </w:tr>
    </w:tbl>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48</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3" w:name="smhi-ex31_1.htm"/>
      <w:bookmarkStart w:id="24" w:name="kssmhiex31_1"/>
      <w:bookmarkEnd w:id="23"/>
      <w:bookmarkEnd w:id="24"/>
      <w:r>
        <w:rPr>
          <w:rFonts w:ascii="Times New Roman;serif" w:hAnsi="Times New Roman;serif"/>
          <w:b/>
          <w:sz w:val="20"/>
        </w:rPr>
        <w:t>Exhibit 31.1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CHIEF EXECUTIVE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RULE 13a-14(a) AND 15d-14(a), AS AMENDED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John Gellert, certify that:</w:t>
      </w:r>
    </w:p>
    <w:p>
      <w:pPr>
        <w:pStyle w:val="TextBody"/>
        <w:bidi w:val="0"/>
        <w:spacing w:before="240" w:after="0"/>
        <w:jc w:val="left"/>
        <w:rPr>
          <w:rFonts w:ascii="Times New Roman" w:hAnsi="Times New Roman"/>
          <w:sz w:val="20"/>
        </w:rPr>
      </w:pPr>
      <w:r>
        <w:rPr>
          <w:rFonts w:ascii="Times New Roman;serif" w:hAnsi="Times New Roman;serif"/>
          <w:b w:val="false"/>
          <w:sz w:val="20"/>
        </w:rPr>
        <w:t>1.</w:t>
      </w:r>
      <w:r>
        <w:rPr>
          <w:rFonts w:ascii="Times New Roman" w:hAnsi="Times New Roman"/>
          <w:sz w:val="20"/>
        </w:rPr>
        <w:t xml:space="preserve"> </w:t>
      </w:r>
      <w:r>
        <w:rPr>
          <w:rFonts w:ascii="Times New Roman;serif" w:hAnsi="Times New Roman;serif"/>
          <w:b w:val="false"/>
          <w:sz w:val="20"/>
        </w:rPr>
        <w:t>I have reviewed this quarterly report on Form 10-Q of SEACOR Marine Holdings Inc.;</w:t>
      </w:r>
    </w:p>
    <w:p>
      <w:pPr>
        <w:pStyle w:val="TextBody"/>
        <w:bidi w:val="0"/>
        <w:spacing w:before="240" w:after="0"/>
        <w:jc w:val="left"/>
        <w:rPr>
          <w:rFonts w:ascii="Times New Roman" w:hAnsi="Times New Roman"/>
          <w:sz w:val="20"/>
        </w:rPr>
      </w:pPr>
      <w:r>
        <w:rPr>
          <w:rFonts w:ascii="Times New Roman;serif" w:hAnsi="Times New Roman;serif"/>
          <w:b w:val="false"/>
          <w:sz w:val="20"/>
        </w:rPr>
        <w:t>2.</w:t>
      </w:r>
      <w:r>
        <w:rPr>
          <w:rFonts w:ascii="Times New Roman" w:hAnsi="Times New Roman"/>
          <w:sz w:val="20"/>
        </w:rPr>
        <w:t xml:space="preserve"> </w:t>
      </w: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sz w:val="20"/>
        </w:rPr>
      </w:pPr>
      <w:r>
        <w:rPr>
          <w:rFonts w:ascii="Times New Roman;serif" w:hAnsi="Times New Roman;serif"/>
          <w:b w:val="false"/>
          <w:sz w:val="20"/>
        </w:rPr>
        <w:t>3.</w:t>
      </w:r>
      <w:r>
        <w:rPr>
          <w:rFonts w:ascii="Times New Roman" w:hAnsi="Times New Roman"/>
          <w:sz w:val="20"/>
        </w:rPr>
        <w:t xml:space="preserve"> </w:t>
      </w: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sz w:val="20"/>
        </w:rPr>
      </w:pPr>
      <w:r>
        <w:rPr>
          <w:rFonts w:ascii="Times New Roman;serif" w:hAnsi="Times New Roman;serif"/>
          <w:b w:val="false"/>
          <w:sz w:val="20"/>
        </w:rPr>
        <w:t>4.</w:t>
      </w:r>
      <w:r>
        <w:rPr>
          <w:rFonts w:ascii="Times New Roman" w:hAnsi="Times New Roman"/>
          <w:sz w:val="20"/>
        </w:rPr>
        <w:t xml:space="preserve"> </w:t>
      </w: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sz w:val="20"/>
        </w:rPr>
      </w:pPr>
      <w:r>
        <w:rPr>
          <w:rFonts w:ascii="Times New Roman;serif" w:hAnsi="Times New Roman;serif"/>
          <w:b w:val="false"/>
          <w:sz w:val="20"/>
        </w:rPr>
        <w:t>a)</w:t>
      </w:r>
      <w:r>
        <w:rPr>
          <w:rFonts w:ascii="Times New Roman" w:hAnsi="Times New Roman"/>
          <w:sz w:val="20"/>
        </w:rPr>
        <w:t xml:space="preserve"> </w:t>
      </w: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sz w:val="20"/>
        </w:rPr>
      </w:pPr>
      <w:r>
        <w:rPr>
          <w:rFonts w:ascii="Times New Roman;serif" w:hAnsi="Times New Roman;serif"/>
          <w:b w:val="false"/>
          <w:sz w:val="20"/>
        </w:rPr>
        <w:t>b)</w:t>
      </w:r>
      <w:r>
        <w:rPr>
          <w:rFonts w:ascii="Times New Roman" w:hAnsi="Times New Roman"/>
          <w:sz w:val="20"/>
        </w:rPr>
        <w:t xml:space="preserve"> </w:t>
      </w: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sz w:val="20"/>
        </w:rPr>
      </w:pPr>
      <w:r>
        <w:rPr>
          <w:rFonts w:ascii="Times New Roman;serif" w:hAnsi="Times New Roman;serif"/>
          <w:b w:val="false"/>
          <w:sz w:val="20"/>
        </w:rPr>
        <w:t>c)</w:t>
      </w:r>
      <w:r>
        <w:rPr>
          <w:rFonts w:ascii="Times New Roman" w:hAnsi="Times New Roman"/>
          <w:sz w:val="20"/>
        </w:rPr>
        <w:t xml:space="preserve"> </w:t>
      </w: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sz w:val="20"/>
        </w:rPr>
      </w:pPr>
      <w:r>
        <w:rPr>
          <w:rFonts w:ascii="Times New Roman;serif" w:hAnsi="Times New Roman;serif"/>
          <w:b w:val="false"/>
          <w:sz w:val="20"/>
        </w:rPr>
        <w:t>d)</w:t>
      </w:r>
      <w:r>
        <w:rPr>
          <w:rFonts w:ascii="Times New Roman" w:hAnsi="Times New Roman"/>
          <w:sz w:val="20"/>
        </w:rPr>
        <w:t xml:space="preserve"> </w:t>
      </w: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sz w:val="20"/>
        </w:rPr>
      </w:pPr>
      <w:r>
        <w:rPr>
          <w:rFonts w:ascii="Times New Roman;serif" w:hAnsi="Times New Roman;serif"/>
          <w:b w:val="false"/>
          <w:sz w:val="20"/>
        </w:rPr>
        <w:t>5.</w:t>
      </w:r>
      <w:r>
        <w:rPr>
          <w:rFonts w:ascii="Times New Roman" w:hAnsi="Times New Roman"/>
          <w:sz w:val="20"/>
        </w:rPr>
        <w:t xml:space="preserve"> </w:t>
      </w: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sz w:val="20"/>
        </w:rPr>
      </w:pPr>
      <w:r>
        <w:rPr>
          <w:rFonts w:ascii="Times New Roman;serif" w:hAnsi="Times New Roman;serif"/>
          <w:b w:val="false"/>
          <w:sz w:val="20"/>
        </w:rPr>
        <w:t>a)</w:t>
      </w:r>
      <w:r>
        <w:rPr>
          <w:rFonts w:ascii="Times New Roman" w:hAnsi="Times New Roman"/>
          <w:sz w:val="20"/>
        </w:rPr>
        <w:t xml:space="preserve"> </w:t>
      </w: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sz w:val="20"/>
        </w:rPr>
      </w:pPr>
      <w:r>
        <w:rPr>
          <w:rFonts w:ascii="Times New Roman;serif" w:hAnsi="Times New Roman;serif"/>
          <w:b w:val="false"/>
          <w:sz w:val="20"/>
        </w:rPr>
        <w:t>b)</w:t>
      </w:r>
      <w:r>
        <w:rPr>
          <w:rFonts w:ascii="Times New Roman" w:hAnsi="Times New Roman"/>
          <w:sz w:val="20"/>
        </w:rPr>
        <w:t xml:space="preserve"> </w:t>
      </w: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3887" w:type="dxa"/>
        <w:jc w:val="left"/>
        <w:tblInd w:w="0" w:type="dxa"/>
        <w:tblLayout w:type="fixed"/>
        <w:tblCellMar>
          <w:top w:w="28" w:type="dxa"/>
          <w:left w:w="28" w:type="dxa"/>
          <w:bottom w:w="28" w:type="dxa"/>
          <w:right w:w="28" w:type="dxa"/>
        </w:tblCellMar>
      </w:tblPr>
      <w:tblGrid>
        <w:gridCol w:w="646"/>
        <w:gridCol w:w="3241"/>
      </w:tblGrid>
      <w:tr>
        <w:trPr/>
        <w:tc>
          <w:tcPr>
            <w:tcW w:w="6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3887" w:type="dxa"/>
            <w:gridSpan w:val="2"/>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2, 2023</w:t>
            </w:r>
          </w:p>
        </w:tc>
      </w:tr>
      <w:tr>
        <w:trPr/>
        <w:tc>
          <w:tcPr>
            <w:tcW w:w="3887" w:type="dxa"/>
            <w:gridSpan w:val="2"/>
            <w:tcBorders/>
            <w:vAlign w:val="center"/>
          </w:tcPr>
          <w:p>
            <w:pPr>
              <w:pStyle w:val="TableContents"/>
              <w:bidi w:val="0"/>
              <w:spacing w:before="0" w:after="0"/>
              <w:ind w:left="0" w:right="0" w:hanging="0"/>
              <w:jc w:val="left"/>
              <w:rPr/>
            </w:pPr>
            <w:r>
              <w:rPr/>
              <w:t> </w:t>
            </w:r>
          </w:p>
        </w:tc>
      </w:tr>
      <w:tr>
        <w:trPr/>
        <w:tc>
          <w:tcPr>
            <w:tcW w:w="3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John Gellert</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John Gellert</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241"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President and Chief Executive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5" w:name="smhi-ex31_2.htm"/>
      <w:bookmarkStart w:id="26" w:name="kssmhiex31_2"/>
      <w:bookmarkEnd w:id="25"/>
      <w:bookmarkEnd w:id="26"/>
      <w:r>
        <w:rPr>
          <w:rFonts w:ascii="Times New Roman;serif" w:hAnsi="Times New Roman;serif"/>
          <w:b/>
          <w:sz w:val="20"/>
        </w:rPr>
        <w:t>Exhibit 31.2</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BY THE PRINCIPAL FINANCIAL OFFICER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 13a-14(a) AND RULE 15d-14(a), AS AMENDED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Jesús Llorca, certify that:</w:t>
      </w:r>
    </w:p>
    <w:p>
      <w:pPr>
        <w:pStyle w:val="TextBody"/>
        <w:bidi w:val="0"/>
        <w:spacing w:before="240" w:after="0"/>
        <w:jc w:val="left"/>
        <w:rPr>
          <w:rFonts w:ascii="Times New Roman" w:hAnsi="Times New Roman"/>
          <w:sz w:val="20"/>
        </w:rPr>
      </w:pPr>
      <w:r>
        <w:rPr>
          <w:rFonts w:ascii="Times New Roman;serif" w:hAnsi="Times New Roman;serif"/>
          <w:b w:val="false"/>
          <w:sz w:val="20"/>
        </w:rPr>
        <w:t>1.</w:t>
      </w:r>
      <w:r>
        <w:rPr>
          <w:rFonts w:ascii="Times New Roman" w:hAnsi="Times New Roman"/>
          <w:sz w:val="20"/>
        </w:rPr>
        <w:t xml:space="preserve"> </w:t>
      </w:r>
      <w:r>
        <w:rPr>
          <w:rFonts w:ascii="Times New Roman;serif" w:hAnsi="Times New Roman;serif"/>
          <w:b w:val="false"/>
          <w:sz w:val="20"/>
        </w:rPr>
        <w:t>I have reviewed this quarterly report on Form 10-Q of SEACOR Marine Holdings Inc.;</w:t>
      </w:r>
    </w:p>
    <w:p>
      <w:pPr>
        <w:pStyle w:val="TextBody"/>
        <w:bidi w:val="0"/>
        <w:spacing w:before="240" w:after="0"/>
        <w:jc w:val="left"/>
        <w:rPr>
          <w:rFonts w:ascii="Times New Roman" w:hAnsi="Times New Roman"/>
          <w:sz w:val="20"/>
        </w:rPr>
      </w:pPr>
      <w:r>
        <w:rPr>
          <w:rFonts w:ascii="Times New Roman;serif" w:hAnsi="Times New Roman;serif"/>
          <w:b w:val="false"/>
          <w:sz w:val="20"/>
        </w:rPr>
        <w:t>2.</w:t>
      </w:r>
      <w:r>
        <w:rPr>
          <w:rFonts w:ascii="Times New Roman" w:hAnsi="Times New Roman"/>
          <w:sz w:val="20"/>
        </w:rPr>
        <w:t xml:space="preserve"> </w:t>
      </w: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sz w:val="20"/>
        </w:rPr>
      </w:pPr>
      <w:r>
        <w:rPr>
          <w:rFonts w:ascii="Times New Roman;serif" w:hAnsi="Times New Roman;serif"/>
          <w:b w:val="false"/>
          <w:sz w:val="20"/>
        </w:rPr>
        <w:t>3.</w:t>
      </w:r>
      <w:r>
        <w:rPr>
          <w:rFonts w:ascii="Times New Roman" w:hAnsi="Times New Roman"/>
          <w:sz w:val="20"/>
        </w:rPr>
        <w:t xml:space="preserve"> </w:t>
      </w: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sz w:val="20"/>
        </w:rPr>
      </w:pPr>
      <w:r>
        <w:rPr>
          <w:rFonts w:ascii="Times New Roman;serif" w:hAnsi="Times New Roman;serif"/>
          <w:b w:val="false"/>
          <w:sz w:val="20"/>
        </w:rPr>
        <w:t>4.</w:t>
      </w:r>
      <w:r>
        <w:rPr>
          <w:rFonts w:ascii="Times New Roman" w:hAnsi="Times New Roman"/>
          <w:sz w:val="20"/>
        </w:rPr>
        <w:t xml:space="preserve"> </w:t>
      </w: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sz w:val="20"/>
        </w:rPr>
      </w:pPr>
      <w:r>
        <w:rPr>
          <w:rFonts w:ascii="Times New Roman;serif" w:hAnsi="Times New Roman;serif"/>
          <w:b w:val="false"/>
          <w:sz w:val="20"/>
        </w:rPr>
        <w:t>a)</w:t>
      </w:r>
      <w:r>
        <w:rPr>
          <w:rFonts w:ascii="Times New Roman" w:hAnsi="Times New Roman"/>
          <w:sz w:val="20"/>
        </w:rPr>
        <w:t xml:space="preserve"> </w:t>
      </w: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sz w:val="20"/>
        </w:rPr>
      </w:pPr>
      <w:r>
        <w:rPr>
          <w:rFonts w:ascii="Times New Roman;serif" w:hAnsi="Times New Roman;serif"/>
          <w:b w:val="false"/>
          <w:sz w:val="20"/>
        </w:rPr>
        <w:t>b)</w:t>
      </w:r>
      <w:r>
        <w:rPr>
          <w:rFonts w:ascii="Times New Roman" w:hAnsi="Times New Roman"/>
          <w:sz w:val="20"/>
        </w:rPr>
        <w:t xml:space="preserve"> </w:t>
      </w: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sz w:val="20"/>
        </w:rPr>
      </w:pPr>
      <w:r>
        <w:rPr>
          <w:rFonts w:ascii="Times New Roman;serif" w:hAnsi="Times New Roman;serif"/>
          <w:b w:val="false"/>
          <w:sz w:val="20"/>
        </w:rPr>
        <w:t>c)</w:t>
      </w:r>
      <w:r>
        <w:rPr>
          <w:rFonts w:ascii="Times New Roman" w:hAnsi="Times New Roman"/>
          <w:sz w:val="20"/>
        </w:rPr>
        <w:t xml:space="preserve"> </w:t>
      </w: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sz w:val="20"/>
        </w:rPr>
      </w:pPr>
      <w:r>
        <w:rPr>
          <w:rFonts w:ascii="Times New Roman;serif" w:hAnsi="Times New Roman;serif"/>
          <w:b w:val="false"/>
          <w:sz w:val="20"/>
        </w:rPr>
        <w:t>d)</w:t>
      </w:r>
      <w:r>
        <w:rPr>
          <w:rFonts w:ascii="Times New Roman" w:hAnsi="Times New Roman"/>
          <w:sz w:val="20"/>
        </w:rPr>
        <w:t xml:space="preserve"> </w:t>
      </w: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sz w:val="20"/>
        </w:rPr>
      </w:pPr>
      <w:r>
        <w:rPr>
          <w:rFonts w:ascii="Times New Roman;serif" w:hAnsi="Times New Roman;serif"/>
          <w:b w:val="false"/>
          <w:sz w:val="20"/>
        </w:rPr>
        <w:t>5.</w:t>
      </w:r>
      <w:r>
        <w:rPr>
          <w:rFonts w:ascii="Times New Roman" w:hAnsi="Times New Roman"/>
          <w:sz w:val="20"/>
        </w:rPr>
        <w:t xml:space="preserve"> </w:t>
      </w: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sz w:val="20"/>
        </w:rPr>
      </w:pPr>
      <w:r>
        <w:rPr>
          <w:rFonts w:ascii="Times New Roman;serif" w:hAnsi="Times New Roman;serif"/>
          <w:b w:val="false"/>
          <w:sz w:val="20"/>
        </w:rPr>
        <w:t>a)</w:t>
      </w:r>
      <w:r>
        <w:rPr>
          <w:rFonts w:ascii="Times New Roman" w:hAnsi="Times New Roman"/>
          <w:sz w:val="20"/>
        </w:rPr>
        <w:t xml:space="preserve"> </w:t>
      </w: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sz w:val="20"/>
        </w:rPr>
      </w:pPr>
      <w:r>
        <w:rPr>
          <w:rFonts w:ascii="Times New Roman;serif" w:hAnsi="Times New Roman;serif"/>
          <w:b w:val="false"/>
          <w:sz w:val="20"/>
        </w:rPr>
        <w:t>b)</w:t>
      </w:r>
      <w:r>
        <w:rPr>
          <w:rFonts w:ascii="Times New Roman" w:hAnsi="Times New Roman"/>
          <w:sz w:val="20"/>
        </w:rPr>
        <w:t xml:space="preserve"> </w:t>
      </w: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3182" w:type="dxa"/>
        <w:jc w:val="left"/>
        <w:tblInd w:w="0" w:type="dxa"/>
        <w:tblLayout w:type="fixed"/>
        <w:tblCellMar>
          <w:top w:w="28" w:type="dxa"/>
          <w:left w:w="28" w:type="dxa"/>
          <w:bottom w:w="28" w:type="dxa"/>
          <w:right w:w="28" w:type="dxa"/>
        </w:tblCellMar>
      </w:tblPr>
      <w:tblGrid>
        <w:gridCol w:w="646"/>
        <w:gridCol w:w="2536"/>
      </w:tblGrid>
      <w:tr>
        <w:trPr/>
        <w:tc>
          <w:tcPr>
            <w:tcW w:w="6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3182" w:type="dxa"/>
            <w:gridSpan w:val="2"/>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2, 2023</w:t>
            </w:r>
          </w:p>
        </w:tc>
      </w:tr>
      <w:tr>
        <w:trPr/>
        <w:tc>
          <w:tcPr>
            <w:tcW w:w="3182" w:type="dxa"/>
            <w:gridSpan w:val="2"/>
            <w:tcBorders/>
            <w:vAlign w:val="center"/>
          </w:tcPr>
          <w:p>
            <w:pPr>
              <w:pStyle w:val="TableContents"/>
              <w:bidi w:val="0"/>
              <w:spacing w:before="0" w:after="0"/>
              <w:ind w:left="0" w:right="0" w:hanging="0"/>
              <w:jc w:val="left"/>
              <w:rPr/>
            </w:pPr>
            <w:r>
              <w:rPr/>
              <w:t> </w:t>
            </w:r>
          </w:p>
        </w:tc>
      </w:tr>
      <w:tr>
        <w:trPr/>
        <w:tc>
          <w:tcPr>
            <w:tcW w:w="3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Jesús Llorca</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Jesús Llorca</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53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Executive Vice President and</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Financial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7" w:name="smhi-ex32.htm"/>
      <w:bookmarkStart w:id="28" w:name="kssmhiex32"/>
      <w:bookmarkEnd w:id="27"/>
      <w:bookmarkEnd w:id="28"/>
      <w:r>
        <w:rPr>
          <w:rFonts w:ascii="Times New Roman;serif" w:hAnsi="Times New Roman;serif"/>
          <w:b/>
          <w:sz w:val="20"/>
        </w:rPr>
        <w:t>Exhibit 32</w:t>
      </w:r>
      <w:r>
        <w:br w:type="page"/>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OF CHIEF EXECUTIVE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AND CHIEF FINANCIAL OFFICER 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BY SECTION 906 OF THE SARBANES-OXLEY ACT OF 2002</w:t>
      </w:r>
    </w:p>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Each of the undersigned, the Chief Executive Officer and the Chief Financial Officer of SEACOR Marine Holdings Inc. (the “Company”), hereby certifies, to the best of her/his knowledge and belief, that the Form 10-Q of the Company for the quarterly period ended June 30, 2023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pStyle w:val="TextBody"/>
        <w:bidi w:val="0"/>
        <w:spacing w:before="0" w:after="0"/>
        <w:jc w:val="both"/>
        <w:rPr/>
      </w:pPr>
      <w:r>
        <w:rPr/>
        <w:t> </w:t>
      </w:r>
    </w:p>
    <w:tbl>
      <w:tblPr>
        <w:tblW w:w="3887" w:type="dxa"/>
        <w:jc w:val="left"/>
        <w:tblInd w:w="0" w:type="dxa"/>
        <w:tblLayout w:type="fixed"/>
        <w:tblCellMar>
          <w:top w:w="28" w:type="dxa"/>
          <w:left w:w="28" w:type="dxa"/>
          <w:bottom w:w="28" w:type="dxa"/>
          <w:right w:w="28" w:type="dxa"/>
        </w:tblCellMar>
      </w:tblPr>
      <w:tblGrid>
        <w:gridCol w:w="646"/>
        <w:gridCol w:w="3241"/>
      </w:tblGrid>
      <w:tr>
        <w:trPr/>
        <w:tc>
          <w:tcPr>
            <w:tcW w:w="6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pPr>
            <w:r>
              <w:rPr/>
              <w:t> </w:t>
            </w:r>
          </w:p>
        </w:tc>
        <w:tc>
          <w:tcPr>
            <w:tcW w:w="3241" w:type="dxa"/>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2, 2023</w:t>
            </w:r>
          </w:p>
        </w:tc>
      </w:tr>
      <w:tr>
        <w:trPr/>
        <w:tc>
          <w:tcPr>
            <w:tcW w:w="388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3887" w:type="dxa"/>
            <w:gridSpan w:val="2"/>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John Gellert</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John Gellert</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241"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President and Chief Executive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bidi w:val="0"/>
        <w:spacing w:before="0" w:after="0"/>
        <w:jc w:val="left"/>
        <w:rPr/>
      </w:pPr>
      <w:r>
        <w:rPr/>
        <w:t> </w:t>
      </w:r>
    </w:p>
    <w:tbl>
      <w:tblPr>
        <w:tblW w:w="3182" w:type="dxa"/>
        <w:jc w:val="left"/>
        <w:tblInd w:w="0" w:type="dxa"/>
        <w:tblLayout w:type="fixed"/>
        <w:tblCellMar>
          <w:top w:w="28" w:type="dxa"/>
          <w:left w:w="28" w:type="dxa"/>
          <w:bottom w:w="28" w:type="dxa"/>
          <w:right w:w="28" w:type="dxa"/>
        </w:tblCellMar>
      </w:tblPr>
      <w:tblGrid>
        <w:gridCol w:w="646"/>
        <w:gridCol w:w="2536"/>
      </w:tblGrid>
      <w:tr>
        <w:trPr/>
        <w:tc>
          <w:tcPr>
            <w:tcW w:w="6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pPr>
            <w:r>
              <w:rPr/>
              <w:t> </w:t>
            </w:r>
          </w:p>
        </w:tc>
        <w:tc>
          <w:tcPr>
            <w:tcW w:w="2536" w:type="dxa"/>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2, 2023</w:t>
            </w:r>
          </w:p>
        </w:tc>
      </w:tr>
      <w:tr>
        <w:trPr/>
        <w:tc>
          <w:tcPr>
            <w:tcW w:w="3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3182" w:type="dxa"/>
            <w:gridSpan w:val="2"/>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Jesús Llorca</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Jesús Llorca</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53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Executive Vice President and</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Financial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0334/000119312523169488/d490128dex101.htm" TargetMode="External"/><Relationship Id="rId3" Type="http://schemas.openxmlformats.org/officeDocument/2006/relationships/hyperlink" Target="https://www.sec.gov/Archives/edgar/data/1690334/000119312523169488/d490128dex1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22574</Words>
  <Characters>117715</Characters>
  <CharactersWithSpaces>147145</CharactersWithSpaces>
  <Paragraphs>17915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