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2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9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0" w:lineRule="exact"/>
        <w:rPr>
          <w:sz w:val="24"/>
          <w:szCs w:val="24"/>
          <w:color w:val="auto"/>
        </w:rPr>
      </w:pPr>
    </w:p>
    <w:p>
      <w:pPr>
        <w:jc w:val="cente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1-37966</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SEACOR Marine Holdings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47-2564547</w:t>
            </w:r>
          </w:p>
        </w:tc>
      </w:tr>
      <w:tr>
        <w:trPr>
          <w:trHeight w:val="216"/>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556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2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338"/>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12121 Wickchester Lane, Suite 500, Houston, TX</w:t>
            </w:r>
          </w:p>
        </w:tc>
        <w:tc>
          <w:tcPr>
            <w:tcW w:w="3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77079</w:t>
            </w:r>
          </w:p>
        </w:tc>
      </w:tr>
      <w:tr>
        <w:trPr>
          <w:trHeight w:val="297"/>
        </w:trPr>
        <w:tc>
          <w:tcPr>
            <w:tcW w:w="556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2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96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7"/>
        </w:trPr>
        <w:tc>
          <w:tcPr>
            <w:tcW w:w="35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60" w:type="dxa"/>
            <w:vAlign w:val="bottom"/>
          </w:tcPr>
          <w:p>
            <w:pPr>
              <w:spacing w:after="0"/>
              <w:rPr>
                <w:sz w:val="20"/>
                <w:szCs w:val="20"/>
                <w:color w:val="auto"/>
              </w:rPr>
            </w:pPr>
          </w:p>
        </w:tc>
        <w:tc>
          <w:tcPr>
            <w:tcW w:w="242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rPr>
              <w:t>SMHI</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03" w:lineRule="exact"/>
        <w:rPr>
          <w:sz w:val="24"/>
          <w:szCs w:val="24"/>
          <w:color w:val="auto"/>
        </w:rPr>
      </w:pPr>
    </w:p>
    <w:p>
      <w:pPr>
        <w:jc w:val="both"/>
        <w:ind w:firstLine="74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74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276" w:right="339" w:bottom="1440" w:gutter="0" w:footer="0" w:header="0"/>
        </w:sectPr>
      </w:pP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spacing w:after="0"/>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Emerging growth</w:t>
      </w:r>
    </w:p>
    <w:p>
      <w:pPr>
        <w:spacing w:after="0" w:line="7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433" w:lineRule="exact"/>
        <w:rPr>
          <w:sz w:val="24"/>
          <w:szCs w:val="24"/>
          <w:color w:val="auto"/>
        </w:rPr>
      </w:pPr>
    </w:p>
    <w:p>
      <w:pPr>
        <w:sectPr>
          <w:pgSz w:w="11900" w:h="16838" w:orient="portrait"/>
          <w:cols w:equalWidth="0" w:num="9">
            <w:col w:w="1620" w:space="80"/>
            <w:col w:w="160" w:space="400"/>
            <w:col w:w="1200" w:space="500"/>
            <w:col w:w="160" w:space="400"/>
            <w:col w:w="1520" w:space="160"/>
            <w:col w:w="160" w:space="420"/>
            <w:col w:w="1260" w:space="420"/>
            <w:col w:w="1820" w:space="400"/>
            <w:col w:w="560"/>
          </w:cols>
          <w:pgMar w:left="320" w:top="1276" w:right="339" w:bottom="1440" w:gutter="0" w:footer="0" w:header="0"/>
          <w:type w:val="continuous"/>
        </w:sectPr>
      </w:pPr>
    </w:p>
    <w:p>
      <w:pPr>
        <w:ind w:firstLine="74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760"/>
        <w:spacing w:after="0" w:line="207" w:lineRule="exact"/>
        <w:tabs>
          <w:tab w:leader="none" w:pos="96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shares of common stock, par value $.01 per share (“Common Stock”), outstanding as of October 23, 2026 was 27,151,122.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20" w:type="dxa"/>
            <w:vAlign w:val="bottom"/>
            <w:gridSpan w:val="23"/>
          </w:tcPr>
          <w:p>
            <w:pPr>
              <w:jc w:val="center"/>
              <w:ind w:right="2520"/>
              <w:spacing w:after="0"/>
              <w:rPr>
                <w:sz w:val="20"/>
                <w:szCs w:val="20"/>
                <w:color w:val="auto"/>
              </w:rPr>
            </w:pPr>
            <w:r>
              <w:rPr>
                <w:rFonts w:ascii="Times New Roman" w:cs="Times New Roman" w:eastAsia="Times New Roman" w:hAnsi="Times New Roman"/>
                <w:sz w:val="22"/>
                <w:szCs w:val="22"/>
                <w:b w:val="1"/>
                <w:bCs w:val="1"/>
                <w:color w:val="auto"/>
                <w:w w:val="98"/>
              </w:rPr>
              <w:t>SEACOR MARINE HOLDINGS INC.</w:t>
            </w:r>
          </w:p>
        </w:tc>
        <w:tc>
          <w:tcPr>
            <w:tcW w:w="94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7"/>
          </w:tcPr>
          <w:p>
            <w:pPr>
              <w:jc w:val="center"/>
              <w:ind w:right="386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940" w:type="dxa"/>
            <w:vAlign w:val="bottom"/>
          </w:tcPr>
          <w:p>
            <w:pPr>
              <w:spacing w:after="0"/>
              <w:rPr>
                <w:sz w:val="24"/>
                <w:szCs w:val="24"/>
                <w:color w:val="auto"/>
              </w:rPr>
            </w:pPr>
          </w:p>
        </w:tc>
      </w:tr>
      <w:tr>
        <w:trPr>
          <w:trHeight w:val="407"/>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Part I.</w:t>
            </w:r>
          </w:p>
        </w:tc>
        <w:tc>
          <w:tcPr>
            <w:tcW w:w="9360" w:type="dxa"/>
            <w:vAlign w:val="bottom"/>
            <w:gridSpan w:val="33"/>
          </w:tcPr>
          <w:p>
            <w:pPr>
              <w:spacing w:after="0"/>
              <w:rPr>
                <w:sz w:val="20"/>
                <w:szCs w:val="20"/>
                <w:color w:val="auto"/>
              </w:rPr>
            </w:pPr>
            <w:r>
              <w:rPr>
                <w:rFonts w:ascii="Times New Roman" w:cs="Times New Roman" w:eastAsia="Times New Roman" w:hAnsi="Times New Roman"/>
                <w:sz w:val="22"/>
                <w:szCs w:val="22"/>
                <w:color w:val="0000FF"/>
              </w:rPr>
              <w:t>Financial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4"/>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1.</w:t>
            </w:r>
          </w:p>
        </w:tc>
        <w:tc>
          <w:tcPr>
            <w:tcW w:w="29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2"/>
                <w:szCs w:val="22"/>
                <w:color w:val="0000FF"/>
                <w:w w:val="97"/>
              </w:rPr>
              <w:t>Financial Statements (Unaudited)</w:t>
            </w:r>
          </w:p>
        </w:tc>
        <w:tc>
          <w:tcPr>
            <w:tcW w:w="20" w:type="dxa"/>
            <w:vAlign w:val="bottom"/>
            <w:tcBorders>
              <w:bottom w:val="single" w:sz="8" w:color="0000EE"/>
            </w:tcBorders>
          </w:tcPr>
          <w:p>
            <w:pPr>
              <w:spacing w:after="0"/>
              <w:rPr>
                <w:sz w:val="24"/>
                <w:szCs w:val="24"/>
                <w:color w:val="auto"/>
              </w:rPr>
            </w:pPr>
          </w:p>
        </w:tc>
        <w:tc>
          <w:tcPr>
            <w:tcW w:w="5500" w:type="dxa"/>
            <w:vAlign w:val="bottom"/>
            <w:gridSpan w:val="17"/>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Condensed Consolidated Balance Sheets as of September 30, 2026 and December 31, 2025</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0"/>
        </w:trPr>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Condensed Consolidated Statements of Income (Loss) for the Three and Nine Months Ended</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23"/>
        </w:trPr>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80" w:type="dxa"/>
            <w:vAlign w:val="bottom"/>
            <w:tcBorders>
              <w:top w:val="single" w:sz="8" w:color="0000FF"/>
              <w:bottom w:val="single" w:sz="8" w:color="0000FF"/>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FF"/>
                <w:w w:val="97"/>
              </w:rPr>
              <w:t>September 30, 2026 and 2025</w:t>
            </w:r>
          </w:p>
        </w:tc>
        <w:tc>
          <w:tcPr>
            <w:tcW w:w="20" w:type="dxa"/>
            <w:vAlign w:val="bottom"/>
            <w:tcBorders>
              <w:top w:val="single" w:sz="8" w:color="0000FF"/>
              <w:bottom w:val="single" w:sz="8" w:color="0000EE"/>
            </w:tcBorders>
          </w:tcPr>
          <w:p>
            <w:pPr>
              <w:spacing w:after="0"/>
              <w:rPr>
                <w:sz w:val="19"/>
                <w:szCs w:val="19"/>
                <w:color w:val="auto"/>
              </w:rPr>
            </w:pPr>
          </w:p>
        </w:tc>
        <w:tc>
          <w:tcPr>
            <w:tcW w:w="5480" w:type="dxa"/>
            <w:vAlign w:val="bottom"/>
            <w:tcBorders>
              <w:top w:val="single" w:sz="8" w:color="0000FF"/>
            </w:tcBorders>
            <w:gridSpan w:val="16"/>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4"/>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Condensed Consolidated Statements of Comprehensive Income (Loss) for the Three and Nine</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23"/>
        </w:trPr>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900" w:type="dxa"/>
            <w:vAlign w:val="bottom"/>
            <w:tcBorders>
              <w:top w:val="single" w:sz="8" w:color="0000FF"/>
              <w:bottom w:val="single" w:sz="8" w:color="0000FF"/>
            </w:tcBorders>
            <w:gridSpan w:val="16"/>
          </w:tcPr>
          <w:p>
            <w:pPr>
              <w:spacing w:after="0" w:line="223" w:lineRule="exact"/>
              <w:rPr>
                <w:sz w:val="20"/>
                <w:szCs w:val="20"/>
                <w:color w:val="auto"/>
              </w:rPr>
            </w:pPr>
            <w:r>
              <w:rPr>
                <w:rFonts w:ascii="Times New Roman" w:cs="Times New Roman" w:eastAsia="Times New Roman" w:hAnsi="Times New Roman"/>
                <w:sz w:val="22"/>
                <w:szCs w:val="22"/>
                <w:color w:val="0000FF"/>
                <w:w w:val="97"/>
              </w:rPr>
              <w:t>Months Ended September 30, 2026 and 2025</w:t>
            </w:r>
          </w:p>
        </w:tc>
        <w:tc>
          <w:tcPr>
            <w:tcW w:w="20" w:type="dxa"/>
            <w:vAlign w:val="bottom"/>
            <w:tcBorders>
              <w:top w:val="single" w:sz="8" w:color="0000FF"/>
              <w:bottom w:val="single" w:sz="8" w:color="0000EE"/>
            </w:tcBorders>
          </w:tcPr>
          <w:p>
            <w:pPr>
              <w:spacing w:after="0"/>
              <w:rPr>
                <w:sz w:val="19"/>
                <w:szCs w:val="19"/>
                <w:color w:val="auto"/>
              </w:rPr>
            </w:pPr>
          </w:p>
        </w:tc>
        <w:tc>
          <w:tcPr>
            <w:tcW w:w="3360" w:type="dxa"/>
            <w:vAlign w:val="bottom"/>
            <w:tcBorders>
              <w:top w:val="single" w:sz="8" w:color="0000FF"/>
            </w:tcBorders>
            <w:gridSpan w:val="7"/>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gridSpan w:val="3"/>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4"/>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w w:val="98"/>
              </w:rPr>
              <w:t>Condensed Consolidated Statements of Changes in Equity for the Three and Nine Months Ended</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23"/>
        </w:trPr>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80" w:type="dxa"/>
            <w:vAlign w:val="bottom"/>
            <w:tcBorders>
              <w:top w:val="single" w:sz="8" w:color="0000EE"/>
              <w:bottom w:val="single" w:sz="8" w:color="0000FF"/>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FF"/>
                <w:w w:val="97"/>
              </w:rPr>
              <w:t>September 30, 2026 and 2025</w:t>
            </w:r>
          </w:p>
        </w:tc>
        <w:tc>
          <w:tcPr>
            <w:tcW w:w="20" w:type="dxa"/>
            <w:vAlign w:val="bottom"/>
            <w:tcBorders>
              <w:top w:val="single" w:sz="8" w:color="0000EE"/>
              <w:bottom w:val="single" w:sz="8" w:color="0000EE"/>
            </w:tcBorders>
          </w:tcPr>
          <w:p>
            <w:pPr>
              <w:spacing w:after="0"/>
              <w:rPr>
                <w:sz w:val="19"/>
                <w:szCs w:val="19"/>
                <w:color w:val="auto"/>
              </w:rPr>
            </w:pPr>
          </w:p>
        </w:tc>
        <w:tc>
          <w:tcPr>
            <w:tcW w:w="3660" w:type="dxa"/>
            <w:vAlign w:val="bottom"/>
            <w:tcBorders>
              <w:top w:val="single" w:sz="8" w:color="0000EE"/>
            </w:tcBorders>
            <w:gridSpan w:val="9"/>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60" w:type="dxa"/>
            <w:vAlign w:val="bottom"/>
            <w:tcBorders>
              <w:top w:val="single" w:sz="8" w:color="0000FF"/>
            </w:tcBorders>
            <w:gridSpan w:val="3"/>
          </w:tcPr>
          <w:p>
            <w:pPr>
              <w:spacing w:after="0"/>
              <w:rPr>
                <w:sz w:val="19"/>
                <w:szCs w:val="19"/>
                <w:color w:val="auto"/>
              </w:rPr>
            </w:pPr>
          </w:p>
        </w:tc>
        <w:tc>
          <w:tcPr>
            <w:tcW w:w="460" w:type="dxa"/>
            <w:vAlign w:val="bottom"/>
            <w:tcBorders>
              <w:top w:val="single" w:sz="8" w:color="0000FF"/>
            </w:tcBorders>
            <w:gridSpan w:val="5"/>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940" w:type="dxa"/>
            <w:vAlign w:val="bottom"/>
          </w:tcPr>
          <w:p>
            <w:pPr>
              <w:spacing w:after="0"/>
              <w:rPr>
                <w:sz w:val="19"/>
                <w:szCs w:val="19"/>
                <w:color w:val="auto"/>
              </w:rPr>
            </w:pPr>
          </w:p>
        </w:tc>
      </w:tr>
      <w:tr>
        <w:trPr>
          <w:trHeight w:val="344"/>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Condensed Consolidated Statements of Cash Flows for the Nine Months Ended September 30,</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23"/>
        </w:trPr>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Borders>
              <w:top w:val="single" w:sz="8" w:color="0000FF"/>
              <w:bottom w:val="single" w:sz="8" w:color="0000FF"/>
            </w:tcBorders>
            <w:gridSpan w:val="6"/>
          </w:tcPr>
          <w:p>
            <w:pPr>
              <w:spacing w:after="0" w:line="223" w:lineRule="exact"/>
              <w:rPr>
                <w:sz w:val="20"/>
                <w:szCs w:val="20"/>
                <w:color w:val="auto"/>
              </w:rPr>
            </w:pPr>
            <w:r>
              <w:rPr>
                <w:rFonts w:ascii="Times New Roman" w:cs="Times New Roman" w:eastAsia="Times New Roman" w:hAnsi="Times New Roman"/>
                <w:sz w:val="22"/>
                <w:szCs w:val="22"/>
                <w:color w:val="0000FF"/>
                <w:w w:val="96"/>
              </w:rPr>
              <w:t>2026 and 2025</w:t>
            </w:r>
          </w:p>
        </w:tc>
        <w:tc>
          <w:tcPr>
            <w:tcW w:w="20" w:type="dxa"/>
            <w:vAlign w:val="bottom"/>
            <w:tcBorders>
              <w:top w:val="single" w:sz="8" w:color="0000FF"/>
              <w:bottom w:val="single" w:sz="8" w:color="0000EE"/>
            </w:tcBorders>
          </w:tcPr>
          <w:p>
            <w:pPr>
              <w:spacing w:after="0"/>
              <w:rPr>
                <w:sz w:val="19"/>
                <w:szCs w:val="19"/>
                <w:color w:val="auto"/>
              </w:rPr>
            </w:pPr>
          </w:p>
        </w:tc>
        <w:tc>
          <w:tcPr>
            <w:tcW w:w="6920" w:type="dxa"/>
            <w:vAlign w:val="bottom"/>
            <w:tcBorders>
              <w:top w:val="single" w:sz="8" w:color="0000FF"/>
            </w:tcBorders>
            <w:gridSpan w:val="24"/>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44"/>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Notes to Condensed Consolidated Financial Statements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0"/>
        </w:trPr>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20" w:type="dxa"/>
            <w:vAlign w:val="bottom"/>
            <w:tcBorders>
              <w:right w:val="single" w:sz="8" w:color="0000EE"/>
            </w:tcBorders>
            <w:gridSpan w:val="5"/>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2.</w:t>
            </w:r>
          </w:p>
        </w:tc>
        <w:tc>
          <w:tcPr>
            <w:tcW w:w="77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2"/>
                <w:szCs w:val="22"/>
                <w:color w:val="0000FF"/>
                <w:w w:val="97"/>
              </w:rPr>
              <w:t>Management’s Discussion and Analysis of Financial Condition and Results of Operations</w:t>
            </w:r>
          </w:p>
        </w:tc>
        <w:tc>
          <w:tcPr>
            <w:tcW w:w="66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344"/>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Quantitative and Qualitative Disclosures About Market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21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w w:val="97"/>
              </w:rPr>
              <w:t>Controls and Procedures</w:t>
            </w:r>
          </w:p>
        </w:tc>
        <w:tc>
          <w:tcPr>
            <w:tcW w:w="3100" w:type="dxa"/>
            <w:vAlign w:val="bottom"/>
            <w:tcBorders>
              <w:top w:val="single" w:sz="8" w:color="0000FF"/>
            </w:tcBorders>
            <w:gridSpan w:val="10"/>
          </w:tcPr>
          <w:p>
            <w:pPr>
              <w:spacing w:after="0"/>
              <w:rPr>
                <w:sz w:val="24"/>
                <w:szCs w:val="24"/>
                <w:color w:val="auto"/>
              </w:rPr>
            </w:pPr>
          </w:p>
        </w:tc>
        <w:tc>
          <w:tcPr>
            <w:tcW w:w="320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44"/>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Part II.</w:t>
            </w:r>
          </w:p>
        </w:tc>
        <w:tc>
          <w:tcPr>
            <w:tcW w:w="9360" w:type="dxa"/>
            <w:vAlign w:val="bottom"/>
            <w:gridSpan w:val="33"/>
          </w:tcPr>
          <w:p>
            <w:pPr>
              <w:spacing w:after="0"/>
              <w:rPr>
                <w:sz w:val="20"/>
                <w:szCs w:val="20"/>
                <w:color w:val="auto"/>
              </w:rPr>
            </w:pPr>
            <w:r>
              <w:rPr>
                <w:rFonts w:ascii="Times New Roman" w:cs="Times New Roman" w:eastAsia="Times New Roman" w:hAnsi="Times New Roman"/>
                <w:sz w:val="22"/>
                <w:szCs w:val="22"/>
                <w:color w:val="0000FF"/>
              </w:rPr>
              <w:t>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3220" w:type="dxa"/>
            <w:vAlign w:val="bottom"/>
            <w:gridSpan w:val="1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1.</w:t>
            </w:r>
          </w:p>
        </w:tc>
        <w:tc>
          <w:tcPr>
            <w:tcW w:w="16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2"/>
                <w:szCs w:val="22"/>
                <w:color w:val="0000FF"/>
                <w:w w:val="96"/>
              </w:rPr>
              <w:t>Legal Proceedings</w:t>
            </w:r>
          </w:p>
        </w:tc>
        <w:tc>
          <w:tcPr>
            <w:tcW w:w="6820" w:type="dxa"/>
            <w:vAlign w:val="bottom"/>
            <w:gridSpan w:val="23"/>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1A.</w:t>
            </w:r>
          </w:p>
        </w:tc>
        <w:tc>
          <w:tcPr>
            <w:tcW w:w="1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2"/>
                <w:szCs w:val="22"/>
                <w:color w:val="0000FF"/>
                <w:w w:val="95"/>
              </w:rPr>
              <w:t>Risk Factors</w:t>
            </w:r>
          </w:p>
        </w:tc>
        <w:tc>
          <w:tcPr>
            <w:tcW w:w="20" w:type="dxa"/>
            <w:vAlign w:val="bottom"/>
            <w:tcBorders>
              <w:bottom w:val="single" w:sz="8" w:color="0000EE"/>
            </w:tcBorders>
          </w:tcPr>
          <w:p>
            <w:pPr>
              <w:spacing w:after="0"/>
              <w:rPr>
                <w:sz w:val="24"/>
                <w:szCs w:val="24"/>
                <w:color w:val="auto"/>
              </w:rPr>
            </w:pPr>
          </w:p>
        </w:tc>
        <w:tc>
          <w:tcPr>
            <w:tcW w:w="7320" w:type="dxa"/>
            <w:vAlign w:val="bottom"/>
            <w:gridSpan w:val="27"/>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2.</w:t>
            </w: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Unregistered Sales of Equity Securities and Use of 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44"/>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3.</w:t>
            </w:r>
          </w:p>
        </w:tc>
        <w:tc>
          <w:tcPr>
            <w:tcW w:w="52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22"/>
                <w:szCs w:val="22"/>
                <w:color w:val="0000FF"/>
              </w:rPr>
              <w:t>Defaults Upon Senior Securities</w:t>
            </w:r>
          </w:p>
        </w:tc>
        <w:tc>
          <w:tcPr>
            <w:tcW w:w="3220" w:type="dxa"/>
            <w:vAlign w:val="bottom"/>
            <w:gridSpan w:val="13"/>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21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22"/>
                <w:szCs w:val="22"/>
                <w:color w:val="0000FF"/>
                <w:w w:val="97"/>
              </w:rPr>
              <w:t>Mine Safety Disclosures</w:t>
            </w:r>
          </w:p>
        </w:tc>
        <w:tc>
          <w:tcPr>
            <w:tcW w:w="660" w:type="dxa"/>
            <w:vAlign w:val="bottom"/>
            <w:tcBorders>
              <w:top w:val="single" w:sz="8" w:color="0000FF"/>
            </w:tcBorders>
            <w:gridSpan w:val="3"/>
          </w:tcPr>
          <w:p>
            <w:pPr>
              <w:spacing w:after="0"/>
              <w:rPr>
                <w:sz w:val="24"/>
                <w:szCs w:val="24"/>
                <w:color w:val="auto"/>
              </w:rPr>
            </w:pPr>
          </w:p>
        </w:tc>
        <w:tc>
          <w:tcPr>
            <w:tcW w:w="5640" w:type="dxa"/>
            <w:vAlign w:val="bottom"/>
            <w:gridSpan w:val="19"/>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8420" w:type="dxa"/>
            <w:vAlign w:val="bottom"/>
            <w:gridSpan w:val="32"/>
          </w:tcPr>
          <w:p>
            <w:pPr>
              <w:spacing w:after="0"/>
              <w:rPr>
                <w:sz w:val="20"/>
                <w:szCs w:val="20"/>
                <w:color w:val="auto"/>
              </w:rPr>
            </w:pPr>
            <w:r>
              <w:rPr>
                <w:rFonts w:ascii="Times New Roman" w:cs="Times New Roman" w:eastAsia="Times New Roman" w:hAnsi="Times New Roman"/>
                <w:sz w:val="22"/>
                <w:szCs w:val="22"/>
                <w:color w:val="0000FF"/>
              </w:rPr>
              <w:t>Other Information</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45"/>
        </w:trPr>
        <w:tc>
          <w:tcPr>
            <w:tcW w:w="9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5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2"/>
                <w:szCs w:val="22"/>
                <w:color w:val="0000FF"/>
              </w:rPr>
              <w:t>Exhibits</w:t>
            </w:r>
          </w:p>
        </w:tc>
        <w:tc>
          <w:tcPr>
            <w:tcW w:w="6860" w:type="dxa"/>
            <w:vAlign w:val="bottom"/>
            <w:gridSpan w:val="24"/>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491"/>
        </w:trPr>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7"/>
          </w:tcPr>
          <w:p>
            <w:pPr>
              <w:jc w:val="center"/>
              <w:ind w:right="3840"/>
              <w:spacing w:after="0"/>
              <w:rPr>
                <w:sz w:val="20"/>
                <w:szCs w:val="20"/>
                <w:color w:val="auto"/>
              </w:rPr>
            </w:pPr>
            <w:r>
              <w:rPr>
                <w:rFonts w:ascii="Times New Roman" w:cs="Times New Roman" w:eastAsia="Times New Roman" w:hAnsi="Times New Roman"/>
                <w:sz w:val="22"/>
                <w:szCs w:val="22"/>
                <w:color w:val="auto"/>
                <w:w w:val="97"/>
              </w:rPr>
              <w:t>i</w:t>
            </w:r>
          </w:p>
        </w:tc>
        <w:tc>
          <w:tcPr>
            <w:tcW w:w="940" w:type="dxa"/>
            <w:vAlign w:val="bottom"/>
          </w:tcPr>
          <w:p>
            <w:pPr>
              <w:spacing w:after="0"/>
              <w:rPr>
                <w:sz w:val="24"/>
                <w:szCs w:val="24"/>
                <w:color w:val="auto"/>
              </w:rPr>
            </w:pPr>
          </w:p>
        </w:tc>
      </w:tr>
      <w:tr>
        <w:trPr>
          <w:trHeight w:val="751"/>
        </w:trPr>
        <w:tc>
          <w:tcPr>
            <w:tcW w:w="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PART I—FINANCIAL INFORMATION</w:t>
      </w:r>
    </w:p>
    <w:p>
      <w:pPr>
        <w:spacing w:after="0" w:line="1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FINANCIAL STATEMENTS</w:t>
      </w:r>
    </w:p>
    <w:p>
      <w:pPr>
        <w:spacing w:after="0" w:line="5" w:lineRule="exact"/>
        <w:rPr>
          <w:sz w:val="20"/>
          <w:szCs w:val="20"/>
          <w:color w:val="auto"/>
        </w:rPr>
      </w:pPr>
    </w:p>
    <w:p>
      <w:pPr>
        <w:jc w:val="center"/>
        <w:spacing w:after="0" w:line="245" w:lineRule="auto"/>
        <w:rPr>
          <w:sz w:val="20"/>
          <w:szCs w:val="20"/>
          <w:color w:val="auto"/>
        </w:rPr>
      </w:pPr>
      <w:r>
        <w:rPr>
          <w:rFonts w:ascii="Times New Roman" w:cs="Times New Roman" w:eastAsia="Times New Roman" w:hAnsi="Times New Roman"/>
          <w:sz w:val="22"/>
          <w:szCs w:val="22"/>
          <w:b w:val="1"/>
          <w:bCs w:val="1"/>
          <w:color w:val="auto"/>
        </w:rPr>
        <w:t>SEACOR MARINE HOLDINGS INC. UNAUDITED CONDENSED CONSOLIDATED BALANCE SHEETS (in thousands, except share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29"/>
        </w:trPr>
        <w:tc>
          <w:tcPr>
            <w:tcW w:w="7560" w:type="dxa"/>
            <w:vAlign w:val="bottom"/>
            <w:shd w:val="clear" w:color="auto" w:fill="CFF0FC"/>
          </w:tcPr>
          <w:p>
            <w:pPr>
              <w:ind w:left="3540"/>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41,924</w:t>
            </w:r>
          </w:p>
        </w:tc>
        <w:tc>
          <w:tcPr>
            <w:tcW w:w="1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68,934</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33,666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24,182</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Receivables:</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Trade, net of allowance for credit loss of $4,134 and $4,135 as of September 30, 2026 and December 31, 2025, respectively</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66,828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64,522</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24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6,283</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3,965</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2,196</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Prepaid expenses and other</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6,098</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5,173</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Assets held for sale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10,812</w:t>
            </w:r>
          </w:p>
        </w:tc>
        <w:tc>
          <w:tcPr>
            <w:tcW w:w="120" w:type="dxa"/>
            <w:vAlign w:val="bottom"/>
          </w:tcPr>
          <w:p>
            <w:pPr>
              <w:spacing w:after="0"/>
              <w:rPr>
                <w:sz w:val="11"/>
                <w:szCs w:val="11"/>
                <w:color w:val="auto"/>
              </w:rPr>
            </w:pPr>
          </w:p>
        </w:tc>
      </w:tr>
      <w:tr>
        <w:trPr>
          <w:trHeight w:val="129"/>
        </w:trPr>
        <w:tc>
          <w:tcPr>
            <w:tcW w:w="7560" w:type="dxa"/>
            <w:vAlign w:val="bottom"/>
            <w:tcBorders>
              <w:bottom w:val="single" w:sz="8" w:color="CFF0FC"/>
            </w:tcBorders>
            <w:shd w:val="clear" w:color="auto" w:fill="CFF0FC"/>
          </w:tcPr>
          <w:p>
            <w:pPr>
              <w:ind w:left="240"/>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156,837</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179,784</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75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Property and Equipment: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Historical cost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747,581</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776,833</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Accumulated depreciation</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(353,151)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(348,812)</w:t>
            </w:r>
          </w:p>
        </w:tc>
      </w:tr>
      <w:tr>
        <w:trPr>
          <w:trHeight w:val="128"/>
        </w:trPr>
        <w:tc>
          <w:tcPr>
            <w:tcW w:w="7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394,430</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428,021</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Construction in progress</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61,485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47,002</w:t>
            </w:r>
          </w:p>
        </w:tc>
        <w:tc>
          <w:tcPr>
            <w:tcW w:w="120" w:type="dxa"/>
            <w:vAlign w:val="bottom"/>
          </w:tcPr>
          <w:p>
            <w:pPr>
              <w:spacing w:after="0"/>
              <w:rPr>
                <w:sz w:val="11"/>
                <w:szCs w:val="11"/>
                <w:color w:val="auto"/>
              </w:rPr>
            </w:pPr>
          </w:p>
        </w:tc>
      </w:tr>
      <w:tr>
        <w:trPr>
          <w:trHeight w:val="128"/>
        </w:trPr>
        <w:tc>
          <w:tcPr>
            <w:tcW w:w="7560" w:type="dxa"/>
            <w:vAlign w:val="bottom"/>
            <w:tcBorders>
              <w:bottom w:val="single" w:sz="8" w:color="CFF0FC"/>
            </w:tcBorders>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property and equipment</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455,915</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475,023</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75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Right-of-use asset - operating leases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784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982</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Right-of-use asset - finance leases</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102</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Investments, at equity, and advances to 50% or less owned companies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2,938</w:t>
            </w:r>
          </w:p>
        </w:tc>
        <w:tc>
          <w:tcPr>
            <w:tcW w:w="120" w:type="dxa"/>
            <w:vAlign w:val="bottom"/>
          </w:tcPr>
          <w:p>
            <w:pPr>
              <w:spacing w:after="0"/>
              <w:rPr>
                <w:sz w:val="11"/>
                <w:szCs w:val="11"/>
                <w:color w:val="auto"/>
              </w:rPr>
            </w:pPr>
          </w:p>
        </w:tc>
      </w:tr>
      <w:tr>
        <w:trPr>
          <w:trHeight w:val="135"/>
        </w:trPr>
        <w:tc>
          <w:tcPr>
            <w:tcW w:w="75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1,921</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1,855</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9"/>
        </w:trPr>
        <w:tc>
          <w:tcPr>
            <w:tcW w:w="756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32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616,515</w:t>
            </w:r>
          </w:p>
        </w:tc>
        <w:tc>
          <w:tcPr>
            <w:tcW w:w="160" w:type="dxa"/>
            <w:vAlign w:val="bottom"/>
          </w:tcPr>
          <w:p>
            <w:pPr>
              <w:spacing w:after="0"/>
              <w:rPr>
                <w:sz w:val="11"/>
                <w:szCs w:val="11"/>
                <w:color w:val="auto"/>
              </w:rPr>
            </w:pPr>
          </w:p>
        </w:tc>
        <w:tc>
          <w:tcPr>
            <w:tcW w:w="2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660,601</w:t>
            </w:r>
          </w:p>
        </w:tc>
        <w:tc>
          <w:tcPr>
            <w:tcW w:w="120" w:type="dxa"/>
            <w:vAlign w:val="bottom"/>
          </w:tcPr>
          <w:p>
            <w:pPr>
              <w:spacing w:after="0"/>
              <w:rPr>
                <w:sz w:val="11"/>
                <w:szCs w:val="1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7560" w:type="dxa"/>
            <w:vAlign w:val="bottom"/>
            <w:shd w:val="clear" w:color="auto" w:fill="CFF0FC"/>
          </w:tcPr>
          <w:p>
            <w:pPr>
              <w:ind w:left="2980"/>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35"/>
        </w:trPr>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3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464</w:t>
            </w:r>
          </w:p>
        </w:tc>
        <w:tc>
          <w:tcPr>
            <w:tcW w:w="16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405</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Current portion of finance lease liabilities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Current portion of long-term debt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31,048</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12,215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21,268</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wages and benefits</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3,848</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5,357</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capital, repair and maintenance expenditures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10,351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2,870</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Unearned revenue</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872</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1,096</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Accrued insurance deductibles and premiums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4,098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3,371</w:t>
            </w:r>
          </w:p>
        </w:tc>
        <w:tc>
          <w:tcPr>
            <w:tcW w:w="120" w:type="dxa"/>
            <w:vAlign w:val="bottom"/>
          </w:tcPr>
          <w:p>
            <w:pPr>
              <w:spacing w:after="0"/>
              <w:rPr>
                <w:sz w:val="11"/>
                <w:szCs w:val="11"/>
                <w:color w:val="auto"/>
              </w:rPr>
            </w:pPr>
          </w:p>
        </w:tc>
      </w:tr>
      <w:tr>
        <w:trPr>
          <w:trHeight w:val="135"/>
        </w:trPr>
        <w:tc>
          <w:tcPr>
            <w:tcW w:w="7560" w:type="dxa"/>
            <w:vAlign w:val="bottom"/>
            <w:tcBorders>
              <w:bottom w:val="single" w:sz="8" w:color="CFF0FC"/>
            </w:tcBorders>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8,293</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6,350</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756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71,213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70,729</w:t>
            </w:r>
          </w:p>
        </w:tc>
        <w:tc>
          <w:tcPr>
            <w:tcW w:w="120" w:type="dxa"/>
            <w:vAlign w:val="bottom"/>
          </w:tcPr>
          <w:p>
            <w:pPr>
              <w:spacing w:after="0"/>
              <w:rPr>
                <w:sz w:val="11"/>
                <w:szCs w:val="11"/>
                <w:color w:val="auto"/>
              </w:rPr>
            </w:pPr>
          </w:p>
        </w:tc>
      </w:tr>
      <w:tr>
        <w:trPr>
          <w:trHeight w:val="129"/>
        </w:trPr>
        <w:tc>
          <w:tcPr>
            <w:tcW w:w="7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Long-term operating lease liabilities</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477</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607</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Long-term finance lease liabilities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Long-term debt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281,935</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304,644</w:t>
            </w: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18,175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19,376</w:t>
            </w:r>
          </w:p>
        </w:tc>
        <w:tc>
          <w:tcPr>
            <w:tcW w:w="120" w:type="dxa"/>
            <w:vAlign w:val="bottom"/>
          </w:tcPr>
          <w:p>
            <w:pPr>
              <w:spacing w:after="0"/>
              <w:rPr>
                <w:sz w:val="11"/>
                <w:szCs w:val="11"/>
                <w:color w:val="auto"/>
              </w:rPr>
            </w:pPr>
          </w:p>
        </w:tc>
      </w:tr>
      <w:tr>
        <w:trPr>
          <w:trHeight w:val="135"/>
        </w:trPr>
        <w:tc>
          <w:tcPr>
            <w:tcW w:w="75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gains and other liabilities</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489</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565</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756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372,373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395,929</w:t>
            </w:r>
          </w:p>
        </w:tc>
        <w:tc>
          <w:tcPr>
            <w:tcW w:w="120" w:type="dxa"/>
            <w:vAlign w:val="bottom"/>
          </w:tcPr>
          <w:p>
            <w:pPr>
              <w:spacing w:after="0"/>
              <w:rPr>
                <w:sz w:val="11"/>
                <w:szCs w:val="11"/>
                <w:color w:val="auto"/>
              </w:rPr>
            </w:pPr>
          </w:p>
        </w:tc>
      </w:tr>
      <w:tr>
        <w:trPr>
          <w:trHeight w:val="128"/>
        </w:trPr>
        <w:tc>
          <w:tcPr>
            <w:tcW w:w="75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Equity:</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SEACOR Marine Holdings Inc. stockholders’ equity:</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7"/>
        </w:trPr>
        <w:tc>
          <w:tcPr>
            <w:tcW w:w="7560" w:type="dxa"/>
            <w:vAlign w:val="bottom"/>
            <w:shd w:val="clear" w:color="auto" w:fill="CFF0FC"/>
          </w:tcPr>
          <w:p>
            <w:pPr>
              <w:ind w:left="120"/>
              <w:spacing w:after="0" w:line="117" w:lineRule="exact"/>
              <w:rPr>
                <w:sz w:val="20"/>
                <w:szCs w:val="20"/>
                <w:color w:val="auto"/>
              </w:rPr>
            </w:pPr>
            <w:r>
              <w:rPr>
                <w:rFonts w:ascii="Times New Roman" w:cs="Times New Roman" w:eastAsia="Times New Roman" w:hAnsi="Times New Roman"/>
                <w:sz w:val="13"/>
                <w:szCs w:val="13"/>
                <w:color w:val="auto"/>
                <w:w w:val="98"/>
              </w:rPr>
              <w:t>Common stock, $.01 par value, 60,000,000 shares authorized; 28,482,267 and 28,049,242 shares issued as of September 30, 2026 and December</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53"/>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31, 2025, respectively</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20" w:type="dxa"/>
            <w:vAlign w:val="bottom"/>
            <w:shd w:val="clear" w:color="auto" w:fill="CFF0FC"/>
          </w:tcPr>
          <w:p>
            <w:pPr>
              <w:spacing w:after="0"/>
              <w:rPr>
                <w:sz w:val="13"/>
                <w:szCs w:val="13"/>
                <w:color w:val="auto"/>
              </w:rPr>
            </w:pP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475,603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471,862</w:t>
            </w:r>
          </w:p>
        </w:tc>
        <w:tc>
          <w:tcPr>
            <w:tcW w:w="120" w:type="dxa"/>
            <w:vAlign w:val="bottom"/>
          </w:tcPr>
          <w:p>
            <w:pPr>
              <w:spacing w:after="0"/>
              <w:rPr>
                <w:sz w:val="11"/>
                <w:szCs w:val="11"/>
                <w:color w:val="auto"/>
              </w:rPr>
            </w:pPr>
          </w:p>
        </w:tc>
      </w:tr>
      <w:tr>
        <w:trPr>
          <w:trHeight w:val="135"/>
        </w:trPr>
        <w:tc>
          <w:tcPr>
            <w:tcW w:w="75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5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(230,420)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5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(208,444)</w:t>
            </w:r>
          </w:p>
        </w:tc>
      </w:tr>
      <w:tr>
        <w:trPr>
          <w:trHeight w:val="135"/>
        </w:trPr>
        <w:tc>
          <w:tcPr>
            <w:tcW w:w="75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Shares held in treasury of 1,331,145 and 1,097,456 as of September 30, 2026 and December 31, 2025, respectively, at cost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(11,470)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(9,691)</w:t>
            </w:r>
          </w:p>
        </w:tc>
      </w:tr>
      <w:tr>
        <w:trPr>
          <w:trHeight w:val="135"/>
        </w:trPr>
        <w:tc>
          <w:tcPr>
            <w:tcW w:w="7560" w:type="dxa"/>
            <w:vAlign w:val="bottom"/>
            <w:tcBorders>
              <w:bottom w:val="single" w:sz="8" w:color="CFF0FC"/>
            </w:tcBorders>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 net of tax</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9,823</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10,344</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9"/>
        </w:trPr>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243,821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264,351</w:t>
            </w:r>
          </w:p>
        </w:tc>
        <w:tc>
          <w:tcPr>
            <w:tcW w:w="120" w:type="dxa"/>
            <w:vAlign w:val="bottom"/>
          </w:tcPr>
          <w:p>
            <w:pPr>
              <w:spacing w:after="0"/>
              <w:rPr>
                <w:sz w:val="11"/>
                <w:szCs w:val="11"/>
                <w:color w:val="auto"/>
              </w:rPr>
            </w:pPr>
          </w:p>
        </w:tc>
      </w:tr>
      <w:tr>
        <w:trPr>
          <w:trHeight w:val="135"/>
        </w:trPr>
        <w:tc>
          <w:tcPr>
            <w:tcW w:w="75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interests in subsidiaries</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756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auto"/>
              </w:rPr>
              <w:t>Total equity</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244,142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264,672</w:t>
            </w:r>
          </w:p>
        </w:tc>
        <w:tc>
          <w:tcPr>
            <w:tcW w:w="120" w:type="dxa"/>
            <w:vAlign w:val="bottom"/>
          </w:tcPr>
          <w:p>
            <w:pPr>
              <w:spacing w:after="0"/>
              <w:rPr>
                <w:sz w:val="11"/>
                <w:szCs w:val="11"/>
                <w:color w:val="auto"/>
              </w:rPr>
            </w:pPr>
          </w:p>
        </w:tc>
      </w:tr>
      <w:tr>
        <w:trPr>
          <w:trHeight w:val="148"/>
        </w:trPr>
        <w:tc>
          <w:tcPr>
            <w:tcW w:w="7560" w:type="dxa"/>
            <w:vAlign w:val="bottom"/>
            <w:shd w:val="clear" w:color="auto" w:fill="CFF0FC"/>
          </w:tcPr>
          <w:p>
            <w:pPr>
              <w:ind w:left="240"/>
              <w:spacing w:after="0" w:line="129" w:lineRule="exact"/>
              <w:rPr>
                <w:sz w:val="20"/>
                <w:szCs w:val="20"/>
                <w:color w:val="auto"/>
              </w:rPr>
            </w:pPr>
            <w:r>
              <w:rPr>
                <w:rFonts w:ascii="Times New Roman" w:cs="Times New Roman" w:eastAsia="Times New Roman" w:hAnsi="Times New Roman"/>
                <w:sz w:val="13"/>
                <w:szCs w:val="13"/>
                <w:color w:val="auto"/>
              </w:rPr>
              <w:t>Total liabilities and equity</w:t>
            </w:r>
          </w:p>
        </w:tc>
        <w:tc>
          <w:tcPr>
            <w:tcW w:w="32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616,515</w:t>
            </w:r>
          </w:p>
        </w:tc>
        <w:tc>
          <w:tcPr>
            <w:tcW w:w="1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660,601</w:t>
            </w:r>
          </w:p>
        </w:tc>
        <w:tc>
          <w:tcPr>
            <w:tcW w:w="120" w:type="dxa"/>
            <w:vAlign w:val="bottom"/>
            <w:shd w:val="clear" w:color="auto" w:fill="CFF0FC"/>
          </w:tcPr>
          <w:p>
            <w:pPr>
              <w:spacing w:after="0"/>
              <w:rPr>
                <w:sz w:val="12"/>
                <w:szCs w:val="12"/>
                <w:color w:val="auto"/>
              </w:rPr>
            </w:pP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-3668395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-3668395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-3128010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-3128010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-2776855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-2776855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-1713865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-1713865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-1182370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-393700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-393700</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-213360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-213360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INCOME (LOSS)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258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5"/>
        </w:trPr>
        <w:tc>
          <w:tcPr>
            <w:tcW w:w="6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59,194</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156,163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175,503</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9"/>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38,317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122,574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139,105</w:t>
            </w:r>
          </w:p>
        </w:tc>
        <w:tc>
          <w:tcPr>
            <w:tcW w:w="100" w:type="dxa"/>
            <w:vAlign w:val="bottom"/>
            <w:shd w:val="clear" w:color="auto" w:fill="CFF0FC"/>
          </w:tcPr>
          <w:p>
            <w:pPr>
              <w:spacing w:after="0"/>
              <w:rPr>
                <w:sz w:val="20"/>
                <w:szCs w:val="20"/>
                <w:color w:val="auto"/>
              </w:rPr>
            </w:pPr>
          </w:p>
        </w:tc>
      </w:tr>
      <w:tr>
        <w:trPr>
          <w:trHeight w:val="227"/>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100" w:type="dxa"/>
            <w:vAlign w:val="bottom"/>
          </w:tcPr>
          <w:p>
            <w:pPr>
              <w:spacing w:after="0"/>
              <w:rPr>
                <w:sz w:val="19"/>
                <w:szCs w:val="19"/>
                <w:color w:val="auto"/>
              </w:rPr>
            </w:pPr>
          </w:p>
        </w:tc>
      </w:tr>
      <w:tr>
        <w:trPr>
          <w:trHeight w:val="232"/>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Lease expense</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shd w:val="clear" w:color="auto" w:fill="CFF0FC"/>
          </w:tcPr>
          <w:p>
            <w:pPr>
              <w:spacing w:after="0"/>
              <w:rPr>
                <w:sz w:val="20"/>
                <w:szCs w:val="20"/>
                <w:color w:val="auto"/>
              </w:rPr>
            </w:pPr>
          </w:p>
        </w:tc>
      </w:tr>
      <w:tr>
        <w:trPr>
          <w:trHeight w:val="213"/>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37,025</w:t>
            </w:r>
          </w:p>
        </w:tc>
        <w:tc>
          <w:tcPr>
            <w:tcW w:w="100" w:type="dxa"/>
            <w:vAlign w:val="bottom"/>
          </w:tcPr>
          <w:p>
            <w:pPr>
              <w:spacing w:after="0"/>
              <w:rPr>
                <w:sz w:val="18"/>
                <w:szCs w:val="18"/>
                <w:color w:val="auto"/>
              </w:rPr>
            </w:pPr>
          </w:p>
        </w:tc>
      </w:tr>
      <w:tr>
        <w:trPr>
          <w:trHeight w:val="209"/>
        </w:trPr>
        <w:tc>
          <w:tcPr>
            <w:tcW w:w="60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58,642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71,358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186,760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211,825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(Losses) Gains on Asset Dispositions and Impairments, Net</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55,202</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(1,395)</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100" w:type="dxa"/>
            <w:vAlign w:val="bottom"/>
            <w:shd w:val="clear" w:color="auto" w:fill="CFF0FC"/>
          </w:tcPr>
          <w:p>
            <w:pPr>
              <w:spacing w:after="0"/>
              <w:rPr>
                <w:sz w:val="18"/>
                <w:szCs w:val="18"/>
                <w:color w:val="auto"/>
              </w:rPr>
            </w:pPr>
          </w:p>
        </w:tc>
      </w:tr>
      <w:tr>
        <w:trPr>
          <w:trHeight w:val="216"/>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9"/>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shd w:val="clear" w:color="auto" w:fill="CFF0FC"/>
          </w:tcPr>
          <w:p>
            <w:pPr>
              <w:spacing w:after="0"/>
              <w:rPr>
                <w:sz w:val="20"/>
                <w:szCs w:val="20"/>
                <w:color w:val="auto"/>
              </w:rPr>
            </w:pPr>
          </w:p>
        </w:tc>
      </w:tr>
      <w:tr>
        <w:trPr>
          <w:trHeight w:val="226"/>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(7,581)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(24,064)</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(27,377)</w:t>
            </w:r>
          </w:p>
        </w:tc>
      </w:tr>
      <w:tr>
        <w:trPr>
          <w:trHeight w:val="233"/>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Derivative gains, net</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FF0FC"/>
          </w:tcPr>
          <w:p>
            <w:pPr>
              <w:spacing w:after="0"/>
              <w:rPr>
                <w:sz w:val="20"/>
                <w:szCs w:val="20"/>
                <w:color w:val="auto"/>
              </w:rPr>
            </w:pPr>
          </w:p>
        </w:tc>
      </w:tr>
      <w:tr>
        <w:trPr>
          <w:trHeight w:val="227"/>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currency gains (losses), net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(302)</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(3,097)</w:t>
            </w:r>
          </w:p>
        </w:tc>
      </w:tr>
      <w:tr>
        <w:trPr>
          <w:trHeight w:val="232"/>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Gains on insurance claim settlement</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00" w:type="dxa"/>
            <w:vAlign w:val="bottom"/>
            <w:shd w:val="clear" w:color="auto" w:fill="CFF0FC"/>
          </w:tcPr>
          <w:p>
            <w:pPr>
              <w:spacing w:after="0"/>
              <w:rPr>
                <w:sz w:val="20"/>
                <w:szCs w:val="20"/>
                <w:color w:val="auto"/>
              </w:rPr>
            </w:pPr>
          </w:p>
        </w:tc>
      </w:tr>
      <w:tr>
        <w:trPr>
          <w:trHeight w:val="213"/>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r>
      <w:tr>
        <w:trPr>
          <w:trHeight w:val="20"/>
        </w:trPr>
        <w:tc>
          <w:tcPr>
            <w:tcW w:w="6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(6,941)</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(4,055)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(22,989)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(24,780)</w:t>
            </w:r>
          </w:p>
        </w:tc>
      </w:tr>
      <w:tr>
        <w:trPr>
          <w:trHeight w:val="185"/>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(Loss) Income Before Income Tax Expense and Equity in (Losses) Earnings of 50% or</w:t>
            </w: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Less Owned Companies</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(8,336)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(14,795)</w:t>
            </w: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(5,900)</w:t>
            </w:r>
          </w:p>
        </w:tc>
      </w:tr>
      <w:tr>
        <w:trPr>
          <w:trHeight w:val="216"/>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Equity in (Losses) Earnings of 50% or Less Owned Companies</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(9,410)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(22,028)</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(14,722)</w:t>
            </w:r>
          </w:p>
        </w:tc>
      </w:tr>
      <w:tr>
        <w:trPr>
          <w:trHeight w:val="23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(Losses) Earnings of 50% or Less Owned Companies</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FF0FC"/>
          </w:tcPr>
          <w:p>
            <w:pPr>
              <w:spacing w:after="0"/>
              <w:rPr>
                <w:sz w:val="20"/>
                <w:szCs w:val="20"/>
                <w:color w:val="auto"/>
              </w:rPr>
            </w:pP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(9,464)</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(21,976)</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(13,222)</w:t>
            </w:r>
          </w:p>
        </w:tc>
        <w:tc>
          <w:tcPr>
            <w:tcW w:w="10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Net (Loss) Earnings Per Share: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(0.36)</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(0.85)</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(0.50)</w:t>
            </w:r>
          </w:p>
        </w:tc>
      </w:tr>
      <w:tr>
        <w:trPr>
          <w:trHeight w:val="227"/>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(0.36)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(0.85)</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(0.50)</w:t>
            </w:r>
          </w:p>
        </w:tc>
      </w:tr>
      <w:tr>
        <w:trPr>
          <w:trHeight w:val="23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60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26,157,107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25,657,809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26,006,085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26,409,312</w:t>
            </w:r>
          </w:p>
        </w:tc>
        <w:tc>
          <w:tcPr>
            <w:tcW w:w="100" w:type="dxa"/>
            <w:vAlign w:val="bottom"/>
          </w:tcPr>
          <w:p>
            <w:pPr>
              <w:spacing w:after="0"/>
              <w:rPr>
                <w:sz w:val="19"/>
                <w:szCs w:val="19"/>
                <w:color w:val="auto"/>
              </w:rPr>
            </w:pPr>
          </w:p>
        </w:tc>
      </w:tr>
      <w:tr>
        <w:trPr>
          <w:trHeight w:val="233"/>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26,157,107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25,887,710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26,006,085</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26,409,312</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-4217035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-4217035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-4217035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-3342640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-3342640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-3342640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-3051175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-3051175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-3051175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-1885315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-1885315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-1885315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-1482090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-1482090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-1482090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COMPREHENSIVE INCOME (LOSS)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19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(9,464)</w:t>
            </w:r>
          </w:p>
        </w:tc>
        <w:tc>
          <w:tcPr>
            <w:tcW w:w="84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8,994</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(21,976)</w:t>
            </w:r>
          </w:p>
        </w:tc>
        <w:tc>
          <w:tcPr>
            <w:tcW w:w="50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(13,222)</w:t>
            </w:r>
          </w:p>
        </w:tc>
      </w:tr>
      <w:tr>
        <w:trPr>
          <w:trHeight w:val="196"/>
        </w:trPr>
        <w:tc>
          <w:tcPr>
            <w:tcW w:w="5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gains (losses)</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(686)</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20" w:type="dxa"/>
            <w:vAlign w:val="bottom"/>
            <w:shd w:val="clear" w:color="auto" w:fill="CFF0FC"/>
          </w:tcPr>
          <w:p>
            <w:pPr>
              <w:spacing w:after="0"/>
              <w:rPr>
                <w:sz w:val="17"/>
                <w:szCs w:val="17"/>
                <w:color w:val="auto"/>
              </w:rPr>
            </w:pPr>
          </w:p>
        </w:tc>
      </w:tr>
      <w:tr>
        <w:trPr>
          <w:trHeight w:val="196"/>
        </w:trPr>
        <w:tc>
          <w:tcPr>
            <w:tcW w:w="58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20" w:type="dxa"/>
            <w:vAlign w:val="bottom"/>
            <w:tcBorders>
              <w:bottom w:val="single" w:sz="8" w:color="CFF0FC"/>
            </w:tcBorders>
          </w:tcPr>
          <w:p>
            <w:pPr>
              <w:spacing w:after="0"/>
              <w:rPr>
                <w:sz w:val="17"/>
                <w:szCs w:val="17"/>
                <w:color w:val="auto"/>
              </w:rPr>
            </w:pPr>
          </w:p>
        </w:tc>
      </w:tr>
      <w:tr>
        <w:trPr>
          <w:trHeight w:val="23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8,308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(22,497)</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(10,069)</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-565150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-565150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-565150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-161925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CHANGES IN EQUITY</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3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1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880" w:type="dxa"/>
            <w:vAlign w:val="bottom"/>
            <w:gridSpan w:val="2"/>
          </w:tcPr>
          <w:p>
            <w:pPr>
              <w:jc w:val="right"/>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Held in</w:t>
            </w:r>
          </w:p>
        </w:tc>
        <w:tc>
          <w:tcPr>
            <w:tcW w:w="28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85"/>
              </w:rPr>
              <w:t>Treasury</w:t>
            </w:r>
          </w:p>
        </w:tc>
        <w:tc>
          <w:tcPr>
            <w:tcW w:w="12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16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Interests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23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28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3"/>
                <w:szCs w:val="13"/>
                <w:color w:val="auto"/>
              </w:rPr>
            </w:pPr>
          </w:p>
        </w:tc>
        <w:tc>
          <w:tcPr>
            <w:tcW w:w="8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08"/>
        </w:trPr>
        <w:tc>
          <w:tcPr>
            <w:tcW w:w="2380" w:type="dxa"/>
            <w:vAlign w:val="bottom"/>
            <w:tcBorders>
              <w:right w:val="single" w:sz="8" w:color="CFF0FC"/>
            </w:tcBorders>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For the Nine Months Ended September</w:t>
            </w:r>
          </w:p>
        </w:tc>
        <w:tc>
          <w:tcPr>
            <w:tcW w:w="94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52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left w:val="single" w:sz="8" w:color="CFF0FC"/>
            </w:tcBorders>
            <w:shd w:val="clear" w:color="auto" w:fill="CFF0FC"/>
          </w:tcPr>
          <w:p>
            <w:pPr>
              <w:spacing w:after="0"/>
              <w:rPr>
                <w:sz w:val="9"/>
                <w:szCs w:val="9"/>
                <w:color w:val="auto"/>
              </w:rPr>
            </w:pPr>
          </w:p>
        </w:tc>
        <w:tc>
          <w:tcPr>
            <w:tcW w:w="660" w:type="dxa"/>
            <w:vAlign w:val="bottom"/>
            <w:tcBorders>
              <w:top w:val="single" w:sz="8" w:color="auto"/>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50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80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top w:val="single" w:sz="8" w:color="auto"/>
              <w:left w:val="single" w:sz="8" w:color="CFF0FC"/>
            </w:tcBorders>
            <w:shd w:val="clear" w:color="auto" w:fill="CFF0FC"/>
          </w:tcPr>
          <w:p>
            <w:pPr>
              <w:spacing w:after="0"/>
              <w:rPr>
                <w:sz w:val="9"/>
                <w:szCs w:val="9"/>
                <w:color w:val="auto"/>
              </w:rPr>
            </w:pPr>
          </w:p>
        </w:tc>
        <w:tc>
          <w:tcPr>
            <w:tcW w:w="88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860" w:type="dxa"/>
            <w:vAlign w:val="bottom"/>
            <w:tcBorders>
              <w:top w:val="single" w:sz="8" w:color="auto"/>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55"/>
        </w:trPr>
        <w:tc>
          <w:tcPr>
            <w:tcW w:w="23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30, 2026</w:t>
            </w:r>
          </w:p>
        </w:tc>
        <w:tc>
          <w:tcPr>
            <w:tcW w:w="9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86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 2025</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26,951,786</w:t>
            </w:r>
          </w:p>
        </w:tc>
        <w:tc>
          <w:tcPr>
            <w:tcW w:w="2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471,862</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1,097,456</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(9,691)</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(208,444)</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10,344</w:t>
            </w:r>
          </w:p>
        </w:tc>
        <w:tc>
          <w:tcPr>
            <w:tcW w:w="18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3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264,672</w:t>
            </w:r>
          </w:p>
        </w:tc>
        <w:tc>
          <w:tcPr>
            <w:tcW w:w="100" w:type="dxa"/>
            <w:vAlign w:val="bottom"/>
          </w:tcPr>
          <w:p>
            <w:pPr>
              <w:spacing w:after="0"/>
              <w:rPr>
                <w:sz w:val="11"/>
                <w:szCs w:val="11"/>
                <w:color w:val="auto"/>
              </w:rPr>
            </w:pP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Excise tax on stock repurchase</w:t>
            </w:r>
          </w:p>
        </w:tc>
        <w:tc>
          <w:tcPr>
            <w:tcW w:w="11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220" w:type="dxa"/>
            <w:vAlign w:val="bottom"/>
            <w:tcBorders>
              <w:right w:val="single" w:sz="8" w:color="CFF0FC"/>
            </w:tcBorders>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FF0FC"/>
          </w:tcPr>
          <w:p>
            <w:pPr>
              <w:spacing w:after="0"/>
              <w:rPr>
                <w:sz w:val="11"/>
                <w:szCs w:val="11"/>
                <w:color w:val="auto"/>
              </w:rPr>
            </w:pP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restricted stock grants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307,755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Amortization of share awards</w:t>
            </w:r>
          </w:p>
        </w:tc>
        <w:tc>
          <w:tcPr>
            <w:tcW w:w="11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3,639</w:t>
            </w:r>
          </w:p>
        </w:tc>
        <w:tc>
          <w:tcPr>
            <w:tcW w:w="220" w:type="dxa"/>
            <w:vAlign w:val="bottom"/>
            <w:tcBorders>
              <w:right w:val="single" w:sz="8" w:color="CFF0FC"/>
            </w:tcBorders>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3,639</w:t>
            </w:r>
          </w:p>
        </w:tc>
        <w:tc>
          <w:tcPr>
            <w:tcW w:w="100" w:type="dxa"/>
            <w:vAlign w:val="bottom"/>
            <w:shd w:val="clear" w:color="auto" w:fill="CFF0FC"/>
          </w:tcPr>
          <w:p>
            <w:pPr>
              <w:spacing w:after="0"/>
              <w:rPr>
                <w:sz w:val="11"/>
                <w:szCs w:val="11"/>
                <w:color w:val="auto"/>
              </w:rPr>
            </w:pP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options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18,296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restricted stock vesting</w:t>
            </w:r>
          </w:p>
        </w:tc>
        <w:tc>
          <w:tcPr>
            <w:tcW w:w="114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(215,466)</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215,466</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(1,644)</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(1,644)</w:t>
            </w: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Performance restricted stock vesting</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18,202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12,721</w:t>
            </w:r>
          </w:p>
        </w:tc>
        <w:tc>
          <w:tcPr>
            <w:tcW w:w="2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(93)</w:t>
            </w: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Director restricted stock grants</w:t>
            </w:r>
          </w:p>
        </w:tc>
        <w:tc>
          <w:tcPr>
            <w:tcW w:w="94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81,477</w:t>
            </w:r>
          </w:p>
        </w:tc>
        <w:tc>
          <w:tcPr>
            <w:tcW w:w="2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Director restricted stock vesting</w:t>
            </w:r>
          </w:p>
        </w:tc>
        <w:tc>
          <w:tcPr>
            <w:tcW w:w="11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(5,502)</w:t>
            </w:r>
          </w:p>
        </w:tc>
        <w:tc>
          <w:tcPr>
            <w:tcW w:w="1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5,502</w:t>
            </w:r>
          </w:p>
        </w:tc>
        <w:tc>
          <w:tcPr>
            <w:tcW w:w="28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(42)</w:t>
            </w: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Forfeiture of employee share awards</w:t>
            </w:r>
          </w:p>
        </w:tc>
        <w:tc>
          <w:tcPr>
            <w:tcW w:w="114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(5,426)</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(21,976)</w:t>
            </w: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(21,976)</w:t>
            </w: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(521)</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(521)</w:t>
            </w:r>
          </w:p>
        </w:tc>
      </w:tr>
      <w:tr>
        <w:trPr>
          <w:trHeight w:val="20"/>
        </w:trPr>
        <w:tc>
          <w:tcPr>
            <w:tcW w:w="238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tcBorders>
              <w:left w:val="single" w:sz="8" w:color="CFF0FC"/>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28"/>
        </w:trPr>
        <w:tc>
          <w:tcPr>
            <w:tcW w:w="23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September 30, 2026</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27,151,122</w:t>
            </w:r>
          </w:p>
        </w:tc>
        <w:tc>
          <w:tcPr>
            <w:tcW w:w="20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285</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475,603</w:t>
            </w:r>
          </w:p>
        </w:tc>
        <w:tc>
          <w:tcPr>
            <w:tcW w:w="2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1,331,145</w:t>
            </w:r>
          </w:p>
        </w:tc>
        <w:tc>
          <w:tcPr>
            <w:tcW w:w="2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(11,470)</w:t>
            </w: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(230,420)</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9,823</w:t>
            </w:r>
          </w:p>
        </w:tc>
        <w:tc>
          <w:tcPr>
            <w:tcW w:w="18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321</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244,142</w:t>
            </w:r>
          </w:p>
        </w:tc>
        <w:tc>
          <w:tcPr>
            <w:tcW w:w="100" w:type="dxa"/>
            <w:vAlign w:val="bottom"/>
          </w:tcPr>
          <w:p>
            <w:pPr>
              <w:spacing w:after="0"/>
              <w:rPr>
                <w:sz w:val="11"/>
                <w:szCs w:val="11"/>
                <w:color w:val="auto"/>
              </w:rPr>
            </w:pPr>
          </w:p>
        </w:tc>
      </w:tr>
      <w:tr>
        <w:trPr>
          <w:trHeight w:val="20"/>
        </w:trPr>
        <w:tc>
          <w:tcPr>
            <w:tcW w:w="2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380" w:type="dxa"/>
            <w:vAlign w:val="bottom"/>
            <w:tcBorders>
              <w:right w:val="single" w:sz="8" w:color="CFF0FC"/>
            </w:tcBorders>
            <w:shd w:val="clear" w:color="auto" w:fill="CFF0FC"/>
          </w:tcPr>
          <w:p>
            <w:pPr>
              <w:spacing w:after="0"/>
              <w:rPr>
                <w:sz w:val="10"/>
                <w:szCs w:val="10"/>
                <w:color w:val="auto"/>
              </w:rPr>
            </w:pPr>
          </w:p>
        </w:tc>
        <w:tc>
          <w:tcPr>
            <w:tcW w:w="94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80" w:type="dxa"/>
            <w:vAlign w:val="bottom"/>
            <w:tcBorders>
              <w:right w:val="single" w:sz="8" w:color="CFF0FC"/>
            </w:tcBorders>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88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15"/>
        </w:trPr>
        <w:tc>
          <w:tcPr>
            <w:tcW w:w="238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For the Three Months Ended</w:t>
            </w: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380" w:type="dxa"/>
            <w:vAlign w:val="bottom"/>
            <w:tcBorders>
              <w:right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June 30, 2026</w:t>
            </w:r>
          </w:p>
        </w:tc>
        <w:tc>
          <w:tcPr>
            <w:tcW w:w="94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27,132,826</w:t>
            </w:r>
          </w:p>
        </w:tc>
        <w:tc>
          <w:tcPr>
            <w:tcW w:w="2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284</w:t>
            </w:r>
          </w:p>
        </w:tc>
        <w:tc>
          <w:tcPr>
            <w:tcW w:w="20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474,395</w:t>
            </w:r>
          </w:p>
        </w:tc>
        <w:tc>
          <w:tcPr>
            <w:tcW w:w="220" w:type="dxa"/>
            <w:vAlign w:val="bottom"/>
            <w:tcBorders>
              <w:right w:val="single" w:sz="8" w:color="CFF0FC"/>
            </w:tcBorders>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1,331,145</w:t>
            </w:r>
          </w:p>
        </w:tc>
        <w:tc>
          <w:tcPr>
            <w:tcW w:w="2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right w:val="single" w:sz="8" w:color="CFF0FC"/>
            </w:tcBorders>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(11,470)</w:t>
            </w:r>
          </w:p>
        </w:tc>
        <w:tc>
          <w:tcPr>
            <w:tcW w:w="120" w:type="dxa"/>
            <w:vAlign w:val="bottom"/>
            <w:tcBorders>
              <w:lef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(220,956)</w:t>
            </w:r>
          </w:p>
        </w:tc>
        <w:tc>
          <w:tcPr>
            <w:tcW w:w="100" w:type="dxa"/>
            <w:vAlign w:val="bottom"/>
            <w:tcBorders>
              <w:lef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9,738</w:t>
            </w:r>
          </w:p>
        </w:tc>
        <w:tc>
          <w:tcPr>
            <w:tcW w:w="18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32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252,312</w:t>
            </w:r>
          </w:p>
        </w:tc>
        <w:tc>
          <w:tcPr>
            <w:tcW w:w="100" w:type="dxa"/>
            <w:vAlign w:val="bottom"/>
            <w:shd w:val="clear" w:color="auto" w:fill="CFF0FC"/>
          </w:tcPr>
          <w:p>
            <w:pPr>
              <w:spacing w:after="0"/>
              <w:rPr>
                <w:sz w:val="11"/>
                <w:szCs w:val="11"/>
                <w:color w:val="auto"/>
              </w:rPr>
            </w:pP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restricted stock grants</w:t>
            </w:r>
          </w:p>
        </w:tc>
        <w:tc>
          <w:tcPr>
            <w:tcW w:w="11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Amortization of share awards</w:t>
            </w:r>
          </w:p>
        </w:tc>
        <w:tc>
          <w:tcPr>
            <w:tcW w:w="11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1,128</w:t>
            </w:r>
          </w:p>
        </w:tc>
        <w:tc>
          <w:tcPr>
            <w:tcW w:w="220" w:type="dxa"/>
            <w:vAlign w:val="bottom"/>
            <w:tcBorders>
              <w:right w:val="single" w:sz="8" w:color="CFF0FC"/>
            </w:tcBorders>
            <w:shd w:val="clear" w:color="auto" w:fill="CFF0FC"/>
          </w:tcPr>
          <w:p>
            <w:pPr>
              <w:spacing w:after="0"/>
              <w:rPr>
                <w:sz w:val="11"/>
                <w:szCs w:val="11"/>
                <w:color w:val="auto"/>
              </w:rPr>
            </w:pP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1,128</w:t>
            </w:r>
          </w:p>
        </w:tc>
        <w:tc>
          <w:tcPr>
            <w:tcW w:w="100" w:type="dxa"/>
            <w:vAlign w:val="bottom"/>
            <w:shd w:val="clear" w:color="auto" w:fill="CFF0FC"/>
          </w:tcPr>
          <w:p>
            <w:pPr>
              <w:spacing w:after="0"/>
              <w:rPr>
                <w:sz w:val="11"/>
                <w:szCs w:val="11"/>
                <w:color w:val="auto"/>
              </w:rPr>
            </w:pP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options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18,296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2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(9,464)</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(9,464)</w:t>
            </w: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1"/>
                <w:szCs w:val="11"/>
                <w:color w:val="auto"/>
              </w:rPr>
            </w:pPr>
          </w:p>
        </w:tc>
      </w:tr>
      <w:tr>
        <w:trPr>
          <w:trHeight w:val="168"/>
        </w:trPr>
        <w:tc>
          <w:tcPr>
            <w:tcW w:w="2380" w:type="dxa"/>
            <w:vAlign w:val="bottom"/>
            <w:tcBorders>
              <w:righ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September 30, 2026</w:t>
            </w:r>
          </w:p>
        </w:tc>
        <w:tc>
          <w:tcPr>
            <w:tcW w:w="94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27,151,122</w:t>
            </w:r>
          </w:p>
        </w:tc>
        <w:tc>
          <w:tcPr>
            <w:tcW w:w="20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285</w:t>
            </w:r>
          </w:p>
        </w:tc>
        <w:tc>
          <w:tcPr>
            <w:tcW w:w="20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right w:val="single" w:sz="8" w:color="CFF0FC"/>
            </w:tcBorders>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475,603</w:t>
            </w:r>
          </w:p>
        </w:tc>
        <w:tc>
          <w:tcPr>
            <w:tcW w:w="220" w:type="dxa"/>
            <w:vAlign w:val="bottom"/>
            <w:tcBorders>
              <w:right w:val="single" w:sz="8" w:color="CFF0FC"/>
            </w:tcBorders>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1,331,145</w:t>
            </w:r>
          </w:p>
        </w:tc>
        <w:tc>
          <w:tcPr>
            <w:tcW w:w="2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right w:val="single" w:sz="8" w:color="CFF0FC"/>
            </w:tcBorders>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(11,470)</w:t>
            </w:r>
          </w:p>
        </w:tc>
        <w:tc>
          <w:tcPr>
            <w:tcW w:w="120" w:type="dxa"/>
            <w:vAlign w:val="bottom"/>
            <w:tcBorders>
              <w:lef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(230,420)</w:t>
            </w:r>
          </w:p>
        </w:tc>
        <w:tc>
          <w:tcPr>
            <w:tcW w:w="100" w:type="dxa"/>
            <w:vAlign w:val="bottom"/>
            <w:tcBorders>
              <w:lef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9,823</w:t>
            </w:r>
          </w:p>
        </w:tc>
        <w:tc>
          <w:tcPr>
            <w:tcW w:w="18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321</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244,142</w:t>
            </w:r>
          </w:p>
        </w:tc>
        <w:tc>
          <w:tcPr>
            <w:tcW w:w="100" w:type="dxa"/>
            <w:vAlign w:val="bottom"/>
            <w:shd w:val="clear" w:color="auto" w:fill="CFF0FC"/>
          </w:tcPr>
          <w:p>
            <w:pPr>
              <w:spacing w:after="0"/>
              <w:rPr>
                <w:sz w:val="14"/>
                <w:szCs w:val="14"/>
                <w:color w:val="auto"/>
              </w:rPr>
            </w:pPr>
          </w:p>
        </w:tc>
      </w:tr>
      <w:tr>
        <w:trPr>
          <w:trHeight w:val="311"/>
        </w:trPr>
        <w:tc>
          <w:tcPr>
            <w:tcW w:w="23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Non-</w:t>
            </w: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35"/>
        </w:trPr>
        <w:tc>
          <w:tcPr>
            <w:tcW w:w="238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6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8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Controlling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4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88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2"/>
              </w:rPr>
              <w:t>Held in</w:t>
            </w:r>
          </w:p>
        </w:tc>
        <w:tc>
          <w:tcPr>
            <w:tcW w:w="28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74"/>
              </w:rPr>
              <w:t>Treasury</w:t>
            </w:r>
          </w:p>
        </w:tc>
        <w:tc>
          <w:tcPr>
            <w:tcW w:w="110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Interests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5"/>
        </w:trPr>
        <w:tc>
          <w:tcPr>
            <w:tcW w:w="238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280" w:type="dxa"/>
            <w:vAlign w:val="bottom"/>
          </w:tcPr>
          <w:p>
            <w:pPr>
              <w:spacing w:after="0"/>
              <w:rPr>
                <w:sz w:val="13"/>
                <w:szCs w:val="13"/>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89"/>
              </w:rPr>
              <w:t>Stock</w:t>
            </w:r>
          </w:p>
        </w:tc>
        <w:tc>
          <w:tcPr>
            <w:tcW w:w="120" w:type="dxa"/>
            <w:vAlign w:val="bottom"/>
          </w:tcPr>
          <w:p>
            <w:pPr>
              <w:spacing w:after="0"/>
              <w:rPr>
                <w:sz w:val="13"/>
                <w:szCs w:val="13"/>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3"/>
                <w:szCs w:val="13"/>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08"/>
        </w:trPr>
        <w:tc>
          <w:tcPr>
            <w:tcW w:w="2380" w:type="dxa"/>
            <w:vAlign w:val="bottom"/>
            <w:tcBorders>
              <w:right w:val="single" w:sz="8" w:color="CFF0FC"/>
            </w:tcBorders>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For the Nine Months Ended September</w:t>
            </w:r>
          </w:p>
        </w:tc>
        <w:tc>
          <w:tcPr>
            <w:tcW w:w="94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52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left w:val="single" w:sz="8" w:color="CFF0FC"/>
            </w:tcBorders>
            <w:shd w:val="clear" w:color="auto" w:fill="CFF0FC"/>
          </w:tcPr>
          <w:p>
            <w:pPr>
              <w:spacing w:after="0"/>
              <w:rPr>
                <w:sz w:val="9"/>
                <w:szCs w:val="9"/>
                <w:color w:val="auto"/>
              </w:rPr>
            </w:pPr>
          </w:p>
        </w:tc>
        <w:tc>
          <w:tcPr>
            <w:tcW w:w="660" w:type="dxa"/>
            <w:vAlign w:val="bottom"/>
            <w:tcBorders>
              <w:top w:val="single" w:sz="8" w:color="auto"/>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spacing w:after="0"/>
              <w:rPr>
                <w:sz w:val="9"/>
                <w:szCs w:val="9"/>
                <w:color w:val="auto"/>
              </w:rPr>
            </w:pPr>
          </w:p>
        </w:tc>
        <w:tc>
          <w:tcPr>
            <w:tcW w:w="280" w:type="dxa"/>
            <w:vAlign w:val="bottom"/>
            <w:tcBorders>
              <w:right w:val="single" w:sz="8" w:color="CFF0FC"/>
            </w:tcBorders>
            <w:shd w:val="clear" w:color="auto" w:fill="CFF0FC"/>
          </w:tcPr>
          <w:p>
            <w:pPr>
              <w:spacing w:after="0"/>
              <w:rPr>
                <w:sz w:val="9"/>
                <w:szCs w:val="9"/>
                <w:color w:val="auto"/>
              </w:rPr>
            </w:pPr>
          </w:p>
        </w:tc>
        <w:tc>
          <w:tcPr>
            <w:tcW w:w="50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80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top w:val="single" w:sz="8" w:color="auto"/>
              <w:left w:val="single" w:sz="8" w:color="CFF0FC"/>
            </w:tcBorders>
            <w:shd w:val="clear" w:color="auto" w:fill="CFF0FC"/>
          </w:tcPr>
          <w:p>
            <w:pPr>
              <w:spacing w:after="0"/>
              <w:rPr>
                <w:sz w:val="9"/>
                <w:szCs w:val="9"/>
                <w:color w:val="auto"/>
              </w:rPr>
            </w:pPr>
          </w:p>
        </w:tc>
        <w:tc>
          <w:tcPr>
            <w:tcW w:w="88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860" w:type="dxa"/>
            <w:vAlign w:val="bottom"/>
            <w:tcBorders>
              <w:top w:val="single" w:sz="8" w:color="auto"/>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55"/>
        </w:trPr>
        <w:tc>
          <w:tcPr>
            <w:tcW w:w="23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94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52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66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88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spacing w:after="0"/>
              <w:rPr>
                <w:sz w:val="13"/>
                <w:szCs w:val="13"/>
                <w:color w:val="auto"/>
              </w:rPr>
            </w:pPr>
          </w:p>
        </w:tc>
        <w:tc>
          <w:tcPr>
            <w:tcW w:w="86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35"/>
        </w:trPr>
        <w:tc>
          <w:tcPr>
            <w:tcW w:w="23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December 31, 2024</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27,669,361</w:t>
            </w:r>
          </w:p>
        </w:tc>
        <w:tc>
          <w:tcPr>
            <w:tcW w:w="20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w:t>
            </w:r>
          </w:p>
        </w:tc>
        <w:tc>
          <w:tcPr>
            <w:tcW w:w="20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479,283</w:t>
            </w:r>
          </w:p>
        </w:tc>
        <w:tc>
          <w:tcPr>
            <w:tcW w:w="22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796,965</w:t>
            </w:r>
          </w:p>
        </w:tc>
        <w:tc>
          <w:tcPr>
            <w:tcW w:w="2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(8,110)</w:t>
            </w:r>
          </w:p>
        </w:tc>
        <w:tc>
          <w:tcPr>
            <w:tcW w:w="160" w:type="dxa"/>
            <w:vAlign w:val="bottom"/>
          </w:tcPr>
          <w:p>
            <w:pPr>
              <w:spacing w:after="0"/>
              <w:rPr>
                <w:sz w:val="11"/>
                <w:szCs w:val="11"/>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(180,600)</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7,141</w:t>
            </w:r>
          </w:p>
        </w:tc>
        <w:tc>
          <w:tcPr>
            <w:tcW w:w="18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w:t>
            </w:r>
          </w:p>
        </w:tc>
        <w:tc>
          <w:tcPr>
            <w:tcW w:w="3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298,322</w:t>
            </w:r>
          </w:p>
        </w:tc>
        <w:tc>
          <w:tcPr>
            <w:tcW w:w="100" w:type="dxa"/>
            <w:vAlign w:val="bottom"/>
          </w:tcPr>
          <w:p>
            <w:pPr>
              <w:spacing w:after="0"/>
              <w:rPr>
                <w:sz w:val="11"/>
                <w:szCs w:val="11"/>
                <w:color w:val="auto"/>
              </w:rPr>
            </w:pP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1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(1,355,761)</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(7,076)</w:t>
            </w:r>
          </w:p>
        </w:tc>
        <w:tc>
          <w:tcPr>
            <w:tcW w:w="68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(7,089)</w:t>
            </w: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Repurchase of warrants</w:t>
            </w:r>
          </w:p>
        </w:tc>
        <w:tc>
          <w:tcPr>
            <w:tcW w:w="11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(6,668)</w:t>
            </w: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(6,668)</w:t>
            </w: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restricted stock grants</w:t>
            </w:r>
          </w:p>
        </w:tc>
        <w:tc>
          <w:tcPr>
            <w:tcW w:w="94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644,880</w:t>
            </w:r>
          </w:p>
        </w:tc>
        <w:tc>
          <w:tcPr>
            <w:tcW w:w="2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20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1"/>
                <w:szCs w:val="11"/>
                <w:color w:val="auto"/>
              </w:rPr>
            </w:pP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Amortization of share awards</w:t>
            </w:r>
          </w:p>
        </w:tc>
        <w:tc>
          <w:tcPr>
            <w:tcW w:w="11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4,690</w:t>
            </w:r>
          </w:p>
        </w:tc>
        <w:tc>
          <w:tcPr>
            <w:tcW w:w="22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4,690</w:t>
            </w:r>
          </w:p>
        </w:tc>
        <w:tc>
          <w:tcPr>
            <w:tcW w:w="100" w:type="dxa"/>
            <w:vAlign w:val="bottom"/>
          </w:tcPr>
          <w:p>
            <w:pPr>
              <w:spacing w:after="0"/>
              <w:rPr>
                <w:sz w:val="11"/>
                <w:szCs w:val="11"/>
                <w:color w:val="auto"/>
              </w:rPr>
            </w:pP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restricted stock vesting</w:t>
            </w:r>
          </w:p>
        </w:tc>
        <w:tc>
          <w:tcPr>
            <w:tcW w:w="11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(216,874)</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216,874</w:t>
            </w:r>
          </w:p>
        </w:tc>
        <w:tc>
          <w:tcPr>
            <w:tcW w:w="280" w:type="dxa"/>
            <w:vAlign w:val="bottom"/>
            <w:tcBorders>
              <w:right w:val="single" w:sz="8" w:color="CFF0FC"/>
            </w:tcBorders>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(1,141)</w:t>
            </w:r>
          </w:p>
        </w:tc>
        <w:tc>
          <w:tcPr>
            <w:tcW w:w="16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(1,141)</w:t>
            </w: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Performance restricted stock vesting</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110,741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74,189</w:t>
            </w:r>
          </w:p>
        </w:tc>
        <w:tc>
          <w:tcPr>
            <w:tcW w:w="2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(377)</w:t>
            </w: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Director restricted stock grants</w:t>
            </w:r>
          </w:p>
        </w:tc>
        <w:tc>
          <w:tcPr>
            <w:tcW w:w="94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125,923</w:t>
            </w:r>
          </w:p>
        </w:tc>
        <w:tc>
          <w:tcPr>
            <w:tcW w:w="2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52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8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Director restricted stock vesting</w:t>
            </w:r>
          </w:p>
        </w:tc>
        <w:tc>
          <w:tcPr>
            <w:tcW w:w="11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(2,011)</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2,011</w:t>
            </w:r>
          </w:p>
        </w:tc>
        <w:tc>
          <w:tcPr>
            <w:tcW w:w="2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w:t>
            </w: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9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(13,222)</w:t>
            </w: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(13,222)</w:t>
            </w: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3,153</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3,153</w:t>
            </w:r>
          </w:p>
        </w:tc>
        <w:tc>
          <w:tcPr>
            <w:tcW w:w="100" w:type="dxa"/>
            <w:vAlign w:val="bottom"/>
          </w:tcPr>
          <w:p>
            <w:pPr>
              <w:spacing w:after="0"/>
              <w:rPr>
                <w:sz w:val="11"/>
                <w:szCs w:val="11"/>
                <w:color w:val="auto"/>
              </w:rPr>
            </w:pPr>
          </w:p>
        </w:tc>
      </w:tr>
      <w:tr>
        <w:trPr>
          <w:trHeight w:val="110"/>
        </w:trPr>
        <w:tc>
          <w:tcPr>
            <w:tcW w:w="2380" w:type="dxa"/>
            <w:vAlign w:val="bottom"/>
            <w:tcBorders>
              <w:right w:val="single" w:sz="8" w:color="CFF0FC"/>
            </w:tcBorders>
            <w:shd w:val="clear" w:color="auto" w:fill="CFF0FC"/>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September 30, 2025</w:t>
            </w:r>
          </w:p>
        </w:tc>
        <w:tc>
          <w:tcPr>
            <w:tcW w:w="94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52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6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jc w:val="right"/>
              <w:ind w:right="17"/>
              <w:spacing w:after="0" w:line="110" w:lineRule="exact"/>
              <w:rPr>
                <w:sz w:val="20"/>
                <w:szCs w:val="20"/>
                <w:color w:val="auto"/>
              </w:rPr>
            </w:pPr>
            <w:r>
              <w:rPr>
                <w:rFonts w:ascii="Times New Roman" w:cs="Times New Roman" w:eastAsia="Times New Roman" w:hAnsi="Times New Roman"/>
                <w:sz w:val="12"/>
                <w:szCs w:val="12"/>
                <w:color w:val="auto"/>
              </w:rPr>
              <w:t>1,090,03</w:t>
            </w:r>
          </w:p>
        </w:tc>
        <w:tc>
          <w:tcPr>
            <w:tcW w:w="280" w:type="dxa"/>
            <w:vAlign w:val="bottom"/>
            <w:tcBorders>
              <w:right w:val="single" w:sz="8" w:color="CFF0FC"/>
            </w:tcBorders>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left w:val="single" w:sz="8" w:color="CFF0FC"/>
            </w:tcBorders>
            <w:shd w:val="clear" w:color="auto" w:fill="CFF0FC"/>
          </w:tcPr>
          <w:p>
            <w:pPr>
              <w:spacing w:after="0"/>
              <w:rPr>
                <w:sz w:val="9"/>
                <w:szCs w:val="9"/>
                <w:color w:val="auto"/>
              </w:rPr>
            </w:pPr>
          </w:p>
        </w:tc>
        <w:tc>
          <w:tcPr>
            <w:tcW w:w="880" w:type="dxa"/>
            <w:vAlign w:val="bottom"/>
            <w:tcBorders>
              <w:right w:val="single" w:sz="8" w:color="CFF0FC"/>
            </w:tcBorders>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20" w:type="dxa"/>
            <w:vAlign w:val="bottom"/>
            <w:tcBorders>
              <w:left w:val="single" w:sz="8" w:color="CFF0FC"/>
            </w:tcBorders>
            <w:shd w:val="clear" w:color="auto" w:fill="CFF0FC"/>
          </w:tcPr>
          <w:p>
            <w:pPr>
              <w:spacing w:after="0"/>
              <w:rPr>
                <w:sz w:val="9"/>
                <w:szCs w:val="9"/>
                <w:color w:val="auto"/>
              </w:rPr>
            </w:pPr>
          </w:p>
        </w:tc>
        <w:tc>
          <w:tcPr>
            <w:tcW w:w="860" w:type="dxa"/>
            <w:vAlign w:val="bottom"/>
            <w:tcBorders>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93"/>
        </w:trPr>
        <w:tc>
          <w:tcPr>
            <w:tcW w:w="2380" w:type="dxa"/>
            <w:vAlign w:val="bottom"/>
            <w:tcBorders>
              <w:right w:val="single" w:sz="8" w:color="CFF0FC"/>
            </w:tcBorders>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26,976,259</w:t>
            </w:r>
          </w:p>
        </w:tc>
        <w:tc>
          <w:tcPr>
            <w:tcW w:w="20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00" w:type="dxa"/>
            <w:vAlign w:val="bottom"/>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470,228</w:t>
            </w:r>
          </w:p>
        </w:tc>
        <w:tc>
          <w:tcPr>
            <w:tcW w:w="220" w:type="dxa"/>
            <w:vAlign w:val="bottom"/>
            <w:tcBorders>
              <w:right w:val="single" w:sz="8" w:color="CFF0FC"/>
            </w:tcBorders>
            <w:shd w:val="clear" w:color="auto" w:fill="CFF0FC"/>
          </w:tcPr>
          <w:p>
            <w:pPr>
              <w:spacing w:after="0"/>
              <w:rPr>
                <w:sz w:val="16"/>
                <w:szCs w:val="16"/>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(9,639)</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(193,822)</w:t>
            </w:r>
          </w:p>
        </w:tc>
        <w:tc>
          <w:tcPr>
            <w:tcW w:w="10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10,294</w:t>
            </w: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277,663</w:t>
            </w:r>
          </w:p>
        </w:tc>
        <w:tc>
          <w:tcPr>
            <w:tcW w:w="100" w:type="dxa"/>
            <w:vAlign w:val="bottom"/>
            <w:shd w:val="clear" w:color="auto" w:fill="CFF0FC"/>
          </w:tcPr>
          <w:p>
            <w:pPr>
              <w:spacing w:after="0"/>
              <w:rPr>
                <w:sz w:val="16"/>
                <w:szCs w:val="16"/>
                <w:color w:val="auto"/>
              </w:rPr>
            </w:pPr>
          </w:p>
        </w:tc>
      </w:tr>
      <w:tr>
        <w:trPr>
          <w:trHeight w:val="230"/>
        </w:trPr>
        <w:tc>
          <w:tcPr>
            <w:tcW w:w="2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For the Three Months Ended September</w:t>
            </w:r>
          </w:p>
        </w:tc>
        <w:tc>
          <w:tcPr>
            <w:tcW w:w="94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155"/>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7"/>
        </w:trPr>
        <w:tc>
          <w:tcPr>
            <w:tcW w:w="2380" w:type="dxa"/>
            <w:vAlign w:val="bottom"/>
            <w:tcBorders>
              <w:right w:val="single" w:sz="8" w:color="CFF0FC"/>
            </w:tcBorders>
            <w:shd w:val="clear" w:color="auto" w:fill="CFF0FC"/>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June 30, 2025</w:t>
            </w:r>
          </w:p>
        </w:tc>
        <w:tc>
          <w:tcPr>
            <w:tcW w:w="94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5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6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680" w:type="dxa"/>
            <w:vAlign w:val="bottom"/>
            <w:tcBorders>
              <w:right w:val="single" w:sz="8" w:color="CFF0FC"/>
            </w:tcBorders>
            <w:shd w:val="clear" w:color="auto" w:fill="CFF0FC"/>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1,090,03</w:t>
            </w:r>
          </w:p>
        </w:tc>
        <w:tc>
          <w:tcPr>
            <w:tcW w:w="280" w:type="dxa"/>
            <w:vAlign w:val="bottom"/>
            <w:tcBorders>
              <w:right w:val="single" w:sz="8" w:color="CFF0FC"/>
            </w:tcBorders>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tcBorders>
              <w:left w:val="single" w:sz="8" w:color="CFF0FC"/>
            </w:tcBorders>
            <w:shd w:val="clear" w:color="auto" w:fill="CFF0FC"/>
          </w:tcPr>
          <w:p>
            <w:pPr>
              <w:spacing w:after="0"/>
              <w:rPr>
                <w:sz w:val="10"/>
                <w:szCs w:val="10"/>
                <w:color w:val="auto"/>
              </w:rPr>
            </w:pPr>
          </w:p>
        </w:tc>
        <w:tc>
          <w:tcPr>
            <w:tcW w:w="880" w:type="dxa"/>
            <w:vAlign w:val="bottom"/>
            <w:tcBorders>
              <w:right w:val="single" w:sz="8" w:color="CFF0FC"/>
            </w:tcBorders>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860" w:type="dxa"/>
            <w:vAlign w:val="bottom"/>
            <w:tcBorders>
              <w:right w:val="single" w:sz="8" w:color="CFF0FC"/>
            </w:tcBorders>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2380" w:type="dxa"/>
            <w:vAlign w:val="bottom"/>
            <w:tcBorders>
              <w:right w:val="single" w:sz="8" w:color="CFF0FC"/>
            </w:tcBorders>
            <w:shd w:val="clear" w:color="auto" w:fill="CFF0FC"/>
          </w:tcPr>
          <w:p>
            <w:pPr>
              <w:spacing w:after="0"/>
              <w:rPr>
                <w:sz w:val="13"/>
                <w:szCs w:val="13"/>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26,976,259</w:t>
            </w:r>
          </w:p>
        </w:tc>
        <w:tc>
          <w:tcPr>
            <w:tcW w:w="200" w:type="dxa"/>
            <w:vAlign w:val="bottom"/>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0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468,669</w:t>
            </w:r>
          </w:p>
        </w:tc>
        <w:tc>
          <w:tcPr>
            <w:tcW w:w="220" w:type="dxa"/>
            <w:vAlign w:val="bottom"/>
            <w:tcBorders>
              <w:right w:val="single" w:sz="8" w:color="CFF0FC"/>
            </w:tcBorders>
            <w:shd w:val="clear" w:color="auto" w:fill="CFF0FC"/>
          </w:tcPr>
          <w:p>
            <w:pPr>
              <w:spacing w:after="0"/>
              <w:rPr>
                <w:sz w:val="13"/>
                <w:szCs w:val="13"/>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(9,639)</w:t>
            </w:r>
          </w:p>
        </w:tc>
        <w:tc>
          <w:tcPr>
            <w:tcW w:w="16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(202,816)</w:t>
            </w:r>
          </w:p>
        </w:tc>
        <w:tc>
          <w:tcPr>
            <w:tcW w:w="10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10,980</w:t>
            </w:r>
          </w:p>
        </w:tc>
        <w:tc>
          <w:tcPr>
            <w:tcW w:w="18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267,796</w:t>
            </w:r>
          </w:p>
        </w:tc>
        <w:tc>
          <w:tcPr>
            <w:tcW w:w="100" w:type="dxa"/>
            <w:vAlign w:val="bottom"/>
            <w:shd w:val="clear" w:color="auto" w:fill="CFF0FC"/>
          </w:tcPr>
          <w:p>
            <w:pPr>
              <w:spacing w:after="0"/>
              <w:rPr>
                <w:sz w:val="13"/>
                <w:szCs w:val="13"/>
                <w:color w:val="auto"/>
              </w:rPr>
            </w:pP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Amortization of share awards</w:t>
            </w:r>
          </w:p>
        </w:tc>
        <w:tc>
          <w:tcPr>
            <w:tcW w:w="11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w:t>
            </w:r>
          </w:p>
        </w:tc>
        <w:tc>
          <w:tcPr>
            <w:tcW w:w="22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6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w:t>
            </w:r>
          </w:p>
        </w:tc>
        <w:tc>
          <w:tcPr>
            <w:tcW w:w="100" w:type="dxa"/>
            <w:vAlign w:val="bottom"/>
          </w:tcPr>
          <w:p>
            <w:pPr>
              <w:spacing w:after="0"/>
              <w:rPr>
                <w:sz w:val="11"/>
                <w:szCs w:val="11"/>
                <w:color w:val="auto"/>
              </w:rPr>
            </w:pPr>
          </w:p>
        </w:tc>
      </w:tr>
      <w:tr>
        <w:trPr>
          <w:trHeight w:val="135"/>
        </w:trPr>
        <w:tc>
          <w:tcPr>
            <w:tcW w:w="2380" w:type="dxa"/>
            <w:vAlign w:val="bottom"/>
            <w:tcBorders>
              <w:right w:val="single" w:sz="8" w:color="CFF0FC"/>
            </w:tcBorders>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1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left w:val="single" w:sz="8" w:color="CFF0FC"/>
            </w:tcBorders>
            <w:shd w:val="clear" w:color="auto" w:fill="CFF0FC"/>
          </w:tcPr>
          <w:p>
            <w:pPr>
              <w:spacing w:after="0"/>
              <w:rPr>
                <w:sz w:val="11"/>
                <w:szCs w:val="11"/>
                <w:color w:val="auto"/>
              </w:rPr>
            </w:pPr>
          </w:p>
        </w:tc>
        <w:tc>
          <w:tcPr>
            <w:tcW w:w="880" w:type="dxa"/>
            <w:vAlign w:val="bottom"/>
            <w:tcBorders>
              <w:right w:val="single" w:sz="8" w:color="CFF0FC"/>
            </w:tcBorders>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CFF0FC"/>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0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8,994</w:t>
            </w:r>
          </w:p>
        </w:tc>
        <w:tc>
          <w:tcPr>
            <w:tcW w:w="180" w:type="dxa"/>
            <w:vAlign w:val="bottom"/>
            <w:shd w:val="clear" w:color="auto" w:fill="CFF0FC"/>
          </w:tcPr>
          <w:p>
            <w:pPr>
              <w:spacing w:after="0"/>
              <w:rPr>
                <w:sz w:val="11"/>
                <w:szCs w:val="11"/>
                <w:color w:val="auto"/>
              </w:rPr>
            </w:pPr>
          </w:p>
        </w:tc>
        <w:tc>
          <w:tcPr>
            <w:tcW w:w="100" w:type="dxa"/>
            <w:vAlign w:val="bottom"/>
            <w:tcBorders>
              <w:left w:val="single" w:sz="8" w:color="CFF0FC"/>
            </w:tcBorders>
            <w:shd w:val="clear" w:color="auto" w:fill="CFF0FC"/>
          </w:tcPr>
          <w:p>
            <w:pPr>
              <w:spacing w:after="0"/>
              <w:rPr>
                <w:sz w:val="11"/>
                <w:szCs w:val="11"/>
                <w:color w:val="auto"/>
              </w:rPr>
            </w:pPr>
          </w:p>
        </w:tc>
        <w:tc>
          <w:tcPr>
            <w:tcW w:w="1060" w:type="dxa"/>
            <w:vAlign w:val="bottom"/>
            <w:tcBorders>
              <w:right w:val="single" w:sz="8" w:color="CFF0FC"/>
            </w:tcBorders>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FF0FC"/>
            </w:tcBorders>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8,994</w:t>
            </w:r>
          </w:p>
        </w:tc>
        <w:tc>
          <w:tcPr>
            <w:tcW w:w="100" w:type="dxa"/>
            <w:vAlign w:val="bottom"/>
            <w:shd w:val="clear" w:color="auto" w:fill="CFF0FC"/>
          </w:tcPr>
          <w:p>
            <w:pPr>
              <w:spacing w:after="0"/>
              <w:rPr>
                <w:sz w:val="11"/>
                <w:szCs w:val="11"/>
                <w:color w:val="auto"/>
              </w:rPr>
            </w:pPr>
          </w:p>
        </w:tc>
      </w:tr>
      <w:tr>
        <w:trPr>
          <w:trHeight w:val="135"/>
        </w:trPr>
        <w:tc>
          <w:tcPr>
            <w:tcW w:w="238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(686)</w:t>
            </w:r>
          </w:p>
        </w:tc>
        <w:tc>
          <w:tcPr>
            <w:tcW w:w="1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(686)</w:t>
            </w:r>
          </w:p>
        </w:tc>
      </w:tr>
      <w:tr>
        <w:trPr>
          <w:trHeight w:val="110"/>
        </w:trPr>
        <w:tc>
          <w:tcPr>
            <w:tcW w:w="2380" w:type="dxa"/>
            <w:vAlign w:val="bottom"/>
            <w:tcBorders>
              <w:right w:val="single" w:sz="8" w:color="CFF0FC"/>
            </w:tcBorders>
            <w:shd w:val="clear" w:color="auto" w:fill="CFF0FC"/>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September 30, 2025</w:t>
            </w:r>
          </w:p>
        </w:tc>
        <w:tc>
          <w:tcPr>
            <w:tcW w:w="94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520" w:type="dxa"/>
            <w:vAlign w:val="bottom"/>
            <w:tcBorders>
              <w:top w:val="single" w:sz="8" w:color="auto"/>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tcBorders>
              <w:top w:val="single" w:sz="8" w:color="auto"/>
              <w:left w:val="single" w:sz="8" w:color="CFF0FC"/>
            </w:tcBorders>
            <w:shd w:val="clear" w:color="auto" w:fill="CFF0FC"/>
          </w:tcPr>
          <w:p>
            <w:pPr>
              <w:spacing w:after="0"/>
              <w:rPr>
                <w:sz w:val="9"/>
                <w:szCs w:val="9"/>
                <w:color w:val="auto"/>
              </w:rPr>
            </w:pPr>
          </w:p>
        </w:tc>
        <w:tc>
          <w:tcPr>
            <w:tcW w:w="660" w:type="dxa"/>
            <w:vAlign w:val="bottom"/>
            <w:tcBorders>
              <w:top w:val="single" w:sz="8" w:color="auto"/>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680" w:type="dxa"/>
            <w:vAlign w:val="bottom"/>
            <w:tcBorders>
              <w:top w:val="single" w:sz="8" w:color="auto"/>
              <w:right w:val="single" w:sz="8" w:color="CFF0FC"/>
            </w:tcBorders>
            <w:shd w:val="clear" w:color="auto" w:fill="CFF0FC"/>
          </w:tcPr>
          <w:p>
            <w:pPr>
              <w:jc w:val="right"/>
              <w:ind w:right="17"/>
              <w:spacing w:after="0" w:line="110" w:lineRule="exact"/>
              <w:rPr>
                <w:sz w:val="20"/>
                <w:szCs w:val="20"/>
                <w:color w:val="auto"/>
              </w:rPr>
            </w:pPr>
            <w:r>
              <w:rPr>
                <w:rFonts w:ascii="Times New Roman" w:cs="Times New Roman" w:eastAsia="Times New Roman" w:hAnsi="Times New Roman"/>
                <w:sz w:val="12"/>
                <w:szCs w:val="12"/>
                <w:color w:val="auto"/>
              </w:rPr>
              <w:t>1,090,03</w:t>
            </w:r>
          </w:p>
        </w:tc>
        <w:tc>
          <w:tcPr>
            <w:tcW w:w="280" w:type="dxa"/>
            <w:vAlign w:val="bottom"/>
            <w:tcBorders>
              <w:right w:val="single" w:sz="8" w:color="CFF0FC"/>
            </w:tcBorders>
            <w:shd w:val="clear" w:color="auto" w:fill="CFF0FC"/>
          </w:tcPr>
          <w:p>
            <w:pPr>
              <w:spacing w:after="0"/>
              <w:rPr>
                <w:sz w:val="9"/>
                <w:szCs w:val="9"/>
                <w:color w:val="auto"/>
              </w:rPr>
            </w:pPr>
          </w:p>
        </w:tc>
        <w:tc>
          <w:tcPr>
            <w:tcW w:w="50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80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tcBorders>
              <w:top w:val="single" w:sz="8" w:color="auto"/>
              <w:left w:val="single" w:sz="8" w:color="CFF0FC"/>
            </w:tcBorders>
            <w:shd w:val="clear" w:color="auto" w:fill="CFF0FC"/>
          </w:tcPr>
          <w:p>
            <w:pPr>
              <w:spacing w:after="0"/>
              <w:rPr>
                <w:sz w:val="9"/>
                <w:szCs w:val="9"/>
                <w:color w:val="auto"/>
              </w:rPr>
            </w:pPr>
          </w:p>
        </w:tc>
        <w:tc>
          <w:tcPr>
            <w:tcW w:w="88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tcBorders>
              <w:right w:val="single" w:sz="8" w:color="CFF0FC"/>
            </w:tcBorders>
            <w:shd w:val="clear" w:color="auto" w:fill="CFF0FC"/>
          </w:tcPr>
          <w:p>
            <w:pPr>
              <w:spacing w:after="0"/>
              <w:rPr>
                <w:sz w:val="9"/>
                <w:szCs w:val="9"/>
                <w:color w:val="auto"/>
              </w:rPr>
            </w:pPr>
          </w:p>
        </w:tc>
        <w:tc>
          <w:tcPr>
            <w:tcW w:w="120" w:type="dxa"/>
            <w:vAlign w:val="bottom"/>
            <w:tcBorders>
              <w:top w:val="single" w:sz="8" w:color="auto"/>
              <w:left w:val="single" w:sz="8" w:color="CFF0FC"/>
            </w:tcBorders>
            <w:shd w:val="clear" w:color="auto" w:fill="CFF0FC"/>
          </w:tcPr>
          <w:p>
            <w:pPr>
              <w:spacing w:after="0"/>
              <w:rPr>
                <w:sz w:val="9"/>
                <w:szCs w:val="9"/>
                <w:color w:val="auto"/>
              </w:rPr>
            </w:pPr>
          </w:p>
        </w:tc>
        <w:tc>
          <w:tcPr>
            <w:tcW w:w="860" w:type="dxa"/>
            <w:vAlign w:val="bottom"/>
            <w:tcBorders>
              <w:top w:val="single" w:sz="8" w:color="auto"/>
              <w:right w:val="single" w:sz="8" w:color="CFF0FC"/>
            </w:tcBorders>
            <w:shd w:val="clear" w:color="auto" w:fill="CFF0FC"/>
          </w:tcPr>
          <w:p>
            <w:pPr>
              <w:spacing w:after="0"/>
              <w:rPr>
                <w:sz w:val="9"/>
                <w:szCs w:val="9"/>
                <w:color w:val="auto"/>
              </w:rPr>
            </w:pPr>
          </w:p>
        </w:tc>
        <w:tc>
          <w:tcPr>
            <w:tcW w:w="220" w:type="dxa"/>
            <w:vAlign w:val="bottom"/>
            <w:tcBorders>
              <w:right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73"/>
        </w:trPr>
        <w:tc>
          <w:tcPr>
            <w:tcW w:w="2380" w:type="dxa"/>
            <w:vAlign w:val="bottom"/>
            <w:tcBorders>
              <w:right w:val="single" w:sz="8" w:color="CFF0FC"/>
            </w:tcBorders>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26,976,259</w:t>
            </w:r>
          </w:p>
        </w:tc>
        <w:tc>
          <w:tcPr>
            <w:tcW w:w="200" w:type="dxa"/>
            <w:vAlign w:val="bottom"/>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0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470,228</w:t>
            </w:r>
          </w:p>
        </w:tc>
        <w:tc>
          <w:tcPr>
            <w:tcW w:w="220" w:type="dxa"/>
            <w:vAlign w:val="bottom"/>
            <w:tcBorders>
              <w:right w:val="single" w:sz="8" w:color="CFF0FC"/>
            </w:tcBorders>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(9,639)</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(193,822)</w:t>
            </w:r>
          </w:p>
        </w:tc>
        <w:tc>
          <w:tcPr>
            <w:tcW w:w="10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10,294</w:t>
            </w: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277,663</w:t>
            </w:r>
          </w:p>
        </w:tc>
        <w:tc>
          <w:tcPr>
            <w:tcW w:w="100" w:type="dxa"/>
            <w:vAlign w:val="bottom"/>
            <w:shd w:val="clear" w:color="auto" w:fill="CFF0FC"/>
          </w:tcPr>
          <w:p>
            <w:pPr>
              <w:spacing w:after="0"/>
              <w:rPr>
                <w:sz w:val="15"/>
                <w:szCs w:val="15"/>
                <w:color w:val="auto"/>
              </w:rPr>
            </w:pPr>
          </w:p>
        </w:tc>
      </w:tr>
      <w:tr>
        <w:trPr>
          <w:trHeight w:val="20"/>
        </w:trPr>
        <w:tc>
          <w:tcPr>
            <w:tcW w:w="23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-3710940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-3710940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-3710940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-3710940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-3710940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-3710940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-3710940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-3710940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-2725420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-2708275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-2725420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-2708275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-2725420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-2708275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-2725420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-2708275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-2725420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-2708275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-2725420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-2708275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-2725420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-2708275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-2725420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-2708275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-916305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-899160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-916305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-899160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-916305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-899160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-916305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-899160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-916305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-899160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-916305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-899160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-916305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-899160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-916305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-899160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-24765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-24765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-7620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SEACOR MARINE HOLDINGS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4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8"/>
        </w:trPr>
        <w:tc>
          <w:tcPr>
            <w:tcW w:w="6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20" w:type="dxa"/>
            <w:vAlign w:val="bottom"/>
            <w:tcBorders>
              <w:bottom w:val="single" w:sz="8" w:color="auto"/>
            </w:tcBorders>
          </w:tcPr>
          <w:p>
            <w:pPr>
              <w:jc w:val="right"/>
              <w:ind w:right="59"/>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Borders>
              <w:bottom w:val="single" w:sz="8" w:color="auto"/>
            </w:tcBorders>
          </w:tcPr>
          <w:p>
            <w:pPr>
              <w:jc w:val="right"/>
              <w:ind w:right="62"/>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6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2440" w:type="dxa"/>
            <w:vAlign w:val="bottom"/>
            <w:gridSpan w:val="2"/>
          </w:tcPr>
          <w:p>
            <w:pPr>
              <w:jc w:val="right"/>
              <w:ind w:right="899"/>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(21,976)</w:t>
            </w:r>
          </w:p>
        </w:tc>
        <w:tc>
          <w:tcPr>
            <w:tcW w:w="1020" w:type="dxa"/>
            <w:vAlign w:val="bottom"/>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(13,222)</w:t>
            </w:r>
          </w:p>
        </w:tc>
      </w:tr>
      <w:tr>
        <w:trPr>
          <w:trHeight w:val="14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31,002</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37,025</w:t>
            </w:r>
          </w:p>
        </w:tc>
        <w:tc>
          <w:tcPr>
            <w:tcW w:w="120" w:type="dxa"/>
            <w:vAlign w:val="bottom"/>
          </w:tcPr>
          <w:p>
            <w:pPr>
              <w:spacing w:after="0"/>
              <w:rPr>
                <w:sz w:val="12"/>
                <w:szCs w:val="12"/>
                <w:color w:val="auto"/>
              </w:rPr>
            </w:pP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Deferred financing costs amortization</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3,644</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4,696</w:t>
            </w:r>
          </w:p>
        </w:tc>
        <w:tc>
          <w:tcPr>
            <w:tcW w:w="120" w:type="dxa"/>
            <w:vAlign w:val="bottom"/>
          </w:tcPr>
          <w:p>
            <w:pPr>
              <w:spacing w:after="0"/>
              <w:rPr>
                <w:sz w:val="12"/>
                <w:szCs w:val="12"/>
                <w:color w:val="auto"/>
              </w:rPr>
            </w:pP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Debt discount amortization</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711</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20" w:type="dxa"/>
            <w:vAlign w:val="bottom"/>
            <w:shd w:val="clear" w:color="auto" w:fill="CFF0FC"/>
          </w:tcPr>
          <w:p>
            <w:pPr>
              <w:spacing w:after="0"/>
              <w:rPr>
                <w:sz w:val="12"/>
                <w:szCs w:val="12"/>
                <w:color w:val="auto"/>
              </w:rPr>
            </w:pPr>
          </w:p>
        </w:tc>
      </w:tr>
      <w:tr>
        <w:trPr>
          <w:trHeight w:val="149"/>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2"/>
                <w:szCs w:val="12"/>
                <w:color w:val="auto"/>
              </w:rPr>
            </w:pP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Gains from equipment sales, retirements or impairments, net</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(38,791)</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(55,202)</w:t>
            </w: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Derivative gains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(229)</w:t>
            </w: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Interest on finance leases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Settlements on derivative transactions, net</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(373)</w:t>
            </w:r>
          </w:p>
        </w:tc>
      </w:tr>
      <w:tr>
        <w:trPr>
          <w:trHeight w:val="149"/>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Currency losses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3,097</w:t>
            </w: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(1,201)</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(1,428)</w:t>
            </w: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Equity earnings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(52)</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(1,500)</w:t>
            </w: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received from 50% or less owned companies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3,199</w:t>
            </w:r>
          </w:p>
        </w:tc>
        <w:tc>
          <w:tcPr>
            <w:tcW w:w="120" w:type="dxa"/>
            <w:vAlign w:val="bottom"/>
          </w:tcPr>
          <w:p>
            <w:pPr>
              <w:spacing w:after="0"/>
              <w:rPr>
                <w:sz w:val="12"/>
                <w:szCs w:val="12"/>
                <w:color w:val="auto"/>
              </w:rPr>
            </w:pPr>
          </w:p>
        </w:tc>
      </w:tr>
      <w:tr>
        <w:trPr>
          <w:trHeight w:val="148"/>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(5,017)</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(1,083)</w:t>
            </w:r>
          </w:p>
        </w:tc>
      </w:tr>
      <w:tr>
        <w:trPr>
          <w:trHeight w:val="149"/>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(400)</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(1,831)</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(1,491)</w:t>
            </w:r>
          </w:p>
        </w:tc>
      </w:tr>
      <w:tr>
        <w:trPr>
          <w:trHeight w:val="20"/>
        </w:trPr>
        <w:tc>
          <w:tcPr>
            <w:tcW w:w="6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30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(31,456)</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(24,202)</w:t>
            </w:r>
          </w:p>
        </w:tc>
      </w:tr>
      <w:tr>
        <w:trPr>
          <w:trHeight w:val="142"/>
        </w:trPr>
        <w:tc>
          <w:tcPr>
            <w:tcW w:w="63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3"/>
                <w:szCs w:val="13"/>
                <w:color w:val="auto"/>
              </w:rPr>
              <w:t>Cash Flows from Investing Activities:</w:t>
            </w:r>
          </w:p>
        </w:tc>
        <w:tc>
          <w:tcPr>
            <w:tcW w:w="1420" w:type="dxa"/>
            <w:vAlign w:val="bottom"/>
            <w:tcBorders>
              <w:top w:val="single" w:sz="8" w:color="CFF0F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(19,593)</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(40,356)</w:t>
            </w:r>
          </w:p>
        </w:tc>
      </w:tr>
      <w:tr>
        <w:trPr>
          <w:trHeight w:val="148"/>
        </w:trPr>
        <w:tc>
          <w:tcPr>
            <w:tcW w:w="63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3"/>
                <w:szCs w:val="13"/>
                <w:color w:val="auto"/>
              </w:rPr>
              <w:t>Proceeds from disposition of property and equipment</w:t>
            </w:r>
          </w:p>
        </w:tc>
        <w:tc>
          <w:tcPr>
            <w:tcW w:w="14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57,716</w:t>
            </w:r>
          </w:p>
        </w:tc>
        <w:tc>
          <w:tcPr>
            <w:tcW w:w="2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116,132</w:t>
            </w:r>
          </w:p>
        </w:tc>
        <w:tc>
          <w:tcPr>
            <w:tcW w:w="120" w:type="dxa"/>
            <w:vAlign w:val="bottom"/>
            <w:tcBorders>
              <w:bottom w:val="single" w:sz="8" w:color="CFF0FC"/>
            </w:tcBorders>
          </w:tcPr>
          <w:p>
            <w:pPr>
              <w:spacing w:after="0"/>
              <w:rPr>
                <w:sz w:val="12"/>
                <w:szCs w:val="12"/>
                <w:color w:val="auto"/>
              </w:rPr>
            </w:pPr>
          </w:p>
        </w:tc>
      </w:tr>
      <w:tr>
        <w:trPr>
          <w:trHeight w:val="142"/>
        </w:trPr>
        <w:tc>
          <w:tcPr>
            <w:tcW w:w="630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14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38,123</w:t>
            </w:r>
          </w:p>
        </w:tc>
        <w:tc>
          <w:tcPr>
            <w:tcW w:w="2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75,776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63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Cash Flows from Financing Activities: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Payments on long-term debt</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(22,500)</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long-term debt, net of debt discount and issuance costs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15,799</w:t>
            </w:r>
          </w:p>
        </w:tc>
        <w:tc>
          <w:tcPr>
            <w:tcW w:w="120" w:type="dxa"/>
            <w:vAlign w:val="bottom"/>
          </w:tcPr>
          <w:p>
            <w:pPr>
              <w:spacing w:after="0"/>
              <w:rPr>
                <w:sz w:val="12"/>
                <w:szCs w:val="12"/>
                <w:color w:val="auto"/>
              </w:rPr>
            </w:pP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Payments on finance leases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(15)</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w:t>
            </w:r>
          </w:p>
        </w:tc>
      </w:tr>
      <w:tr>
        <w:trPr>
          <w:trHeight w:val="149"/>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for repurchase of common stock</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(7,089)</w:t>
            </w: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Payments for repurchase of warrants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(6,668)</w:t>
            </w:r>
          </w:p>
        </w:tc>
      </w:tr>
      <w:tr>
        <w:trPr>
          <w:trHeight w:val="149"/>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Excise tax on stock repurchase</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 withholdings on restricted stock vesting and director share awards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(1,779)</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(1,529)</w:t>
            </w:r>
          </w:p>
        </w:tc>
      </w:tr>
      <w:tr>
        <w:trPr>
          <w:trHeight w:val="20"/>
        </w:trPr>
        <w:tc>
          <w:tcPr>
            <w:tcW w:w="6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300" w:type="dxa"/>
            <w:vAlign w:val="bottom"/>
            <w:shd w:val="clear" w:color="auto" w:fill="CFF0FC"/>
          </w:tcPr>
          <w:p>
            <w:pPr>
              <w:ind w:left="280"/>
              <w:spacing w:after="0" w:line="142"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(24,192)</w:t>
            </w: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(19,503)</w:t>
            </w:r>
          </w:p>
        </w:tc>
      </w:tr>
      <w:tr>
        <w:trPr>
          <w:trHeight w:val="20"/>
        </w:trPr>
        <w:tc>
          <w:tcPr>
            <w:tcW w:w="63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2"/>
        </w:trPr>
        <w:tc>
          <w:tcPr>
            <w:tcW w:w="63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Effects of Exchange Rate Changes on Cash, Restricted Cash and Cash Equivalents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w:t>
            </w:r>
          </w:p>
        </w:tc>
        <w:tc>
          <w:tcPr>
            <w:tcW w:w="1020" w:type="dxa"/>
            <w:vAlign w:val="bottom"/>
          </w:tcPr>
          <w:p>
            <w:pPr>
              <w:spacing w:after="0"/>
              <w:rPr>
                <w:sz w:val="12"/>
                <w:szCs w:val="12"/>
                <w:color w:val="auto"/>
              </w:rPr>
            </w:pP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(3)</w:t>
            </w:r>
          </w:p>
        </w:tc>
      </w:tr>
      <w:tr>
        <w:trPr>
          <w:trHeight w:val="20"/>
        </w:trPr>
        <w:tc>
          <w:tcPr>
            <w:tcW w:w="6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Net Change in Cash, Restricted Cash and Cash Equivalents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3"/>
                <w:szCs w:val="13"/>
                <w:color w:val="auto"/>
              </w:rPr>
              <w:t>(17,526)</w:t>
            </w: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32,068</w:t>
            </w: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spacing w:after="0"/>
              <w:rPr>
                <w:sz w:val="20"/>
                <w:szCs w:val="20"/>
                <w:color w:val="auto"/>
              </w:rPr>
            </w:pPr>
            <w:r>
              <w:rPr>
                <w:rFonts w:ascii="Times New Roman" w:cs="Times New Roman" w:eastAsia="Times New Roman" w:hAnsi="Times New Roman"/>
                <w:sz w:val="13"/>
                <w:szCs w:val="13"/>
                <w:color w:val="auto"/>
              </w:rPr>
              <w:t>Cash, Restricted Cash and Cash Equivalents, Beginning of Period</w:t>
            </w:r>
          </w:p>
        </w:tc>
        <w:tc>
          <w:tcPr>
            <w:tcW w:w="1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93,116</w:t>
            </w:r>
          </w:p>
        </w:tc>
        <w:tc>
          <w:tcPr>
            <w:tcW w:w="2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76,140</w:t>
            </w:r>
          </w:p>
        </w:tc>
        <w:tc>
          <w:tcPr>
            <w:tcW w:w="120" w:type="dxa"/>
            <w:vAlign w:val="bottom"/>
          </w:tcPr>
          <w:p>
            <w:pPr>
              <w:spacing w:after="0"/>
              <w:rPr>
                <w:sz w:val="12"/>
                <w:szCs w:val="12"/>
                <w:color w:val="auto"/>
              </w:rPr>
            </w:pPr>
          </w:p>
        </w:tc>
      </w:tr>
      <w:tr>
        <w:trPr>
          <w:trHeight w:val="182"/>
        </w:trPr>
        <w:tc>
          <w:tcPr>
            <w:tcW w:w="63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Cash, Restricted Cash and Cash Equivalents, End of Period</w:t>
            </w:r>
          </w:p>
        </w:tc>
        <w:tc>
          <w:tcPr>
            <w:tcW w:w="14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75,590</w:t>
            </w:r>
          </w:p>
        </w:tc>
        <w:tc>
          <w:tcPr>
            <w:tcW w:w="2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108,208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29"/>
        </w:trPr>
        <w:tc>
          <w:tcPr>
            <w:tcW w:w="63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Supplemental disclosures:</w:t>
            </w:r>
          </w:p>
        </w:tc>
        <w:tc>
          <w:tcPr>
            <w:tcW w:w="1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Cash paid for interest, excluding capitalized interest</w:t>
            </w:r>
          </w:p>
        </w:tc>
        <w:tc>
          <w:tcPr>
            <w:tcW w:w="2440" w:type="dxa"/>
            <w:vAlign w:val="bottom"/>
            <w:gridSpan w:val="2"/>
            <w:shd w:val="clear" w:color="auto" w:fill="CFF0FC"/>
          </w:tcPr>
          <w:p>
            <w:pPr>
              <w:jc w:val="right"/>
              <w:ind w:right="899"/>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23,225</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26,683</w:t>
            </w: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 refunded, net</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120" w:type="dxa"/>
            <w:vAlign w:val="bottom"/>
          </w:tcPr>
          <w:p>
            <w:pPr>
              <w:spacing w:after="0"/>
              <w:rPr>
                <w:sz w:val="12"/>
                <w:szCs w:val="12"/>
                <w:color w:val="auto"/>
              </w:rPr>
            </w:pPr>
          </w:p>
        </w:tc>
      </w:tr>
      <w:tr>
        <w:trPr>
          <w:trHeight w:val="149"/>
        </w:trPr>
        <w:tc>
          <w:tcPr>
            <w:tcW w:w="6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Noncash Investing and Financing Activities: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6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Increase (decrease) in capital expenditures in accounts payable and accrued liabilities</w:t>
            </w:r>
          </w:p>
        </w:tc>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(5,377)</w:t>
            </w:r>
          </w:p>
        </w:tc>
      </w:tr>
      <w:tr>
        <w:trPr>
          <w:trHeight w:val="148"/>
        </w:trPr>
        <w:tc>
          <w:tcPr>
            <w:tcW w:w="6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Recognition of a new right-of-use asset - operating leases</w:t>
            </w:r>
          </w:p>
        </w:tc>
        <w:tc>
          <w:tcPr>
            <w:tcW w:w="14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6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Recognition of a new right-of-use asset - finance leases</w:t>
            </w: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-2458720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-2458720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-2179955</wp:posOffset>
            </wp:positionV>
            <wp:extent cx="9398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-2179955</wp:posOffset>
            </wp:positionV>
            <wp:extent cx="10287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-1104265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-1104265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-701675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-684530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-701675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-684530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 and should be read in conjunction herewith.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7" w:name="page8"/>
    <w:bookmarkEnd w:id="7"/>
    <w:p>
      <w:pPr>
        <w:jc w:val="center"/>
        <w:spacing w:after="0" w:line="248" w:lineRule="auto"/>
        <w:rPr>
          <w:sz w:val="20"/>
          <w:szCs w:val="20"/>
          <w:color w:val="auto"/>
        </w:rPr>
      </w:pPr>
      <w:r>
        <w:rPr>
          <w:rFonts w:ascii="Times New Roman" w:cs="Times New Roman" w:eastAsia="Times New Roman" w:hAnsi="Times New Roman"/>
          <w:sz w:val="22"/>
          <w:szCs w:val="22"/>
          <w:b w:val="1"/>
          <w:bCs w:val="1"/>
          <w:color w:val="auto"/>
        </w:rPr>
        <w:t>SEACOR MARINE HOLDINGS INC. NOTES TO CONDENSED CONSOLIDATED FINANCIAL STATEMENTS (unaudited)</w:t>
      </w:r>
    </w:p>
    <w:p>
      <w:pPr>
        <w:spacing w:after="0" w:line="382"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BASIS OF PRESENTATION AND ACCOUNTING POLICIES</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3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Certain information and footnote disclosures normally included in financial statements prepared in accordance with generally accepted accounting principles in the United States (“U.S. GAAP”) have been condensed or omitted. These condensed consolidated financial statements should be read in conjunction with the Company’s financial statements and related notes thereto included in the Company’s Annual Report on Form 10-K for the year ended December 31, 2025 (the “2025 Annual Report”).</w:t>
      </w:r>
    </w:p>
    <w:p>
      <w:pPr>
        <w:spacing w:after="0" w:line="12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Recently Adopted Accounting Standards.</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December 14, 2023, the Financial Accounting Standards Board (“FASB”) issued Accounting Standards Update (“ASU”) 2023-09, Income Taxes (Topic 740): Improvements to Income Tax Disclosures, which requires public entities to disclose, on an annual basis, information about their effective tax rate reconciliation and information on income taxes paid. The guidance is effective for fiscal years beginning after December 15, 2024. The Company adopted ASU 2023-09 for the year ended December 31, 2025, which only affected the disclosures and did not impact the Company’s consolidated financial position or results of operations.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Recently Issued Accounting Standards.</w:t>
      </w:r>
    </w:p>
    <w:p>
      <w:pPr>
        <w:spacing w:after="0" w:line="18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December 18, 2025, the FASB issued ASU 2025-12, Codification Improvements, which clarifies, correct errors in and make improvements related to various topics in the FASB Accounting Standards Codification (“ASC”). The guidance is effective for fiscal years, and interim periods within those fiscal years, beginning after December 15, 2026. While early adoption is permitted on an issue-by-issue basis, the Company has determined it will not early adopt the standard. The Company does not believe the adoption of the standard will have a material effect on the Company’s consolidated financial position or results of operations.</w:t>
      </w:r>
    </w:p>
    <w:p>
      <w:pPr>
        <w:spacing w:after="0" w:line="14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December 8, 2025, the FASB issued ASU 2025-11, Interim Reporting (Topic 270): Narrow Scope Improvements, which clarifies interim financial reporting requirements by improving the navigability of the guidance and more clearly specifies what disclosures are required in an interim reporting period. The guidance is effective for interim periods in fiscal years beginning after December 15, 2027. While early adoption is permitted, the Company has determined it will not early adopt the standard. The Company does not believe the adoption of the standard will have a material effect on the Company’s consolidated financial position or results of operations.</w:t>
      </w:r>
    </w:p>
    <w:p>
      <w:pPr>
        <w:spacing w:after="0" w:line="14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On September 29, 2025, the FASB issued ASU 2025-07, Derivatives and Hedging (Topic 815) and Revenue from Contracts with Customers (Topic 606): Derivatives Scope Refinements and Scope Clarification for Share-Based Noncash Consideration from a Customer in a Revenue Contract, which addresses two issues: (1) refines the scope of the guidance on derivatives in ASC 815 (Issue 1) and (2) clarifies the guidance 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8" w:name="page9"/>
    <w:bookmarkEnd w:id="8"/>
    <w:p>
      <w:pPr>
        <w:jc w:val="both"/>
        <w:spacing w:after="0" w:line="239" w:lineRule="auto"/>
        <w:rPr>
          <w:sz w:val="20"/>
          <w:szCs w:val="20"/>
          <w:color w:val="auto"/>
        </w:rPr>
      </w:pPr>
      <w:r>
        <w:rPr>
          <w:rFonts w:ascii="Times New Roman" w:cs="Times New Roman" w:eastAsia="Times New Roman" w:hAnsi="Times New Roman"/>
          <w:sz w:val="22"/>
          <w:szCs w:val="22"/>
          <w:color w:val="auto"/>
        </w:rPr>
        <w:t>share-based payments from a customer in ASC 606 (Issue 2). The guidance is effective for fiscal years, and interim periods within those fiscal years, beginning after December 15, 2026. While early adoption is permitted, the Company has determined it will not early adopt the standards. The Company does not believe the adoption of the standard will have a material effect on the Company’s consolidated financial position or results of operations.</w:t>
      </w:r>
    </w:p>
    <w:p>
      <w:pPr>
        <w:spacing w:after="0" w:line="15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On November 4, 2024, the FASB issued ASU 2024-03, Reporting Comprehensive Income–Expense Disaggregation Disclosures (Subtopic 220-40): Disaggregation of Income Statement Expenses, which requires disaggregation of certain income statement expense captions into specified categories in disclosures within the footnotes to the financial statements. The guidance is effective for fiscal years beginning after December 15, 2026, and interim periods within the fiscal years beginning after December 15, 2027. While early adoption is permitted, the Company has determined it will not early adopt the standard. The Company does not believe the adoption of the standard will have a material effect on the Company’s consolidated financial position or results of operations.</w:t>
      </w:r>
    </w:p>
    <w:p>
      <w:pPr>
        <w:spacing w:after="0" w:line="14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October 9, 2023, the FASB issued ASU 2023-06, Disclosure Improvements: Codification Amendments in Response to the United States Securities and Exchange Commission’s (“SEC”) Disclosure Update and Simplification Initiative, which amends the disclosure or presentation requirements related to various subtopics in the FASB ASC. The effective date is contingent on when the SEC removes the related disclosure from Regulation S-X or Regulation S-K, with early adoption prohibited. The Company does not believe the adoption of the standard will have a material effect on the Company’s consolidated financial position, results of operations or disclosures.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Accounting Policies.</w:t>
      </w:r>
    </w:p>
    <w:p>
      <w:pPr>
        <w:spacing w:after="0" w:line="17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Basis of Consolidation. </w:t>
      </w:r>
      <w:r>
        <w:rPr>
          <w:rFonts w:ascii="Times New Roman" w:cs="Times New Roman" w:eastAsia="Times New Roman" w:hAnsi="Times New Roman"/>
          <w:sz w:val="22"/>
          <w:szCs w:val="22"/>
          <w:color w:val="auto"/>
        </w:rPr>
        <w:t>The consolidated financial statements include the accounts of SEACOR Marine and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controlled subsidiaries. Control is generally deemed to exist if the Company has greater than 50% of the voting rights of a subsidiary. All significant intercompany accounts and transactions are eliminated in the consolidation.</w:t>
      </w:r>
    </w:p>
    <w:p>
      <w:pPr>
        <w:spacing w:after="0" w:line="12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spacing w:after="0" w:line="13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of 50% or less owned companies.</w:t>
      </w:r>
    </w:p>
    <w:p>
      <w:pPr>
        <w:spacing w:after="0" w:line="15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Certain reclassifications were made to previously reported amounts in the consolidated financial statements and notes thereto to make them consistent with the current period presentation.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9" w:name="page10"/>
    <w:bookmarkEnd w:id="9"/>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Use of Estimates. </w:t>
      </w:r>
      <w:r>
        <w:rPr>
          <w:rFonts w:ascii="Times New Roman" w:cs="Times New Roman" w:eastAsia="Times New Roman" w:hAnsi="Times New Roman"/>
          <w:sz w:val="22"/>
          <w:szCs w:val="22"/>
          <w:color w:val="auto"/>
        </w:rPr>
        <w:t>The preparation of financial statements in conformity with U.S. GAAP requires management to make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and those differences may be material.</w:t>
      </w:r>
    </w:p>
    <w:p>
      <w:pPr>
        <w:spacing w:after="0" w:line="14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Revenue Recognition</w:t>
      </w:r>
      <w:r>
        <w:rPr>
          <w:rFonts w:ascii="Times New Roman" w:cs="Times New Roman" w:eastAsia="Times New Roman" w:hAnsi="Times New Roman"/>
          <w:sz w:val="22"/>
          <w:szCs w:val="22"/>
          <w:color w:val="auto"/>
        </w:rPr>
        <w:t>. Revenue is recognized when (or as) the Company transfers promised goods or services to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customers in amounts that reflect the consideration to which the Company expects to be entitled to in exchange for those goods or services, which occurs when (or as) the Company satisfies its contractual obligations and transfers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13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Gulf of America, time charter durations and rates are typically established in the context of master service agreements that govern the terms and conditions of the charter.</w:t>
      </w:r>
    </w:p>
    <w:p>
      <w:pPr>
        <w:spacing w:after="0" w:line="13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the Company’s operating areas, contracts or charters vary in length from several days to multi-year periods. Many of the Company’s contracts and charters include cancellation clauses without early termination penalties. As a result of cancellations, options and frequent renewals, the stated duration of charters may not correlate with the length of time the vessel is contracted for to provide services to a particular customer.</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The Company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3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Revenue that does not meet these criteria is deferred and is considered a contract liability and is recognized as such until the criteria are met. Contract liabilities, which are included in unearned revenue in the accompanying consolidated balance sheets, as of September 30, 2026 and December 31, 2025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2,534</w:t>
            </w: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Unearned revenues during the period</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6,935</w:t>
            </w:r>
          </w:p>
        </w:tc>
      </w:tr>
      <w:tr>
        <w:trPr>
          <w:trHeight w:val="202"/>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Revenues recognized during the period</w:t>
            </w: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(8,373)</w:t>
            </w:r>
          </w:p>
        </w:tc>
      </w:tr>
      <w:tr>
        <w:trPr>
          <w:trHeight w:val="20"/>
        </w:trPr>
        <w:tc>
          <w:tcPr>
            <w:tcW w:w="7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1,096</w:t>
            </w:r>
          </w:p>
        </w:tc>
      </w:tr>
      <w:tr>
        <w:trPr>
          <w:trHeight w:val="20"/>
        </w:trPr>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of September 30, 2026 and December 31, 2025, the Company had unearned revenue of $0.9 million and $1.1 million, respectively, primarily related to mobilization of vessels.</w:t>
      </w:r>
    </w:p>
    <w:p>
      <w:pPr>
        <w:spacing w:after="0" w:line="11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Direct Operating Expenses. </w:t>
      </w:r>
      <w:r>
        <w:rPr>
          <w:rFonts w:ascii="Times New Roman" w:cs="Times New Roman" w:eastAsia="Times New Roman" w:hAnsi="Times New Roman"/>
          <w:sz w:val="22"/>
          <w:szCs w:val="22"/>
          <w:color w:val="auto"/>
        </w:rPr>
        <w:t>Direct operating costs and expenses that are considered significant, other than leased-in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equipment expense, consist primarily of costs and expenses such as: personnel; repairs 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 w:name="page11"/>
    <w:bookmarkEnd w:id="10"/>
    <w:p>
      <w:pPr>
        <w:jc w:val="both"/>
        <w:spacing w:after="0" w:line="239" w:lineRule="auto"/>
        <w:rPr>
          <w:sz w:val="20"/>
          <w:szCs w:val="20"/>
          <w:color w:val="auto"/>
        </w:rPr>
      </w:pPr>
      <w:r>
        <w:rPr>
          <w:rFonts w:ascii="Times New Roman" w:cs="Times New Roman" w:eastAsia="Times New Roman" w:hAnsi="Times New Roman"/>
          <w:sz w:val="22"/>
          <w:szCs w:val="22"/>
          <w:color w:val="auto"/>
        </w:rPr>
        <w:t>maintenance; drydocking; insurance and loss reserves; and fuel, lubes and supplies. Other direct operating expenses consist of costs such as brokers’ commissions, communication costs, expenses incurred in mobilizing vessels between geographic regions, third party ship management fees, freight expenses, and customs and importation duties. Direct operating costs are expensed as incurred.</w:t>
      </w:r>
    </w:p>
    <w:p>
      <w:pPr>
        <w:spacing w:after="0" w:line="147"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Cash and Cash Equivalents. </w:t>
      </w:r>
      <w:r>
        <w:rPr>
          <w:rFonts w:ascii="Times New Roman" w:cs="Times New Roman" w:eastAsia="Times New Roman" w:hAnsi="Times New Roman"/>
          <w:sz w:val="22"/>
          <w:szCs w:val="22"/>
          <w:color w:val="auto"/>
        </w:rPr>
        <w:t>The Company considers all highly liquid investments, with an original maturity of three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months or less from the date purchased, to be cash equivalents.</w:t>
      </w:r>
    </w:p>
    <w:p>
      <w:pPr>
        <w:spacing w:after="0" w:line="1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Restricted Cash. </w:t>
      </w:r>
      <w:r>
        <w:rPr>
          <w:rFonts w:ascii="Times New Roman" w:cs="Times New Roman" w:eastAsia="Times New Roman" w:hAnsi="Times New Roman"/>
          <w:sz w:val="22"/>
          <w:szCs w:val="22"/>
          <w:color w:val="auto"/>
        </w:rPr>
        <w:t>Restricted cash primarily relates to banking and credit facility requirements.</w:t>
      </w:r>
    </w:p>
    <w:p>
      <w:pPr>
        <w:spacing w:after="0" w:line="16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Trade and Other Receivables and Allowance for Credit Losses. </w:t>
      </w:r>
      <w:r>
        <w:rPr>
          <w:rFonts w:ascii="Times New Roman" w:cs="Times New Roman" w:eastAsia="Times New Roman" w:hAnsi="Times New Roman"/>
          <w:sz w:val="22"/>
          <w:szCs w:val="22"/>
          <w:color w:val="auto"/>
        </w:rPr>
        <w:t>Customers are primarily major integrated national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international oil companies, large independent oil and natural gas exploration and production companies and established wind farm construction companies. Customers are granted credit on a short-term basis and the related credit risks have historically been limited. Other receivables consist primarily of operating expenses the Company incurs in relation to vessels it manages for other entities, as well as insurance and income tax receivables. The Company routinely reviews its receivables and makes provisions for expected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After collection efforts have been exhausted, trade receivables that are deemed uncollectible are removed from both accounts receivable and the allowance for credit losses.</w:t>
      </w:r>
    </w:p>
    <w:p>
      <w:pPr>
        <w:spacing w:after="0" w:line="15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 xml:space="preserve">Property and Equipment. </w:t>
      </w:r>
      <w:r>
        <w:rPr>
          <w:rFonts w:ascii="Times New Roman" w:cs="Times New Roman" w:eastAsia="Times New Roman" w:hAnsi="Times New Roman"/>
          <w:sz w:val="22"/>
          <w:szCs w:val="22"/>
          <w:color w:val="auto"/>
        </w:rPr>
        <w:t>Equipment, stated at cost, is depreciated using the straight-line method over the estimated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the asset’s remaining useful life, typically the period until the next survey or certification date. As of September 30, 2026, the estimated useful life of the Company’s new offshore support vessels was 20 years.</w:t>
      </w:r>
    </w:p>
    <w:p>
      <w:pPr>
        <w:spacing w:after="0" w:line="14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4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Certain interest costs incurred during the construction of equipment are capitalized as part of the assets’ carrying values and are amortized over such assets’ estimated useful lives. There was $3.4 million and $1.5 million of capitalized interest recognized during the nine months ended September 30, 2026 and 2025, respectively.</w:t>
      </w:r>
    </w:p>
    <w:p>
      <w:pPr>
        <w:spacing w:after="0" w:line="14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Impairment of Long-Lived Assets. </w:t>
      </w:r>
      <w:r>
        <w:rPr>
          <w:rFonts w:ascii="Times New Roman" w:cs="Times New Roman" w:eastAsia="Times New Roman" w:hAnsi="Times New Roman"/>
          <w:sz w:val="22"/>
          <w:szCs w:val="22"/>
          <w:color w:val="auto"/>
        </w:rPr>
        <w:t>The Company performs an impairment analysis of long-lived assets used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operations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4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During the nine months ended September 30, 2026 and 2025, the Company did not record impairment charges on any owned vessels. Impairment charges are included in gains (losses) on asset dispositions 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1" w:name="page12"/>
    <w:bookmarkEnd w:id="11"/>
    <w:p>
      <w:pPr>
        <w:jc w:val="both"/>
        <w:spacing w:after="0" w:line="244" w:lineRule="auto"/>
        <w:rPr>
          <w:sz w:val="20"/>
          <w:szCs w:val="20"/>
          <w:color w:val="auto"/>
        </w:rPr>
      </w:pPr>
      <w:r>
        <w:rPr>
          <w:rFonts w:ascii="Times New Roman" w:cs="Times New Roman" w:eastAsia="Times New Roman" w:hAnsi="Times New Roman"/>
          <w:sz w:val="22"/>
          <w:szCs w:val="22"/>
          <w:color w:val="auto"/>
        </w:rPr>
        <w:t>impairments in the accompanying consolidated statements of income (loss). Estimated fair values for the Company-owned vessels were established by independent appraisers based on researched market information, replacement cost information and other data.</w:t>
      </w:r>
    </w:p>
    <w:p>
      <w:pPr>
        <w:spacing w:after="0" w:line="14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For vessel classes and individual vessels with indicators of impairment as of September 30, 2026, the Company assessed that their estimated fair value exceeds their current carrying values. For any vessel or vessel class that has indicators of impairment and is deemed not recoverable through future operations, the Company determines the fair value of the vessel or vessel class. If the fair value determination is less than the carrying value of the vessel or vessel class, an impairment is recognized to reduce the carrying value to fair value. Fair value determination is primarily accomplished by obtaining independent valuations of vessel or vessel classes from qualified third-party appraisers and other market data such as recent sales of similar vessels.</w:t>
      </w:r>
    </w:p>
    <w:p>
      <w:pPr>
        <w:spacing w:after="0" w:line="13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 xml:space="preserve">Impairment of </w:t>
      </w:r>
      <w:r>
        <w:rPr>
          <w:rFonts w:ascii="Times New Roman" w:cs="Times New Roman" w:eastAsia="Times New Roman" w:hAnsi="Times New Roman"/>
          <w:sz w:val="22"/>
          <w:szCs w:val="22"/>
          <w:b w:val="1"/>
          <w:bCs w:val="1"/>
          <w:color w:val="auto"/>
        </w:rPr>
        <w:t>50%</w:t>
      </w:r>
      <w:r>
        <w:rPr>
          <w:rFonts w:ascii="Times New Roman" w:cs="Times New Roman" w:eastAsia="Times New Roman" w:hAnsi="Times New Roman"/>
          <w:sz w:val="22"/>
          <w:szCs w:val="22"/>
          <w:b w:val="1"/>
          <w:bCs w:val="1"/>
          <w:i w:val="1"/>
          <w:iCs w:val="1"/>
          <w:color w:val="auto"/>
        </w:rPr>
        <w:t xml:space="preserve"> or Less Owned Companies. </w:t>
      </w:r>
      <w:r>
        <w:rPr>
          <w:rFonts w:ascii="Times New Roman" w:cs="Times New Roman" w:eastAsia="Times New Roman" w:hAnsi="Times New Roman"/>
          <w:sz w:val="22"/>
          <w:szCs w:val="22"/>
          <w:color w:val="auto"/>
        </w:rPr>
        <w:t>Investments in 50% or less owned companies are reviewed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nine months ended September 30, 2026 and 2025, the Company did not recognize any impairment charges related to its 50% or less owned companies.</w:t>
      </w:r>
    </w:p>
    <w:p>
      <w:pPr>
        <w:spacing w:after="0" w:line="13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Income Taxes. </w:t>
      </w:r>
      <w:r>
        <w:rPr>
          <w:rFonts w:ascii="Times New Roman" w:cs="Times New Roman" w:eastAsia="Times New Roman" w:hAnsi="Times New Roman"/>
          <w:sz w:val="22"/>
          <w:szCs w:val="22"/>
          <w:color w:val="auto"/>
        </w:rPr>
        <w:t>During the nine months ended September 30, 2026, the Company’s effective income tax rate of 48.9%</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was primarily due to foreign taxes paid that are not creditable against U.S. income taxes and foreign losses for which there is no benefit in the U.S. for income tax purposes.</w:t>
      </w:r>
    </w:p>
    <w:p>
      <w:pPr>
        <w:spacing w:after="0" w:line="13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Earnings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Loss) Per Share. </w:t>
      </w:r>
      <w:r>
        <w:rPr>
          <w:rFonts w:ascii="Times New Roman" w:cs="Times New Roman" w:eastAsia="Times New Roman" w:hAnsi="Times New Roman"/>
          <w:sz w:val="22"/>
          <w:szCs w:val="22"/>
          <w:color w:val="auto"/>
        </w:rPr>
        <w:t>Basic earnings/loss per share of Common Stock of SEACOR Marine is computed based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weighted average number of shares of Common Stock and warrants to purchase Common Stock at an exercise price of $0.01 per share (“Warrants”)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unless anti-dilutive. As of June 30, 2025, the Company no longer had any Warrants outstanding as a result of the completion of the repurchase of the Warrants as previously described in the 2025 Annual Report.</w:t>
      </w:r>
    </w:p>
    <w:p>
      <w:pPr>
        <w:spacing w:after="0" w:line="13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the three months ended September 30, 2025, diluted earnings per share of Common Stock included 163,749 shares of restricted stock, 50,443 shares of Common Stock issuable upon exercise of outstanding stock options, and 15,710 of performance-based restricted stock units as the effect of their inclusion in the computation would be dilutive. For the three months ended September 30, 2026 and 2025, diluted (loss) earnings per share of Common Stock excluded 1,057,069 and 1,185,624 shares of restricted stock, respectively, and 986,069 and 958,422 shares of Common Stock, respectively, issuable upon exercise of outstanding stock options, as the effect of their inclusion in the computation would be anti-dilutive.</w:t>
      </w:r>
    </w:p>
    <w:p>
      <w:pPr>
        <w:spacing w:after="0" w:line="14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the nine months ended September 30, 2026 and 2025, diluted loss per share of Common Stock excluded 1,057,069 and 1,349,373 shares of restricted stock, respectively, and 986,069 and 1,008,865 shares of Common Stock, respectively, issuable upon exercise of outstanding stock options, as the effect of their inclusion in the computation would be anti-dilutive.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 w:name="page13"/>
    <w:bookmarkEnd w:id="12"/>
    <w:p>
      <w:pPr>
        <w:ind w:left="760" w:hanging="752"/>
        <w:spacing w:after="0"/>
        <w:tabs>
          <w:tab w:leader="none" w:pos="760" w:val="left"/>
        </w:tabs>
        <w:numPr>
          <w:ilvl w:val="0"/>
          <w:numId w:val="4"/>
        </w:numPr>
        <w:rPr>
          <w:rFonts w:ascii="Times New Roman" w:cs="Times New Roman" w:eastAsia="Times New Roman" w:hAnsi="Times New Roman"/>
          <w:sz w:val="22"/>
          <w:szCs w:val="22"/>
          <w:b w:val="1"/>
          <w:bCs w:val="1"/>
          <w:color w:val="222222"/>
        </w:rPr>
      </w:pPr>
      <w:r>
        <w:rPr>
          <w:rFonts w:ascii="Times New Roman" w:cs="Times New Roman" w:eastAsia="Times New Roman" w:hAnsi="Times New Roman"/>
          <w:sz w:val="22"/>
          <w:szCs w:val="22"/>
          <w:b w:val="1"/>
          <w:bCs w:val="1"/>
          <w:color w:val="222222"/>
        </w:rPr>
        <w:t>EQUIPMENT ACQUISITIONS AND DISPOSITIONS</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222222"/>
        </w:rPr>
        <w:t xml:space="preserve">During the nine months ended September 30, 2026, capital expenditures were </w:t>
      </w:r>
      <w:r>
        <w:rPr>
          <w:rFonts w:ascii="Times New Roman" w:cs="Times New Roman" w:eastAsia="Times New Roman" w:hAnsi="Times New Roman"/>
          <w:sz w:val="22"/>
          <w:szCs w:val="22"/>
          <w:color w:val="000000"/>
        </w:rPr>
        <w:t>$19.6 million and there were no</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 xml:space="preserve">equipment deliveries. </w:t>
      </w:r>
      <w:r>
        <w:rPr>
          <w:rFonts w:ascii="Times New Roman" w:cs="Times New Roman" w:eastAsia="Times New Roman" w:hAnsi="Times New Roman"/>
          <w:sz w:val="22"/>
          <w:szCs w:val="22"/>
          <w:color w:val="222222"/>
        </w:rPr>
        <w:t>During the nine months ended September 30, 2026, the Company sold three platform supply vessels</w:t>
      </w:r>
      <w:r>
        <w:rPr>
          <w:rFonts w:ascii="Times New Roman" w:cs="Times New Roman" w:eastAsia="Times New Roman" w:hAnsi="Times New Roman"/>
          <w:sz w:val="22"/>
          <w:szCs w:val="22"/>
          <w:color w:val="000000"/>
        </w:rPr>
        <w:t xml:space="preserve"> (“PSV”), two liftboats and one fast </w:t>
      </w:r>
      <w:r>
        <w:rPr>
          <w:rFonts w:ascii="Times New Roman" w:cs="Times New Roman" w:eastAsia="Times New Roman" w:hAnsi="Times New Roman"/>
          <w:sz w:val="22"/>
          <w:szCs w:val="22"/>
          <w:color w:val="222222"/>
        </w:rPr>
        <w:t>support vessel</w:t>
      </w:r>
      <w:r>
        <w:rPr>
          <w:rFonts w:ascii="Times New Roman" w:cs="Times New Roman" w:eastAsia="Times New Roman" w:hAnsi="Times New Roman"/>
          <w:sz w:val="22"/>
          <w:szCs w:val="22"/>
          <w:color w:val="000000"/>
        </w:rPr>
        <w:t xml:space="preserve"> (“FSV”)</w:t>
      </w:r>
      <w:r>
        <w:rPr>
          <w:rFonts w:ascii="Times New Roman" w:cs="Times New Roman" w:eastAsia="Times New Roman" w:hAnsi="Times New Roman"/>
          <w:sz w:val="22"/>
          <w:szCs w:val="22"/>
          <w:color w:val="222222"/>
        </w:rPr>
        <w:t>, each previously classified as held for sale, and other equipment</w:t>
      </w:r>
      <w:r>
        <w:rPr>
          <w:rFonts w:ascii="Times New Roman" w:cs="Times New Roman" w:eastAsia="Times New Roman" w:hAnsi="Times New Roman"/>
          <w:sz w:val="22"/>
          <w:szCs w:val="22"/>
          <w:color w:val="000000"/>
        </w:rPr>
        <w:t xml:space="preserve"> for net cash proceeds of $57.7 million after transaction costs, for a gain of $38.8 million. During the nine months ended September 30, 2025, the Company sold two PSVs and one FSV</w:t>
      </w:r>
      <w:r>
        <w:rPr>
          <w:rFonts w:ascii="Times New Roman" w:cs="Times New Roman" w:eastAsia="Times New Roman" w:hAnsi="Times New Roman"/>
          <w:sz w:val="22"/>
          <w:szCs w:val="22"/>
          <w:color w:val="222222"/>
        </w:rPr>
        <w:t>, each previously classified as held for sale, as well as three</w:t>
      </w:r>
      <w:r>
        <w:rPr>
          <w:rFonts w:ascii="Times New Roman" w:cs="Times New Roman" w:eastAsia="Times New Roman" w:hAnsi="Times New Roman"/>
          <w:sz w:val="22"/>
          <w:szCs w:val="22"/>
          <w:color w:val="000000"/>
        </w:rPr>
        <w:t xml:space="preserve"> liftboats </w:t>
      </w:r>
      <w:r>
        <w:rPr>
          <w:rFonts w:ascii="Times New Roman" w:cs="Times New Roman" w:eastAsia="Times New Roman" w:hAnsi="Times New Roman"/>
          <w:sz w:val="22"/>
          <w:szCs w:val="22"/>
          <w:color w:val="222222"/>
        </w:rPr>
        <w:t>and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22222"/>
        </w:rPr>
        <w:t xml:space="preserve">other equipment, each not previously classified as held for sale, </w:t>
      </w:r>
      <w:r>
        <w:rPr>
          <w:rFonts w:ascii="Times New Roman" w:cs="Times New Roman" w:eastAsia="Times New Roman" w:hAnsi="Times New Roman"/>
          <w:sz w:val="22"/>
          <w:szCs w:val="22"/>
          <w:color w:val="000000"/>
        </w:rPr>
        <w:t>for net cash proceeds of $116.1 million after transaction costs, for</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a gain of $55.2 million.</w:t>
      </w:r>
    </w:p>
    <w:p>
      <w:pPr>
        <w:spacing w:after="0" w:line="139"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INVESTMENTS, AT EQUITY, AND ADVANCES TO 50% OR LESS OWNED </w:t>
      </w:r>
      <w:r>
        <w:rPr>
          <w:rFonts w:ascii="Times New Roman" w:cs="Times New Roman" w:eastAsia="Times New Roman" w:hAnsi="Times New Roman"/>
          <w:sz w:val="22"/>
          <w:szCs w:val="22"/>
          <w:b w:val="1"/>
          <w:bCs w:val="1"/>
          <w:color w:val="222222"/>
        </w:rPr>
        <w:t>COMPANIES</w:t>
      </w:r>
    </w:p>
    <w:p>
      <w:pPr>
        <w:spacing w:after="0" w:line="17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Investments, at equity, and advances to 50% or less owned companies as of September 30, 2026 and December 31, 2025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19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r>
      <w:tr>
        <w:trPr>
          <w:trHeight w:val="19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Seabulk Angola</w:t>
            </w:r>
          </w:p>
        </w:tc>
        <w:tc>
          <w:tcPr>
            <w:tcW w:w="2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SEACOR Marine Arabia</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45.0%</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20" w:type="dxa"/>
            <w:vAlign w:val="bottom"/>
          </w:tcPr>
          <w:p>
            <w:pPr>
              <w:spacing w:after="0"/>
              <w:rPr>
                <w:sz w:val="17"/>
                <w:szCs w:val="17"/>
                <w:color w:val="auto"/>
              </w:rPr>
            </w:pPr>
          </w:p>
        </w:tc>
      </w:tr>
      <w:tr>
        <w:trPr>
          <w:trHeight w:val="203"/>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20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20.0% - 50.0%</w:t>
            </w:r>
          </w:p>
        </w:tc>
        <w:tc>
          <w:tcPr>
            <w:tcW w:w="16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2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-162560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5" w:lineRule="exact"/>
        <w:rPr>
          <w:sz w:val="20"/>
          <w:szCs w:val="20"/>
          <w:color w:val="auto"/>
        </w:rPr>
      </w:pPr>
    </w:p>
    <w:p>
      <w:pPr>
        <w:ind w:left="760" w:hanging="752"/>
        <w:spacing w:after="0"/>
        <w:tabs>
          <w:tab w:leader="none" w:pos="7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LONG-TERM DEBT</w:t>
      </w:r>
    </w:p>
    <w:p>
      <w:pPr>
        <w:spacing w:after="0" w:line="1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Company’s long-term debt obligations as of September 30, 2026 and December 31, 2025 were as follows (in thousands):</w:t>
      </w:r>
    </w:p>
    <w:p>
      <w:pPr>
        <w:sectPr>
          <w:pgSz w:w="11900" w:h="16838" w:orient="portrait"/>
          <w:cols w:equalWidth="0" w:num="1">
            <w:col w:w="11240"/>
          </w:cols>
          <w:pgMar w:left="320" w:top="1148" w:right="339" w:bottom="1440" w:gutter="0" w:footer="0" w:header="0"/>
        </w:sect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SMFH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 due within one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Unamortized debt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financing costs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less current portion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7"/>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316,400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338,900</w:t>
            </w:r>
          </w:p>
        </w:tc>
        <w:tc>
          <w:tcPr>
            <w:tcW w:w="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(31,048)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08"/>
        </w:trPr>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(3,607)</w:t>
            </w:r>
          </w:p>
        </w:tc>
      </w:tr>
      <w:tr>
        <w:trPr>
          <w:trHeight w:val="210"/>
        </w:trPr>
        <w:tc>
          <w:tcPr>
            <w:tcW w:w="1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02"/>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281,935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304,644</w:t>
            </w:r>
          </w:p>
        </w:tc>
        <w:tc>
          <w:tcPr>
            <w:tcW w:w="40" w:type="dxa"/>
            <w:vAlign w:val="bottom"/>
          </w:tcPr>
          <w:p>
            <w:pPr>
              <w:spacing w:after="0"/>
              <w:rPr>
                <w:sz w:val="17"/>
                <w:szCs w:val="17"/>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-702310</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-427990</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-153670</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6800" w:space="720"/>
            <w:col w:w="3720"/>
          </w:cols>
          <w:pgMar w:left="320" w:top="114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22"/>
          <w:szCs w:val="22"/>
          <w:color w:val="auto"/>
        </w:rPr>
        <w:t>As of September 30, 2026, the Company was in compliance with all debt covenants and lender requirements.</w:t>
      </w:r>
    </w:p>
    <w:p>
      <w:pPr>
        <w:spacing w:after="0" w:line="16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During the second quarter of 2026, the Company exercised its right to cancel the remaining $24.6 million of Tranche B of the 2024 SMFH Credit Facility available to be drawn to fund construction of two new PSVs because the Company has funded substantially all of the amounts remaining to be paid for the two PSVs through vessel and other asset sales, and such amounts are currently held in a restricted escrow account, with a balance of $33.0 million as of September 30, 2026.</w:t>
      </w:r>
    </w:p>
    <w:p>
      <w:pPr>
        <w:spacing w:after="0" w:line="134"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Letters of Credit</w:t>
      </w:r>
      <w:r>
        <w:rPr>
          <w:rFonts w:ascii="Times New Roman" w:cs="Times New Roman" w:eastAsia="Times New Roman" w:hAnsi="Times New Roman"/>
          <w:sz w:val="22"/>
          <w:szCs w:val="22"/>
          <w:color w:val="auto"/>
        </w:rPr>
        <w:t>. As of September 30, 2026 and December 31, 2025, the Company had outstanding letters of credit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$0.4 million securing lease obligations, labor and performance guaranties.</w:t>
      </w:r>
    </w:p>
    <w:p>
      <w:pPr>
        <w:spacing w:after="0" w:line="120"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LEASES</w:t>
      </w:r>
    </w:p>
    <w:p>
      <w:pPr>
        <w:spacing w:after="0" w:line="17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As of September 30, 2026, the Company leased-in certain facilities and other equipment but did not lease-in any vessels. The leases typically contain purchase and renewal options or rights of first refusal with respect to the sale or lease of the equipment. The lease terms of certain facilities and other equipment had a duration ranging from one to 243 months.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type w:val="continuous"/>
        </w:sectPr>
      </w:pPr>
    </w:p>
    <w:bookmarkStart w:id="13" w:name="page14"/>
    <w:bookmarkEnd w:id="13"/>
    <w:p>
      <w:pPr>
        <w:ind w:left="760"/>
        <w:spacing w:after="0"/>
        <w:rPr>
          <w:sz w:val="20"/>
          <w:szCs w:val="20"/>
          <w:color w:val="auto"/>
        </w:rPr>
      </w:pPr>
      <w:r>
        <w:rPr>
          <w:rFonts w:ascii="Times New Roman" w:cs="Times New Roman" w:eastAsia="Times New Roman" w:hAnsi="Times New Roman"/>
          <w:sz w:val="22"/>
          <w:szCs w:val="22"/>
          <w:color w:val="auto"/>
        </w:rPr>
        <w:t>As of September 30, 2026, future minimum payments for leases for the remainder of 2026 and the years ended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noted below,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00" w:type="dxa"/>
            <w:vAlign w:val="bottom"/>
          </w:tcPr>
          <w:p>
            <w:pPr>
              <w:spacing w:after="0"/>
              <w:rPr>
                <w:sz w:val="18"/>
                <w:szCs w:val="18"/>
                <w:color w:val="auto"/>
              </w:rPr>
            </w:pPr>
          </w:p>
        </w:tc>
      </w:tr>
      <w:tr>
        <w:trPr>
          <w:trHeight w:val="21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133</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52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Years subsequent to 2030</w:t>
            </w: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6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122</w:t>
            </w:r>
          </w:p>
        </w:tc>
      </w:tr>
      <w:tr>
        <w:trPr>
          <w:trHeight w:val="203"/>
        </w:trPr>
        <w:tc>
          <w:tcPr>
            <w:tcW w:w="52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component</w:t>
            </w: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6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108</w:t>
            </w:r>
          </w:p>
        </w:tc>
      </w:tr>
      <w:tr>
        <w:trPr>
          <w:trHeight w:val="203"/>
        </w:trPr>
        <w:tc>
          <w:tcPr>
            <w:tcW w:w="52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Current portion of long-term lease liabilities</w:t>
            </w: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Long-term lease liabilities</w:t>
            </w:r>
          </w:p>
        </w:tc>
        <w:tc>
          <w:tcPr>
            <w:tcW w:w="2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477</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the three and nine months ended September 30, 2026 and 2025 the components of lease expense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15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15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225"/>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costs</w:t>
            </w:r>
          </w:p>
        </w:tc>
        <w:tc>
          <w:tcPr>
            <w:tcW w:w="80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4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lease costs:</w:t>
            </w: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5840" w:type="dxa"/>
            <w:vAlign w:val="bottom"/>
            <w:gridSpan w:val="2"/>
            <w:shd w:val="clear" w:color="auto" w:fill="CFF0FC"/>
          </w:tcPr>
          <w:p>
            <w:pPr>
              <w:ind w:left="120"/>
              <w:spacing w:after="0" w:line="239" w:lineRule="exact"/>
              <w:rPr>
                <w:sz w:val="20"/>
                <w:szCs w:val="20"/>
                <w:color w:val="auto"/>
              </w:rPr>
            </w:pPr>
            <w:r>
              <w:rPr>
                <w:rFonts w:ascii="Times New Roman" w:cs="Times New Roman" w:eastAsia="Times New Roman" w:hAnsi="Times New Roman"/>
                <w:sz w:val="16"/>
                <w:szCs w:val="16"/>
                <w:color w:val="auto"/>
              </w:rPr>
              <w:t xml:space="preserve">Amortization of finance lease assets </w:t>
            </w:r>
            <w:r>
              <w:rPr>
                <w:rFonts w:ascii="Times New Roman" w:cs="Times New Roman" w:eastAsia="Times New Roman" w:hAnsi="Times New Roman"/>
                <w:sz w:val="21"/>
                <w:szCs w:val="21"/>
                <w:color w:val="auto"/>
                <w:vertAlign w:val="superscript"/>
              </w:rPr>
              <w:t>(1)</w:t>
            </w:r>
          </w:p>
        </w:tc>
        <w:tc>
          <w:tcPr>
            <w:tcW w:w="8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20"/>
                <w:szCs w:val="20"/>
                <w:color w:val="auto"/>
              </w:rPr>
            </w:pPr>
          </w:p>
        </w:tc>
      </w:tr>
      <w:tr>
        <w:trPr>
          <w:trHeight w:val="229"/>
        </w:trPr>
        <w:tc>
          <w:tcPr>
            <w:tcW w:w="584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6"/>
                <w:szCs w:val="16"/>
                <w:color w:val="auto"/>
              </w:rPr>
              <w:t xml:space="preserve">Interest on finance lease liabilities </w:t>
            </w:r>
            <w:r>
              <w:rPr>
                <w:rFonts w:ascii="Times New Roman" w:cs="Times New Roman" w:eastAsia="Times New Roman" w:hAnsi="Times New Roman"/>
                <w:sz w:val="21"/>
                <w:szCs w:val="21"/>
                <w:color w:val="auto"/>
                <w:vertAlign w:val="superscript"/>
              </w:rPr>
              <w:t>(2)</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r>
      <w:tr>
        <w:trPr>
          <w:trHeight w:val="213"/>
        </w:trPr>
        <w:tc>
          <w:tcPr>
            <w:tcW w:w="58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lease costs</w:t>
            </w:r>
          </w:p>
        </w:tc>
        <w:tc>
          <w:tcPr>
            <w:tcW w:w="8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199"/>
        </w:trPr>
        <w:tc>
          <w:tcPr>
            <w:tcW w:w="15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-264795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-264795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-264795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760" w:hanging="752"/>
        <w:spacing w:after="0"/>
        <w:tabs>
          <w:tab w:leader="none" w:pos="7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amortization costs in the consolidated statements of income (loss).</w:t>
      </w:r>
    </w:p>
    <w:p>
      <w:pPr>
        <w:spacing w:after="0" w:line="63" w:lineRule="exact"/>
        <w:rPr>
          <w:rFonts w:ascii="Times New Roman" w:cs="Times New Roman" w:eastAsia="Times New Roman" w:hAnsi="Times New Roman"/>
          <w:sz w:val="19"/>
          <w:szCs w:val="19"/>
          <w:color w:val="auto"/>
          <w:vertAlign w:val="superscript"/>
        </w:rPr>
      </w:pPr>
    </w:p>
    <w:p>
      <w:pPr>
        <w:ind w:left="760" w:hanging="752"/>
        <w:spacing w:after="0" w:line="237" w:lineRule="auto"/>
        <w:tabs>
          <w:tab w:leader="none" w:pos="7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interest expense in the consolidated statements of income (loss)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For the nine months ended September 30, 2026 and 2025 supplemental cash flow information related to leases was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cash outflows from operating leases</w:t>
            </w:r>
          </w:p>
        </w:tc>
        <w:tc>
          <w:tcPr>
            <w:tcW w:w="2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Financing cash outflows from finance leases</w:t>
            </w: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 obtained for operating lease liabilities</w:t>
            </w:r>
          </w:p>
        </w:tc>
        <w:tc>
          <w:tcPr>
            <w:tcW w:w="2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 obtained for finance lease liabilities</w:t>
            </w: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23"/>
        </w:trPr>
        <w:tc>
          <w:tcPr>
            <w:tcW w:w="10140" w:type="dxa"/>
            <w:vAlign w:val="bottom"/>
            <w:gridSpan w:val="6"/>
          </w:tcPr>
          <w:p>
            <w:pPr>
              <w:ind w:left="760"/>
              <w:spacing w:after="0"/>
              <w:rPr>
                <w:sz w:val="20"/>
                <w:szCs w:val="20"/>
                <w:color w:val="auto"/>
              </w:rPr>
            </w:pPr>
            <w:r>
              <w:rPr>
                <w:rFonts w:ascii="Times New Roman" w:cs="Times New Roman" w:eastAsia="Times New Roman" w:hAnsi="Times New Roman"/>
                <w:sz w:val="22"/>
                <w:szCs w:val="22"/>
                <w:color w:val="auto"/>
                <w:w w:val="98"/>
              </w:rPr>
              <w:t>For the nine months ended September 30, 2026 and 2025 other information related to leases was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r>
      <w:tr>
        <w:trPr>
          <w:trHeight w:val="199"/>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 - operating leases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FF0FC"/>
          </w:tcPr>
          <w:p>
            <w:pPr>
              <w:spacing w:after="0"/>
              <w:rPr>
                <w:sz w:val="17"/>
                <w:szCs w:val="17"/>
                <w:color w:val="auto"/>
              </w:rPr>
            </w:pPr>
          </w:p>
        </w:tc>
      </w:tr>
      <w:tr>
        <w:trPr>
          <w:trHeight w:val="203"/>
        </w:trPr>
        <w:tc>
          <w:tcPr>
            <w:tcW w:w="8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 - finance leases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7"/>
                <w:szCs w:val="17"/>
                <w:color w:val="auto"/>
              </w:rPr>
            </w:pPr>
          </w:p>
        </w:tc>
      </w:tr>
      <w:tr>
        <w:trPr>
          <w:trHeight w:val="203"/>
        </w:trPr>
        <w:tc>
          <w:tcPr>
            <w:tcW w:w="8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discount rate - operating leases</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r>
      <w:tr>
        <w:trPr>
          <w:trHeight w:val="210"/>
        </w:trPr>
        <w:tc>
          <w:tcPr>
            <w:tcW w:w="8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discount rate - finance leases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11.0%</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4" w:name="page15"/>
    <w:bookmarkEnd w:id="14"/>
    <w:p>
      <w:pPr>
        <w:ind w:left="760" w:hanging="752"/>
        <w:spacing w:after="0"/>
        <w:tabs>
          <w:tab w:leader="none" w:pos="76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TAXES</w:t>
      </w:r>
    </w:p>
    <w:p>
      <w:pPr>
        <w:spacing w:after="0" w:line="1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reconciles the difference between the statutory federal income tax rate for the Company and the effective income tax rate for the nine months ended September 30, 2026: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Statutory rate</w:t>
            </w:r>
          </w:p>
        </w:tc>
        <w:tc>
          <w:tcPr>
            <w:tcW w:w="2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(21.0)%</w:t>
            </w:r>
          </w:p>
        </w:tc>
      </w:tr>
      <w:tr>
        <w:trPr>
          <w:trHeight w:val="203"/>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Foreign taxes</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49.6%</w:t>
            </w:r>
          </w:p>
        </w:tc>
      </w:tr>
      <w:tr>
        <w:trPr>
          <w:trHeight w:val="203"/>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(loss) of foreign subsidiaries not includable in U.S. return</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12.9%</w:t>
            </w:r>
          </w:p>
        </w:tc>
      </w:tr>
      <w:tr>
        <w:trPr>
          <w:trHeight w:val="203"/>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162(m) - executive compensation</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Subpart F Income and GILTI</w:t>
            </w:r>
          </w:p>
        </w:tc>
        <w:tc>
          <w:tcPr>
            <w:tcW w:w="2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Share award plans</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9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2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9200" w:type="dxa"/>
            <w:vAlign w:val="bottom"/>
            <w:shd w:val="clear" w:color="auto" w:fill="CFF0FC"/>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9200" w:type="dxa"/>
            <w:vAlign w:val="bottom"/>
          </w:tcPr>
          <w:p>
            <w:pPr>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r>
      <w:tr>
        <w:trPr>
          <w:trHeight w:val="20"/>
        </w:trPr>
        <w:tc>
          <w:tcPr>
            <w:tcW w:w="92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-162560</wp:posOffset>
            </wp:positionV>
            <wp:extent cx="1289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38"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DERIVATIVE INSTRUMENTS AND HEDGING STRATEGIES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Derivative instruments are classified as either assets, which are included in other receivables in the accompanying consolidated balance sheets, or liabilities based on their individual fair values. As of September 30, 2026 and December 31, 2025, the Company had no outstanding derivative instruments.</w:t>
      </w:r>
    </w:p>
    <w:p>
      <w:pPr>
        <w:spacing w:after="0" w:line="14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Economic Hedges. </w:t>
      </w:r>
      <w:r>
        <w:rPr>
          <w:rFonts w:ascii="Times New Roman" w:cs="Times New Roman" w:eastAsia="Times New Roman" w:hAnsi="Times New Roman"/>
          <w:sz w:val="22"/>
          <w:szCs w:val="22"/>
          <w:color w:val="auto"/>
        </w:rPr>
        <w:t>The Company may enter into and settle forward currency exchange, option and future contracts with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respect 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12 to 18 months. During the fourth quarter of 2023, the Company entered into a forward currency exchange contract related to the purchase of four hybrid battery power systems, the purchase price for which is denominated in Norwegian Kroner. The Company recognized gains of $0.2 million during the nine months ended September 30, 2025 on this contract, which were recognized in earnings. As of September 30, 2026 and December 31, 2025, the Company had no outstanding forward currency exchange contract.</w:t>
      </w:r>
    </w:p>
    <w:p>
      <w:pPr>
        <w:spacing w:after="0" w:line="13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Cash Flow Hedges. </w:t>
      </w:r>
      <w:r>
        <w:rPr>
          <w:rFonts w:ascii="Times New Roman" w:cs="Times New Roman" w:eastAsia="Times New Roman" w:hAnsi="Times New Roman"/>
          <w:sz w:val="22"/>
          <w:szCs w:val="22"/>
          <w:color w:val="auto"/>
        </w:rPr>
        <w:t>The Company may from time to time enter into interest rate swap agreements designated as cash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flow hedges. By entering into interest rate swap agreements, the Company can convert the variable interest component of certain of their outstanding borrowings to a fixed interest rate. As of September 30, 2026 and December 31, 2025, there were no interest rate swaps held by the Company and the Company had no floating rate debt.</w:t>
      </w:r>
    </w:p>
    <w:p>
      <w:pPr>
        <w:spacing w:after="0" w:line="13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Other Derivative Instruments. </w:t>
      </w:r>
      <w:r>
        <w:rPr>
          <w:rFonts w:ascii="Times New Roman" w:cs="Times New Roman" w:eastAsia="Times New Roman" w:hAnsi="Times New Roman"/>
          <w:sz w:val="22"/>
          <w:szCs w:val="22"/>
          <w:color w:val="auto"/>
        </w:rPr>
        <w:t>The Company had no derivative instruments not designated as hedging instruments for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three and nine months ended September 30, 2026 and recognized gains on derivative instruments not designated as hedging instruments for the three and nine months ended September 30, 2025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4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Forward currency exchange, option, and future contracts</w:t>
            </w:r>
          </w:p>
        </w:tc>
        <w:tc>
          <w:tcPr>
            <w:tcW w:w="192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10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FF0FC"/>
          </w:tcPr>
          <w:p>
            <w:pPr>
              <w:spacing w:after="0"/>
              <w:rPr>
                <w:sz w:val="17"/>
                <w:szCs w:val="17"/>
                <w:color w:val="auto"/>
              </w:rPr>
            </w:pPr>
          </w:p>
        </w:tc>
      </w:tr>
    </w:tbl>
    <w:p>
      <w:pPr>
        <w:spacing w:after="0" w:line="14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forward currency exchange contract relates to the purchase of four hybrid battery power systems discussed in “— Economic Hedges” above. As of September 30, 2026, the Company had no outstanding foreign currency exchange contract.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15" w:name="page16"/>
    <w:bookmarkEnd w:id="15"/>
    <w:p>
      <w:pPr>
        <w:ind w:left="760" w:hanging="752"/>
        <w:spacing w:after="0"/>
        <w:tabs>
          <w:tab w:leader="none" w:pos="7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VALUE MEASUREMENTS</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1 inputs are quoted prices in active markets for identical assets or liabilities.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2 inputs are observable inputs other than quoted prices included in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Times New Roman" w:cs="Times New Roman" w:eastAsia="Times New Roman" w:hAnsi="Times New Roman"/>
          <w:sz w:val="22"/>
          <w:szCs w:val="22"/>
          <w:i w:val="1"/>
          <w:iCs w:val="1"/>
          <w:color w:val="auto"/>
        </w:rPr>
        <w:t>Level</w:t>
      </w:r>
      <w:r>
        <w:rPr>
          <w:rFonts w:ascii="Times New Roman" w:cs="Times New Roman" w:eastAsia="Times New Roman" w:hAnsi="Times New Roman"/>
          <w:sz w:val="22"/>
          <w:szCs w:val="22"/>
          <w:color w:val="auto"/>
        </w:rPr>
        <w:t xml:space="preserve"> 3 inputs are unobservable inputs that are supported by little or no market activity and are significant to the fair value of the assets or liabilities. The Company had no financial assets and liabilities as of September 30, 2026 and December 31, 2025 that are measured at fair value on a recurring basis.</w:t>
      </w:r>
    </w:p>
    <w:p>
      <w:pPr>
        <w:spacing w:after="0" w:line="14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estimated fair values of the Company’s other financial assets and liabilities as of September 30, 2026 and December 31, 2025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2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1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6"/>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312,983</w:t>
            </w:r>
          </w:p>
        </w:tc>
        <w:tc>
          <w:tcPr>
            <w:tcW w:w="260" w:type="dxa"/>
            <w:vAlign w:val="bottom"/>
          </w:tcPr>
          <w:p>
            <w:pPr>
              <w:spacing w:after="0"/>
              <w:rPr>
                <w:sz w:val="17"/>
                <w:szCs w:val="17"/>
                <w:color w:val="auto"/>
              </w:rPr>
            </w:pPr>
          </w:p>
        </w:tc>
        <w:tc>
          <w:tcPr>
            <w:tcW w:w="116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316,494</w:t>
            </w:r>
          </w:p>
        </w:tc>
        <w:tc>
          <w:tcPr>
            <w:tcW w:w="220" w:type="dxa"/>
            <w:vAlign w:val="bottom"/>
          </w:tcPr>
          <w:p>
            <w:pPr>
              <w:spacing w:after="0"/>
              <w:rPr>
                <w:sz w:val="17"/>
                <w:szCs w:val="17"/>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334,644</w:t>
            </w:r>
          </w:p>
        </w:tc>
        <w:tc>
          <w:tcPr>
            <w:tcW w:w="260" w:type="dxa"/>
            <w:vAlign w:val="bottom"/>
            <w:shd w:val="clear" w:color="auto" w:fill="CFF0FC"/>
          </w:tcPr>
          <w:p>
            <w:pPr>
              <w:spacing w:after="0"/>
              <w:rPr>
                <w:sz w:val="17"/>
                <w:szCs w:val="17"/>
                <w:color w:val="auto"/>
              </w:rPr>
            </w:pPr>
          </w:p>
        </w:tc>
        <w:tc>
          <w:tcPr>
            <w:tcW w:w="116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w w:val="87"/>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346,257</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-281940</wp:posOffset>
            </wp:positionV>
            <wp:extent cx="768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26035"/>
                    </a:xfrm>
                    <a:prstGeom prst="rect">
                      <a:avLst/>
                    </a:prstGeom>
                    <a:noFill/>
                  </pic:spPr>
                </pic:pic>
              </a:graphicData>
            </a:graphic>
          </wp:anchor>
        </w:drawing>
      </w:r>
    </w:p>
    <w:p>
      <w:pPr>
        <w:spacing w:after="0" w:line="14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carrying value of cash, cash equivalents, restricted cash and trade receivables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and, accordingly, the estimates presented herein are not necessarily indicative of the amounts that the Company could realize in a current market exchange.</w:t>
      </w:r>
    </w:p>
    <w:p>
      <w:pPr>
        <w:spacing w:after="0" w:line="130"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Property and equipment</w:t>
      </w:r>
      <w:r>
        <w:rPr>
          <w:rFonts w:ascii="Times New Roman" w:cs="Times New Roman" w:eastAsia="Times New Roman" w:hAnsi="Times New Roman"/>
          <w:sz w:val="22"/>
          <w:szCs w:val="22"/>
          <w:color w:val="auto"/>
        </w:rPr>
        <w:t>. As of September 30, 2026 and December 31, 2025, the Company recognized no impairment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charges on any owned vessels.</w:t>
      </w:r>
    </w:p>
    <w:p>
      <w:pPr>
        <w:spacing w:after="0" w:line="107"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COMMITMENTS AND CONTINGENCIES</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As of September 30, 2026, the Company had unfunded capital commitments of $37.4 million consisting of $35.5 million in respect of the construction of two PSVs, $1.7 million in respect of two hybrid battery power systems and $0.2 million for miscellaneous vessel equipment. Of the unfunded capital commitments, $18.0 million is payable during the remainder of 2026, $17.7 million is payable during 2027 and the remainder is payable during 2028. As of September 30, 2026, $33.0 million of proceeds from prior vessel sales remained in a restricted account designated to make payments on the construction of the two PSVs, consistent with the terms of the 2024 SMFH Credit Facility as previously described in the 2025 Annual Report. The funds deposited in the restricted account will be used to fund the remaining payments for the construction of the two PSVs, without the need for any additional proceeds from Tranche B of the 2024 SMFH Credit Facility, of which $16.4 million was drawn as of September 30, 2026. During the second quarter of 2026, the Company exercised its right to cancel the remaining borrowing capacity of $24.6 million of this tranche in accordance with the terms of the 2024 SMFH Credit Facility.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6" w:name="page17"/>
    <w:bookmarkEnd w:id="16"/>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A local Brazilian law has been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R$32.4 million based on a historical potential levy of R$12.87 million (USD $6.2 million and USD $2.5 million, respectively, based on the exchange rate as of September 30, 2026).</w:t>
      </w:r>
    </w:p>
    <w:p>
      <w:pPr>
        <w:spacing w:after="0" w:line="15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that such changes in estimated costs would have a material effect on the Company’s consolidated financial position, results of operations or cash flows.</w:t>
      </w:r>
    </w:p>
    <w:p>
      <w:pPr>
        <w:spacing w:after="0" w:line="14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September 30, 2026, all invoices received related to MNOPF and MNRPF have been settled in full.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7" w:name="page18"/>
    <w:bookmarkEnd w:id="17"/>
    <w:p>
      <w:pPr>
        <w:ind w:left="760" w:hanging="752"/>
        <w:spacing w:after="0"/>
        <w:tabs>
          <w:tab w:leader="none" w:pos="76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STOCK BASED COMPENSATION</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Transactions in connection with the Company’s Equity Incentive Plans during the nine months ended September 30, 2026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Restricted Stock Activity:</w:t>
            </w:r>
          </w:p>
        </w:tc>
        <w:tc>
          <w:tcPr>
            <w:tcW w:w="1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1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Outstanding as of December 31, 2025 </w:t>
            </w:r>
            <w:r>
              <w:rPr>
                <w:rFonts w:ascii="Times New Roman" w:cs="Times New Roman" w:eastAsia="Times New Roman" w:hAnsi="Times New Roman"/>
                <w:sz w:val="21"/>
                <w:szCs w:val="21"/>
                <w:color w:val="auto"/>
                <w:vertAlign w:val="superscript"/>
              </w:rPr>
              <w:t>(1)</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1,304,145</w:t>
            </w:r>
          </w:p>
        </w:tc>
      </w:tr>
      <w:tr>
        <w:trPr>
          <w:trHeight w:val="203"/>
        </w:trPr>
        <w:tc>
          <w:tcPr>
            <w:tcW w:w="9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Granted</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468,987</w:t>
            </w:r>
          </w:p>
        </w:tc>
      </w:tr>
      <w:tr>
        <w:trPr>
          <w:trHeight w:val="203"/>
        </w:trPr>
        <w:tc>
          <w:tcPr>
            <w:tcW w:w="91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Vested </w:t>
            </w:r>
            <w:r>
              <w:rPr>
                <w:rFonts w:ascii="Times New Roman" w:cs="Times New Roman" w:eastAsia="Times New Roman" w:hAnsi="Times New Roman"/>
                <w:sz w:val="21"/>
                <w:szCs w:val="21"/>
                <w:color w:val="auto"/>
                <w:vertAlign w:val="superscript"/>
              </w:rPr>
              <w:t>(2)</w:t>
            </w: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(710,637)</w:t>
            </w:r>
          </w:p>
        </w:tc>
      </w:tr>
      <w:tr>
        <w:trPr>
          <w:trHeight w:val="203"/>
        </w:trPr>
        <w:tc>
          <w:tcPr>
            <w:tcW w:w="9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Forfeited</w:t>
            </w: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(5,426)</w:t>
            </w:r>
          </w:p>
        </w:tc>
      </w:tr>
      <w:tr>
        <w:trPr>
          <w:trHeight w:val="196"/>
        </w:trPr>
        <w:tc>
          <w:tcPr>
            <w:tcW w:w="918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6"/>
                <w:szCs w:val="16"/>
                <w:color w:val="auto"/>
              </w:rPr>
              <w:t xml:space="preserve">Outstanding as of September 30, 2026 </w:t>
            </w:r>
            <w:r>
              <w:rPr>
                <w:rFonts w:ascii="Times New Roman" w:cs="Times New Roman" w:eastAsia="Times New Roman" w:hAnsi="Times New Roman"/>
                <w:sz w:val="21"/>
                <w:szCs w:val="21"/>
                <w:color w:val="auto"/>
                <w:vertAlign w:val="superscript"/>
              </w:rPr>
              <w:t>(3)</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1,057,069</w:t>
            </w:r>
          </w:p>
        </w:tc>
        <w:tc>
          <w:tcPr>
            <w:tcW w:w="100" w:type="dxa"/>
            <w:vAlign w:val="bottom"/>
            <w:tcBorders>
              <w:top w:val="single" w:sz="8" w:color="CFF0FC"/>
            </w:tcBorders>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500" w:type="dxa"/>
            <w:vAlign w:val="bottom"/>
            <w:shd w:val="clear" w:color="auto" w:fill="CFF0FC"/>
          </w:tcPr>
          <w:p>
            <w:pPr>
              <w:spacing w:after="0"/>
              <w:rPr>
                <w:sz w:val="15"/>
                <w:szCs w:val="15"/>
                <w:color w:val="auto"/>
              </w:rPr>
            </w:pPr>
          </w:p>
        </w:tc>
        <w:tc>
          <w:tcPr>
            <w:tcW w:w="768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9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 Option Activity:</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December 31, 2025</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1,006,365</w:t>
            </w:r>
          </w:p>
        </w:tc>
      </w:tr>
      <w:tr>
        <w:trPr>
          <w:trHeight w:val="203"/>
        </w:trPr>
        <w:tc>
          <w:tcPr>
            <w:tcW w:w="9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9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Exercised</w:t>
            </w:r>
          </w:p>
        </w:tc>
        <w:tc>
          <w:tcPr>
            <w:tcW w:w="2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(18,296)</w:t>
            </w:r>
          </w:p>
        </w:tc>
      </w:tr>
      <w:tr>
        <w:trPr>
          <w:trHeight w:val="203"/>
        </w:trPr>
        <w:tc>
          <w:tcPr>
            <w:tcW w:w="9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(2,000)</w:t>
            </w:r>
          </w:p>
        </w:tc>
      </w:tr>
      <w:tr>
        <w:trPr>
          <w:trHeight w:val="236"/>
        </w:trPr>
        <w:tc>
          <w:tcPr>
            <w:tcW w:w="9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as of September 30, 2026</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986,069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76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760" w:hanging="752"/>
        <w:spacing w:after="0" w:line="212" w:lineRule="auto"/>
        <w:tabs>
          <w:tab w:leader="none" w:pos="7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30,923 grants of performance-based restricted stock units that satisfied the performance obligation and are therefore likely to vest and excludes 585,842 grants of performance-based restricted stock units that are not considered outstanding until such time that they become probable to vest.</w:t>
      </w:r>
    </w:p>
    <w:p>
      <w:pPr>
        <w:spacing w:after="0" w:line="1" w:lineRule="exact"/>
        <w:rPr>
          <w:rFonts w:ascii="Times New Roman" w:cs="Times New Roman" w:eastAsia="Times New Roman" w:hAnsi="Times New Roman"/>
          <w:sz w:val="19"/>
          <w:szCs w:val="19"/>
          <w:color w:val="auto"/>
          <w:vertAlign w:val="superscript"/>
        </w:rPr>
      </w:pPr>
    </w:p>
    <w:p>
      <w:pPr>
        <w:ind w:left="760" w:hanging="752"/>
        <w:spacing w:after="0" w:line="237" w:lineRule="auto"/>
        <w:tabs>
          <w:tab w:leader="none" w:pos="7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30,923 vested grants of performance-based restricted stock units.</w:t>
      </w:r>
    </w:p>
    <w:p>
      <w:pPr>
        <w:spacing w:after="0" w:line="64" w:lineRule="exact"/>
        <w:rPr>
          <w:rFonts w:ascii="Times New Roman" w:cs="Times New Roman" w:eastAsia="Times New Roman" w:hAnsi="Times New Roman"/>
          <w:sz w:val="19"/>
          <w:szCs w:val="19"/>
          <w:color w:val="auto"/>
          <w:vertAlign w:val="superscript"/>
        </w:rPr>
      </w:pPr>
    </w:p>
    <w:p>
      <w:pPr>
        <w:ind w:left="760" w:hanging="752"/>
        <w:spacing w:after="0" w:line="207" w:lineRule="auto"/>
        <w:tabs>
          <w:tab w:leader="none" w:pos="7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79,755 grants of performance-based restricted stock units that satisfied the performance obligation and are therefore likely to vest and excludes 521,925 grants of performance-based restricted stock units that are not considered outstanding until such time that they become probable to vest.</w:t>
      </w:r>
    </w:p>
    <w:p>
      <w:pPr>
        <w:spacing w:after="0" w:line="14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For the nine months ended September 30, 2026, the Company acquired for treasury (i) 220,968 shares of Common Stock from its directors and employees to cover their tax withholding obligations upon the vesting of restricted share awards for an aggregate purchase price of $1.7 million, and (ii) 12,721 shares of Common Stock from its employees to cover their tax withholding obligations upon the vesting of performance-based restricted stock units for an aggregate purchase price of $0.1 million. These shares were purchased in accordance with the terms of the Company’s 2022 Equity Incentive Plan or 2025 Equity Incentive Plan, as applicable.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8" w:name="page19"/>
    <w:bookmarkEnd w:id="18"/>
    <w:p>
      <w:pPr>
        <w:ind w:left="760" w:hanging="752"/>
        <w:spacing w:after="0"/>
        <w:tabs>
          <w:tab w:leader="none" w:pos="7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SEGMENT INFORMATION</w:t>
      </w:r>
    </w:p>
    <w:p>
      <w:pPr>
        <w:spacing w:after="0" w:line="18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Company’s segment presentation and basis of measurement of segment profit or loss were changed in the second quarter of 2026 from what was previously described in the 2025 Annual Report. Certain reclassifications of prior period information have been made to conform the current period’s reportable segment presentation as a result of the Company’s decision to consolidate management of the United States (primarily Gulf of America) and Latin America (primarily Guyana, Brazil and Mexico) segments into a combined Americas segment. In prior periods the United States and Latin America were reported as separate segments. Due to the reduction of the United States operating segment through reduced charter activities as well as the repositioning of vessels out of the region, the Company’s United States operations are no longer analyzed by the chief operating decision maker on a standalone basis but rather as part of the Americas segment. As a result, for purposes of segment reporting and management oversight, the United States operations are now combined with the Latin America operations and reported and managed as a combined Americas segment, and prior period information has been conformed to the new consolidated reporting segment. The following tables summarize the operating results, capital expenditures and assets of the Company’s reportable segments for the periods indicated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 xml:space="preserve">Americas </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East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and Europe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2026</w:t>
            </w: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Time charter</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Bareboat charter</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marine services</w:t>
            </w: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27,853</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Repairs and maintenance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Drydocking</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Fuel, lubes and supplies</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14,292</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 Vessel Profit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expense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Losses on asset dispositions and impairments, net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-2425065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-2425065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-2425065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-1113790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-1113790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-1113790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 xml:space="preserve">Americas </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20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East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and Europe</w:t>
            </w:r>
          </w:p>
        </w:tc>
        <w:tc>
          <w:tcPr>
            <w:tcW w:w="2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2026</w:t>
            </w: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Time charter</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43,390</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26,350</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Bareboat charter</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marine services</w:t>
            </w: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77,253</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Repairs and maintenance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Drydocking</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Fuel, lubes and supplies</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36,670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45,087</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40,817</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122,574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 Vessel Profit (Loss)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32,166</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expense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64,186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 net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200" w:type="dxa"/>
            <w:vAlign w:val="bottom"/>
            <w:tcBorders>
              <w:top w:val="single" w:sz="8" w:color="CFF0FC"/>
            </w:tcBorders>
          </w:tcPr>
          <w:p>
            <w:pPr>
              <w:spacing w:after="0"/>
              <w:rPr>
                <w:sz w:val="15"/>
                <w:szCs w:val="15"/>
                <w:color w:val="auto"/>
              </w:rPr>
            </w:pPr>
          </w:p>
        </w:tc>
        <w:tc>
          <w:tcPr>
            <w:tcW w:w="126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Historical Cost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180,140</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323,242</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244,199</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747,581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(84,804)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(146,470)</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(121,877)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(353,151)</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95,336</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176,772</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122,322</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117,378</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225,018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195,976</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538,372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-3256915</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-3256915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-3256915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-1945005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-1945005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-1945005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-316865</wp:posOffset>
            </wp:positionV>
            <wp:extent cx="768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-316865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-316865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Assets by region does not include corporate assets of $78.1 million as of September 30, 2026</w:t>
      </w:r>
      <w:r>
        <w:rPr>
          <w:rFonts w:ascii="Times New Roman" w:cs="Times New Roman" w:eastAsia="Times New Roman" w:hAnsi="Times New Roman"/>
          <w:sz w:val="17"/>
          <w:szCs w:val="17"/>
          <w:color w:val="auto"/>
        </w:rPr>
        <w:t>.</w:t>
      </w:r>
    </w:p>
    <w:p>
      <w:pPr>
        <w:spacing w:after="0" w:line="74" w:lineRule="exact"/>
        <w:rPr>
          <w:rFonts w:ascii="Times New Roman" w:cs="Times New Roman" w:eastAsia="Times New Roman" w:hAnsi="Times New Roman"/>
          <w:sz w:val="19"/>
          <w:szCs w:val="19"/>
          <w:color w:val="auto"/>
          <w:vertAlign w:val="superscript"/>
        </w:rPr>
      </w:pPr>
    </w:p>
    <w:p>
      <w:pPr>
        <w:jc w:val="both"/>
        <w:ind w:left="760" w:hanging="752"/>
        <w:spacing w:after="0" w:line="216" w:lineRule="auto"/>
        <w:tabs>
          <w:tab w:leader="none" w:pos="7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Middle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xml:space="preserve">Americas </w:t>
            </w:r>
            <w:r>
              <w:rPr>
                <w:rFonts w:ascii="Times New Roman" w:cs="Times New Roman" w:eastAsia="Times New Roman" w:hAnsi="Times New Roman"/>
                <w:sz w:val="21"/>
                <w:szCs w:val="21"/>
                <w:b w:val="1"/>
                <w:bCs w:val="1"/>
                <w:color w:val="auto"/>
                <w:vertAlign w:val="superscript"/>
              </w:rPr>
              <w:t>(2)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East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and Europe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and Asia</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2025</w:t>
            </w: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Time charter</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55,958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Bareboat charter</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marine services</w:t>
            </w: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23,179</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23,090</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17,616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Drydocking</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13,772</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 Vessel Profit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(847)</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Lease expense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 net</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-2425700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-2425700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-2425700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-2425700</wp:posOffset>
            </wp:positionV>
            <wp:extent cx="774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-1113790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-1113790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-1113790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 xml:space="preserve">Americas </w:t>
            </w:r>
            <w:r>
              <w:rPr>
                <w:rFonts w:ascii="Times New Roman" w:cs="Times New Roman" w:eastAsia="Times New Roman" w:hAnsi="Times New Roman"/>
                <w:sz w:val="21"/>
                <w:szCs w:val="21"/>
                <w:b w:val="1"/>
                <w:bCs w:val="1"/>
                <w:color w:val="auto"/>
                <w:vertAlign w:val="superscript"/>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20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East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and Europe</w:t>
            </w:r>
          </w:p>
        </w:tc>
        <w:tc>
          <w:tcPr>
            <w:tcW w:w="2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2025</w:t>
            </w: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Time charter</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57,156</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67,727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40,681</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Bareboat charter</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marine services</w:t>
            </w: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70,118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25,565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Repairs and maintenance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Drydocking</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Fuel, lubes and supplies</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50,809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49,508</w:t>
            </w: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38,788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12,852</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Lease expense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7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 net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2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00" w:type="dxa"/>
            <w:vAlign w:val="bottom"/>
            <w:tcBorders>
              <w:top w:val="single" w:sz="8" w:color="CFF0FC"/>
            </w:tcBorders>
          </w:tcPr>
          <w:p>
            <w:pPr>
              <w:spacing w:after="0"/>
              <w:rPr>
                <w:sz w:val="15"/>
                <w:szCs w:val="15"/>
                <w:color w:val="auto"/>
              </w:rPr>
            </w:pPr>
          </w:p>
        </w:tc>
        <w:tc>
          <w:tcPr>
            <w:tcW w:w="126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Historical Cost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232,368</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314,843</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250,170</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(105,670)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(127,299)</w:t>
            </w:r>
          </w:p>
        </w:tc>
        <w:tc>
          <w:tcPr>
            <w:tcW w:w="2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(111,930)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(344,899)</w:t>
            </w:r>
          </w:p>
        </w:tc>
        <w:tc>
          <w:tcPr>
            <w:tcW w:w="0" w:type="dxa"/>
            <w:vAlign w:val="bottom"/>
          </w:tcPr>
          <w:p>
            <w:pPr>
              <w:spacing w:after="0"/>
              <w:rPr>
                <w:sz w:val="1"/>
                <w:szCs w:val="1"/>
                <w:color w:val="auto"/>
              </w:rPr>
            </w:pPr>
          </w:p>
        </w:tc>
      </w:tr>
      <w:tr>
        <w:trPr>
          <w:trHeight w:val="20"/>
        </w:trPr>
        <w:tc>
          <w:tcPr>
            <w:tcW w:w="1500" w:type="dxa"/>
            <w:vAlign w:val="bottom"/>
            <w:shd w:val="clear" w:color="auto" w:fill="CFF0FC"/>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126,698</w:t>
            </w:r>
          </w:p>
        </w:tc>
        <w:tc>
          <w:tcPr>
            <w:tcW w:w="16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138,240</w:t>
            </w:r>
          </w:p>
        </w:tc>
        <w:tc>
          <w:tcPr>
            <w:tcW w:w="1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gridSpan w:val="2"/>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166,128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224,620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194,700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500" w:type="dxa"/>
            <w:vAlign w:val="bottom"/>
            <w:tcBorders>
              <w:top w:val="single" w:sz="8" w:color="CFF0FC"/>
              <w:bottom w:val="single" w:sz="8" w:color="auto"/>
            </w:tcBorders>
          </w:tcPr>
          <w:p>
            <w:pPr>
              <w:spacing w:after="0"/>
              <w:rPr>
                <w:sz w:val="10"/>
                <w:szCs w:val="10"/>
                <w:color w:val="auto"/>
              </w:rPr>
            </w:pPr>
          </w:p>
        </w:tc>
        <w:tc>
          <w:tcPr>
            <w:tcW w:w="37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-3350895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-3350895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-3350895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-2039620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-2039620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-2039620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-410845</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-410845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-410845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-119380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-102235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-119380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-102235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-119380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-102235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Assets by region does not include corporate assets of $107.1 million as of September 30, 2025.</w:t>
      </w:r>
    </w:p>
    <w:p>
      <w:pPr>
        <w:spacing w:after="0" w:line="68" w:lineRule="exact"/>
        <w:rPr>
          <w:rFonts w:ascii="Times New Roman" w:cs="Times New Roman" w:eastAsia="Times New Roman" w:hAnsi="Times New Roman"/>
          <w:sz w:val="19"/>
          <w:szCs w:val="19"/>
          <w:color w:val="auto"/>
          <w:vertAlign w:val="superscript"/>
        </w:rPr>
      </w:pPr>
    </w:p>
    <w:p>
      <w:pPr>
        <w:jc w:val="both"/>
        <w:ind w:left="760" w:hanging="752"/>
        <w:spacing w:after="0" w:line="216" w:lineRule="auto"/>
        <w:tabs>
          <w:tab w:leader="none" w:pos="7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spacing w:after="0" w:line="13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Company’s investments in 50% or less owned companies, which are accounted for under the equity method, also contribute to its consolidated results of operations. As of September 30, 2026, and 2025, the Company’s investments, at equity, and advances to 50% or less owned companies were $1.0 million and $2.7 million, respectively. Equity in earnings of 50% or less owned companies for the nine months ended September 30, 2026 and 2025 were $0.1 million and $1.5 million, respectively.</w:t>
      </w:r>
    </w:p>
    <w:p>
      <w:pPr>
        <w:spacing w:after="0" w:line="117"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COST REDUCTION MEASURES</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During the fourth quarter of 2025, the Company initiated certain cost reduction measures to better align its operating expenses with the current state of the offshore marine industry, in general, and its business, in particular. These measures include a reduction of workforce, reorganization of the management structure and streamlining of operations. As a result of the cost reduction measures taken in the fourth quarter of 2025, the Company recognized savings of $2.9 million in wages and benefits expenses for the nine months ended September 30, 2026. Management continues to focus on optimizing the cost structure and regional footprint of the business to help maintain the Company’s competitiveness in the industry, improve its operating leverage and position itself to take advantage of market opportunities.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22" w:name="page23"/>
    <w:bookmarkEnd w:id="22"/>
    <w:p>
      <w:pPr>
        <w:ind w:left="760" w:hanging="752"/>
        <w:spacing w:after="0"/>
        <w:tabs>
          <w:tab w:leader="none" w:pos="7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SUBSEQUENT EVENTS</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Company has evaluated subsequent events through the filing of this Quarterly Report on Form 10-Q and determined that there have been no material events that have occurred that are not properly recognized and/or disclosed in the consolidated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3" w:name="page24"/>
    <w:bookmarkEnd w:id="23"/>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10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i w:val="1"/>
          <w:iCs w:val="1"/>
          <w:color w:val="auto"/>
        </w:rPr>
        <w:t>This Form 10-Q includes “forward-looking statements” within the meaning of the Private Securities Litigation Reform Act of 1995. Such forward-looking statements concern management’s expectations, strategic objectives, including our announcement of the commencement of a strategic review of the business, business prospects, anticipated economic performance and financial condition and other similar matters. Achievement of these expectations and strategic objectives, including any increase to shareholder value from the strategic review, business prospects, anticipated economic performance and financial condition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2025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“may,” “will,” “could,” “should”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United States Securities and Exchange Commission.</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The following Management’s Discussion and Analysis (the “MD&amp;A”) is intended to help the reader understand the Company’s financial condition and results of operations. The MD&amp;A is provided as a supplement to and should be read in conjunction with the unaudited consolidated financial statements and notes thereto included in this Quarterly Report on Form 10-Q, as well as “Management’s Discussion and Analysis of Financial Condition and Results of Operations” contained in the 2025 Annual Report.</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provides global marine and support transportation services to offshore energy facilities worldwide. As of September 30, 2026, the Company operated a fleet of 38 support vessels, of which all were owned. The primary users of the Company’s services are major integrated national and international oil companies, independent oil and natural gas exploration and production companies, oil field service and construction companies, as well as offshore wind farm operators and offshore wind farm installation and maintenance companies.</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operates and manages a diverse fleet of offshore support vessels that (i) deliver cargo and personnel to offshore installations, including offshore wind farms, (ii) assist offshore operations for production and storage facilities, (iii) provide construction, well work-over, offshore wind farm installation and decommissioning support and (iv) carry and launch equipment used underwater in drilling and well installation, maintenance, inspection and repair. Additionally, the Company’s vessels provide emergency response services and accommodations for technicians and specialists.</w:t>
      </w:r>
    </w:p>
    <w:p>
      <w:pPr>
        <w:spacing w:after="0" w:line="13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Company operates its fleet in three principal geographic regions: the Americas; Africa and Europe; and the Middle East and Asia. The Company’s vessels are highly mobile and regularly and routinely move between countries within a geographic region. In addition, the Company’s vessels are redeployed among geographic regions, subject to flag restrictions, as changes in market conditions dictate.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Significant items affecting our results of operations</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2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Offshore oil and natural gas market conditions are highly volatile. For example, oil prices experienced unprecedented volatility during 2020 due to the COVID-19 pandemic, with the price per barrel going negative for a short period of time. Oil prices steadily increased since the lows of the pandemic and hit a multi-year high of $122 per barrel during 2022 primarily as a result of the conflict between Russia and Ukraine but subsequently decreased to pre-conflict levels. Volatility of oil prices has recently increased significantly and become more difficult to predict following the onset of the conflict with Iran and the associated effects the conflict has had on one of the world’s most important oil producing regions. During the nine months ended September 30, 2026, WTI oil prices reached a high of $113 per barrel and a low of $56 per barrel, ending the period at $90 per barrel. The conflict has also increased insurance and labor costs for the Company’s vessels operating in the Middle East and Asia region, a portion of which has been recharged to customers.</w:t>
      </w:r>
    </w:p>
    <w:p>
      <w:pPr>
        <w:spacing w:after="0" w:line="14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While the Company has experienced difficult market conditions over the past few years due to volatile oil and natural gas prices and the focus of oil and natural gas producing companies on cost and capital discipline, the increases since the lows experienced during the COVID-19 pandemic in oil and natural gas prices has led to an increase in utilization, day rates and customer inquiries about new projects.</w:t>
      </w:r>
    </w:p>
    <w:p>
      <w:pPr>
        <w:spacing w:after="0" w:line="15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Company closely monitors the availability of vessels in the offshore support vessel market as the utilization and day rates of the Company’s fleet is dependent on the supply and demand dynamics for its vessels. For example, low oil and natural gas prices and a corresponding decline in offshore exploration may reduce demand for the Company’s vessels and in the past such declines have forced many operators in the industry to restructure, liquidate assets or consolidate with other operators. Additionally, the delivery of newly built offshore support vessels to the industry-wide fleet has in the past contributed to an oversupply of vessels in the market, thereby further decreasing the demand for the Company’s existing offshore support vessel fleet. A combination of low customer exploration and drilling activity levels, and excess supply of offshore support vessels whether from laid up fleets or newly built vessels could, in isolation or together, have a material adverse effect on the Company’s business, financial position, results of operations, cash flows and growth prospects. Alternatively, increasing activity levels and a stable supply of offshore support vessels could support higher utilization and day rates and improved financial performance of the Company’s business.</w:t>
      </w:r>
    </w:p>
    <w:p>
      <w:pPr>
        <w:spacing w:after="0" w:line="14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Certain macro drivers somewhat independent of oil and natural gas prices may support the Company’s business, including: (i) underspending by oil and natural gas producers over the last five to ten years leading to pent up demand for maintenance and growth capital expenditures; (ii) improved extraction technologies; and (iii) the need for offshore wind farm support as the industry grows. While the Company expects that alternative forms of energy will continue to develop and add to the world’s energy mix, especially as certain governments, supranational groups, institutional investors, and various other parties focus on climate change causes and concerns, the Company believes that for the foreseeable future demand for gasoline and oil will be sustained, as will demand for natural gas, particularly in the context of expanded power generation demand worldwide. Some alternative forms of energy such as offshore wind farms support some of the Company’s operations and the Company expects such support to increase to the extent that development of these forms of renewable energy expands.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5" w:name="page26"/>
    <w:bookmarkEnd w:id="25"/>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drydocking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September 30, 2026, none of the Company’s 38 owned vessels were cold-stacked worldwide.</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Strategic Alternatives Review</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On July 29, 2026, the Company announced that its Board of Directors (“Board”) is evaluating potential strategic alternatives to maximize shareholder value. During the review process, the Board expects to evaluate a range of strategic alternatives that may include a sale of the Company, merger, other business combinations, sale of assets, or other transactions aimed at maximizing value for shareholders. The Board has retained independent financial advisors to assist in evaluating strategic alternatives. The Board and management team remain fully committed to acting in the best interests of the Company and its stakeholders throughout this evaluation process.</w:t>
      </w:r>
    </w:p>
    <w:p>
      <w:pPr>
        <w:spacing w:after="0" w:line="15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There can be no assurance that the strategic review process will result in any transaction or other strategic outcome. The Company has not established a timetable for completion of the review process and does not intend to disclose developments related to the review unless and until SEACOR Marine executes a definitive agreement with respect thereto, or the Board otherwise determines that further disclosure is appropriate or required.</w:t>
      </w:r>
    </w:p>
    <w:p>
      <w:pPr>
        <w:spacing w:after="0" w:line="1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Modification of 2024 Credit Agreement</w:t>
      </w:r>
    </w:p>
    <w:p>
      <w:pPr>
        <w:spacing w:after="0" w:line="172"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On May 20, 2026, SEACOR Marine, as parent guarantor, and SEACOR Marine Foreign Holdings Inc., as borrower and wholly-owned subsidiary of the Company (“SMFH”), entered into a letter agreement (“Letter Agreement”) for the purposes of modifying that certain credit agreement, dated as of November 27, 2024, among the Company, SMFH, certain other wholly-owned subsidiaries of the Company, as subsidiary guarantors, an affiliate of EnTrust Global, as lender, Kroll Agency Services Limited, as facility agent, and Kroll Trustee Services Limited, as security trustee (the “2024 Credit Agreement”).</w:t>
      </w:r>
    </w:p>
    <w:p>
      <w:pPr>
        <w:spacing w:after="0" w:line="14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Letter Agreement provided for (i) the release to SMFH of $13.7 million (the “Release”) from a restricted escrow account into which vessel sale proceeds are deposited from the sale of vessels that serve as collateral under the 2024 Credit Agreement (the “Escrow Account”) and (ii) the cancellation of the $24.6 million of undrawn commitments available under Tranche B of the 2024 Credit Agreement (“Tranche B”). The Tranche B commitments were exclusively available to make a portion of the payments for the construction of two platform supply vessels (“PSVs”), each with a contract price of $41.0 million per vessel. After giving effect to the Release, the Escrow Account held $41.0 million to be used to fully fund the remaining PSV construction payments without the need for any additional borrowings. The new PSVs are expected to be delivered in the fourth quarter of 2026 and the first quarter of 2027, respectively.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Cost Reduction Measures</w:t>
      </w:r>
    </w:p>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During the fourth quarter of 2025, the Company initiated certain cost reduction measures to better align its operating expenses with the current state of the offshore marine industry, in general, and its business, in particular. These measures include a reduction of workforce, reorganization of the management structure and streamlining of operations. For the year ended December 31, 2025, the Company incurred one-time charges totaling $1.2 million related to severance charges arising from a reduction in workforce resulting in a decrease in annualized wages and benefits expenses of at least $3.9 million. Management continues to focus on optimizing the cost structure and regional footprint of the business to help maintain the Company’s competitiveness in the industry, improve its operating leverage and position itself to take advantage of market opportunities. As a result of the cost reduction measures, the Company recognized savings of $2.9 million in wages and benefits expenses for the nine months ended September 30, 2026.</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Vessel Sales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 May 20, 2026, the Company completed the sale of one 241.5 foot, DP-2 PSV built in 2009 for total proceeds of $8.0 million for a gain of approximately $7.4 million. Approximately $6.2 million of these sale proceeds were designated to make future payments on the construction of two PSVs and deposited in the Escrow Account.</w:t>
      </w:r>
    </w:p>
    <w:p>
      <w:pPr>
        <w:spacing w:after="0" w:line="14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 May 18, 2026, the Company completed the sale of two liftboats built in 2009 for total proceeds of $16.0 million for a gain of approximately $9.6 million. None of the sales proceeds from these liftboat sales were encumbered by the Company’s 2024 SMFH Credit Facility or required to be used to repay such facility.</w:t>
      </w:r>
    </w:p>
    <w:p>
      <w:pPr>
        <w:spacing w:after="0" w:line="13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On April 21, 2026, the Company completed the sale of one 190 foot, DP-2 fast </w:t>
      </w:r>
      <w:r>
        <w:rPr>
          <w:rFonts w:ascii="Times New Roman" w:cs="Times New Roman" w:eastAsia="Times New Roman" w:hAnsi="Times New Roman"/>
          <w:sz w:val="22"/>
          <w:szCs w:val="22"/>
          <w:color w:val="222222"/>
        </w:rPr>
        <w:t>support vessel</w:t>
      </w:r>
      <w:r>
        <w:rPr>
          <w:rFonts w:ascii="Times New Roman" w:cs="Times New Roman" w:eastAsia="Times New Roman" w:hAnsi="Times New Roman"/>
          <w:sz w:val="22"/>
          <w:szCs w:val="22"/>
          <w:color w:val="auto"/>
        </w:rPr>
        <w:t xml:space="preserve"> (“FSV”) built in 2010 for total proceeds of $7.9 million for a gain of approximately $6.9 million. Approximately $6.2 million of these sale proceeds were designated to make future payments on the construction of two PSVs and deposited in the Escrow Account.</w:t>
      </w:r>
    </w:p>
    <w:p>
      <w:pPr>
        <w:spacing w:after="0" w:line="133"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On April 14, 2026, the Company completed the sale of one 201 foot, DP-2 PSV built in 2015 for total proceeds of $14.6 million for a gain of approximately $7.6 million. Approximately $11.4 million of these sale proceeds were designated to make future payments on the construction of two PSVs and deposited in the Escrow Account.</w:t>
      </w:r>
    </w:p>
    <w:p>
      <w:pPr>
        <w:spacing w:after="0" w:line="14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 February 24, 2026, the Company completed the sale of one 201 foot, DP-2 PSV built in 2015 for total proceeds of $14.6 million for a gain of approximately $7.3 million. Approximately $11.3 million of these sale proceeds were designated to make future payments on the construction of two PSVs and deposited in the Escrow Account.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Consolidated Results of Operations</w:t>
      </w:r>
    </w:p>
    <w:p>
      <w:pPr>
        <w:spacing w:after="0" w:line="17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sections below provide an analysis of the Company’s results of operations for the three and nine months (“Current Year Quarter” and “Current Year Nine Months”) ended September 30, 2026 compared with the three and nine months (“Prior Year Quarter” and “Prior Year Nine Months”) ended September 30, 2025. Except as otherwise noted, there have been no material changes since the end of the Company’s fiscal year ended December 31, 2025, in the Company’s results of operations. For the periods indicated, the Company’s consolidated results of operations were as follows (in thousands, except statistics):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7"/>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Average Rates Per Day</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19,490</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19,358</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Fleet Utilization</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71%</w:t>
            </w: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66%</w:t>
            </w: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Fleet Available Days</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Time charter</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52,163</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91%</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55,958</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143,817</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165,564</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Bareboat charter</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6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2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marine services</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9,838</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40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59,194</w:t>
            </w:r>
          </w:p>
        </w:tc>
        <w:tc>
          <w:tcPr>
            <w:tcW w:w="2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156,163</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175,503</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Personnel</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14,915</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17,616</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46,034</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55,122</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4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Repairs and maintenance</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9,409</w:t>
            </w:r>
          </w:p>
        </w:tc>
        <w:tc>
          <w:tcPr>
            <w:tcW w:w="2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14,603</w:t>
            </w:r>
          </w:p>
        </w:tc>
        <w:tc>
          <w:tcPr>
            <w:tcW w:w="26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32,657</w:t>
            </w:r>
          </w:p>
        </w:tc>
        <w:tc>
          <w:tcPr>
            <w:tcW w:w="2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36,771</w:t>
            </w: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r>
      <w:tr>
        <w:trPr>
          <w:trHeight w:val="203"/>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Drydocking</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11,442</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0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2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26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8,136</w:t>
            </w:r>
          </w:p>
        </w:tc>
        <w:tc>
          <w:tcPr>
            <w:tcW w:w="2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Fuel, lubes and supplies</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13,307</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40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2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18,736</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15,380</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r>
      <w:tr>
        <w:trPr>
          <w:trHeight w:val="196"/>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38,317</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47,684</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122,574</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139,105</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r>
      <w:tr>
        <w:trPr>
          <w:trHeight w:val="203"/>
        </w:trPr>
        <w:tc>
          <w:tcPr>
            <w:tcW w:w="40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Lease expense - operating</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6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40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9,954</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12,125</w:t>
            </w:r>
          </w:p>
        </w:tc>
        <w:tc>
          <w:tcPr>
            <w:tcW w:w="2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31,002</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37,025</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r>
      <w:tr>
        <w:trPr>
          <w:trHeight w:val="196"/>
        </w:trPr>
        <w:tc>
          <w:tcPr>
            <w:tcW w:w="4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58,642</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w:t>
            </w: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71,358</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186,760</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211,825</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w:t>
            </w:r>
          </w:p>
        </w:tc>
      </w:tr>
      <w:tr>
        <w:trPr>
          <w:trHeight w:val="19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(Losses) Gains on Asset Dispositions and Impairments, Net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26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38,791</w:t>
            </w:r>
          </w:p>
        </w:tc>
        <w:tc>
          <w:tcPr>
            <w:tcW w:w="280" w:type="dxa"/>
            <w:vAlign w:val="bottom"/>
            <w:shd w:val="clear" w:color="auto" w:fill="CFF0FC"/>
          </w:tcPr>
          <w:p>
            <w:pPr>
              <w:spacing w:after="0"/>
              <w:rPr>
                <w:sz w:val="17"/>
                <w:szCs w:val="17"/>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55,202</w:t>
            </w:r>
          </w:p>
        </w:tc>
        <w:tc>
          <w:tcPr>
            <w:tcW w:w="2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40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 Income</w:t>
            </w:r>
          </w:p>
        </w:tc>
        <w:tc>
          <w:tcPr>
            <w:tcW w:w="2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(1,395)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18,066</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2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2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(6,941)</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(4,055)</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(22,989)</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(24,780)</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r>
      <w:tr>
        <w:trPr>
          <w:trHeight w:val="182"/>
        </w:trPr>
        <w:tc>
          <w:tcPr>
            <w:tcW w:w="404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6"/>
                <w:szCs w:val="16"/>
                <w:color w:val="auto"/>
              </w:rPr>
              <w:t>(Loss) Income Before Income Tax Expense and Equity in</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Earnings of 50% or Less Owned Companies</w:t>
            </w: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(8,336)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14,011</w:t>
            </w:r>
          </w:p>
        </w:tc>
        <w:tc>
          <w:tcPr>
            <w:tcW w:w="2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8"/>
                <w:szCs w:val="18"/>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(14,795)</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(5,900)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5,410</w:t>
            </w:r>
          </w:p>
        </w:tc>
        <w:tc>
          <w:tcPr>
            <w:tcW w:w="26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CFF0FC"/>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8,822</w:t>
            </w:r>
          </w:p>
        </w:tc>
        <w:tc>
          <w:tcPr>
            <w:tcW w:w="26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182"/>
        </w:trPr>
        <w:tc>
          <w:tcPr>
            <w:tcW w:w="40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(Loss) Income Before Equity in Earnings of 50% or Less</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Owned Companies</w:t>
            </w: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(9,410)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8,601</w:t>
            </w:r>
          </w:p>
        </w:tc>
        <w:tc>
          <w:tcPr>
            <w:tcW w:w="2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(22,028)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8"/>
                <w:szCs w:val="18"/>
                <w:color w:val="auto"/>
              </w:rPr>
            </w:pPr>
          </w:p>
        </w:tc>
        <w:tc>
          <w:tcPr>
            <w:tcW w:w="9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(14,722)</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192"/>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(Losses) of 50% or Less Owned</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Companies</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(54)</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(9,464)</w:t>
            </w:r>
          </w:p>
        </w:tc>
        <w:tc>
          <w:tcPr>
            <w:tcW w:w="2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8,994</w:t>
            </w:r>
          </w:p>
        </w:tc>
        <w:tc>
          <w:tcPr>
            <w:tcW w:w="2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(21,976</w:t>
            </w:r>
          </w:p>
        </w:tc>
        <w:tc>
          <w:tcPr>
            <w:tcW w:w="2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(13,222</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-3179445</wp:posOffset>
            </wp:positionV>
            <wp:extent cx="946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-3179445</wp:posOffset>
            </wp:positionV>
            <wp:extent cx="939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-3179445</wp:posOffset>
            </wp:positionV>
            <wp:extent cx="946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-3179445</wp:posOffset>
            </wp:positionV>
            <wp:extent cx="939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-2142490</wp:posOffset>
            </wp:positionV>
            <wp:extent cx="946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-2142490</wp:posOffset>
            </wp:positionV>
            <wp:extent cx="939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-2142490</wp:posOffset>
            </wp:positionV>
            <wp:extent cx="94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-2142490</wp:posOffset>
            </wp:positionV>
            <wp:extent cx="93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-1619250</wp:posOffset>
            </wp:positionV>
            <wp:extent cx="946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-1619250</wp:posOffset>
            </wp:positionV>
            <wp:extent cx="939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-1619250</wp:posOffset>
            </wp:positionV>
            <wp:extent cx="946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-1619250</wp:posOffset>
            </wp:positionV>
            <wp:extent cx="939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-1344930</wp:posOffset>
            </wp:positionV>
            <wp:extent cx="946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-1344930</wp:posOffset>
            </wp:positionV>
            <wp:extent cx="939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-1344930</wp:posOffset>
            </wp:positionV>
            <wp:extent cx="94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-1344930</wp:posOffset>
            </wp:positionV>
            <wp:extent cx="939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-1079500</wp:posOffset>
            </wp:positionV>
            <wp:extent cx="946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-1079500</wp:posOffset>
            </wp:positionV>
            <wp:extent cx="939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-1079500</wp:posOffset>
            </wp:positionV>
            <wp:extent cx="946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-1079500</wp:posOffset>
            </wp:positionV>
            <wp:extent cx="939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-685165</wp:posOffset>
            </wp:positionV>
            <wp:extent cx="946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-685165</wp:posOffset>
            </wp:positionV>
            <wp:extent cx="93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-685165</wp:posOffset>
            </wp:positionV>
            <wp:extent cx="946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-685165</wp:posOffset>
            </wp:positionV>
            <wp:extent cx="93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2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Direct Vessel Profit. </w:t>
      </w:r>
      <w:r>
        <w:rPr>
          <w:rFonts w:ascii="Times New Roman" w:cs="Times New Roman" w:eastAsia="Times New Roman" w:hAnsi="Times New Roman"/>
          <w:sz w:val="22"/>
          <w:szCs w:val="22"/>
          <w:color w:val="auto"/>
        </w:rPr>
        <w:t>Direct vessel profit (defined as operating revenues less operating expenses excluding leased-in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equipment,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 See “Note 11. Segment Information” in the unaudited consolidated financial statements included in Part I. Item 1. “Financial Statements” elsewhere in this Quarterly Report on Form 10-Q.</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8" w:name="page29"/>
    <w:bookmarkEnd w:id="28"/>
    <w:p>
      <w:pPr>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tables summarize the operating results and property and equipment for the Company’s reportable segments for the periods indicated (in thousands, except statistics):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 xml:space="preserve">Americas </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7"/>
                <w:szCs w:val="17"/>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8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East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and Europe</w:t>
            </w:r>
          </w:p>
        </w:tc>
        <w:tc>
          <w:tcPr>
            <w:tcW w:w="18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2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2026</w:t>
            </w: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Average Rates Per Day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31,003</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18,854</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Fleet Utilization</w:t>
            </w:r>
          </w:p>
        </w:tc>
        <w:tc>
          <w:tcPr>
            <w:tcW w:w="14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Fleet Available Days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52,163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Bareboat charter</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marine services</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19,613</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27,853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5,439</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14,915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Drydocking</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11,891</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14,292</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12,134</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38,317</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 Vessel Profit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13,561</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(2,349)</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20,325</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Losses on asset dispositions and impairments, net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115"/>
        </w:trPr>
        <w:tc>
          <w:tcPr>
            <w:tcW w:w="1500" w:type="dxa"/>
            <w:vAlign w:val="bottom"/>
            <w:tcBorders>
              <w:top w:val="single" w:sz="8" w:color="CFF0FC"/>
              <w:bottom w:val="single" w:sz="8" w:color="auto"/>
            </w:tcBorders>
          </w:tcPr>
          <w:p>
            <w:pPr>
              <w:spacing w:after="0"/>
              <w:rPr>
                <w:sz w:val="10"/>
                <w:szCs w:val="10"/>
                <w:color w:val="auto"/>
              </w:rPr>
            </w:pPr>
          </w:p>
        </w:tc>
        <w:tc>
          <w:tcPr>
            <w:tcW w:w="38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100" w:type="dxa"/>
            <w:vAlign w:val="bottom"/>
            <w:tcBorders>
              <w:top w:val="single" w:sz="8" w:color="CFF0FC"/>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80" w:type="dxa"/>
            <w:vAlign w:val="bottom"/>
            <w:tcBorders>
              <w:top w:val="single" w:sz="8" w:color="CFF0FC"/>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040" w:type="dxa"/>
            <w:vAlign w:val="bottom"/>
            <w:tcBorders>
              <w:top w:val="single" w:sz="8" w:color="CFF0FC"/>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-2528570</wp:posOffset>
            </wp:positionV>
            <wp:extent cx="939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-2528570</wp:posOffset>
            </wp:positionV>
            <wp:extent cx="946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-2528570</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-2528570</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-1216660</wp:posOffset>
            </wp:positionV>
            <wp:extent cx="939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-1216660</wp:posOffset>
            </wp:positionV>
            <wp:extent cx="946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-1216660</wp:posOffset>
            </wp:positionV>
            <wp:extent cx="939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-1216660</wp:posOffset>
            </wp:positionV>
            <wp:extent cx="939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-393700</wp:posOffset>
            </wp:positionV>
            <wp:extent cx="939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-119380</wp:posOffset>
            </wp:positionV>
            <wp:extent cx="93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-102235</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5" w:lineRule="exact"/>
        <w:rPr>
          <w:sz w:val="20"/>
          <w:szCs w:val="20"/>
          <w:color w:val="auto"/>
        </w:rPr>
      </w:pPr>
    </w:p>
    <w:p>
      <w:pPr>
        <w:jc w:val="both"/>
        <w:ind w:left="760" w:hanging="752"/>
        <w:spacing w:after="0" w:line="216" w:lineRule="auto"/>
        <w:tabs>
          <w:tab w:leader="none" w:pos="7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 xml:space="preserve">Americas </w:t>
            </w:r>
            <w:r>
              <w:rPr>
                <w:rFonts w:ascii="Times New Roman" w:cs="Times New Roman" w:eastAsia="Times New Roman" w:hAnsi="Times New Roman"/>
                <w:sz w:val="21"/>
                <w:szCs w:val="21"/>
                <w:b w:val="1"/>
                <w:bCs w:val="1"/>
                <w:color w:val="auto"/>
                <w:vertAlign w:val="superscript"/>
              </w:rPr>
              <w:t>(2)</w:t>
            </w:r>
          </w:p>
        </w:tc>
        <w:tc>
          <w:tcPr>
            <w:tcW w:w="140" w:type="dxa"/>
            <w:vAlign w:val="bottom"/>
          </w:tcPr>
          <w:p>
            <w:pPr>
              <w:spacing w:after="0"/>
              <w:rPr>
                <w:sz w:val="17"/>
                <w:szCs w:val="17"/>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8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East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and Europe</w:t>
            </w:r>
          </w:p>
        </w:tc>
        <w:tc>
          <w:tcPr>
            <w:tcW w:w="18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2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2026</w:t>
            </w: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Average Rates Per Day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26,999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18,818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19,879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Fleet Utilization</w:t>
            </w:r>
          </w:p>
        </w:tc>
        <w:tc>
          <w:tcPr>
            <w:tcW w:w="14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Fleet Available Days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43,390</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26,350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143,817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Bareboat charter</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marine services</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9,838</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48,271</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77,253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30,639</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16,786</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15,944</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Drydocking</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9,488</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36,670</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45,087</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40,817</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122,574</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 Vessel Profit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32,166</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(10,178)</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32,331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9,237</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64,186</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 net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Historical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180,140</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323,242</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244,199</w:t>
            </w:r>
          </w:p>
        </w:tc>
        <w:tc>
          <w:tcPr>
            <w:tcW w:w="2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747,581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(84,804)</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(146,470)</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(121,877)</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(353,151)</w:t>
            </w:r>
          </w:p>
        </w:tc>
        <w:tc>
          <w:tcPr>
            <w:tcW w:w="0" w:type="dxa"/>
            <w:vAlign w:val="bottom"/>
          </w:tcPr>
          <w:p>
            <w:pPr>
              <w:spacing w:after="0"/>
              <w:rPr>
                <w:sz w:val="1"/>
                <w:szCs w:val="1"/>
                <w:color w:val="auto"/>
              </w:rPr>
            </w:pPr>
          </w:p>
        </w:tc>
      </w:tr>
      <w:tr>
        <w:trPr>
          <w:trHeight w:val="196"/>
        </w:trPr>
        <w:tc>
          <w:tcPr>
            <w:tcW w:w="1500" w:type="dxa"/>
            <w:vAlign w:val="bottom"/>
            <w:tcBorders>
              <w:top w:val="single" w:sz="8" w:color="CFF0FC"/>
            </w:tcBorders>
          </w:tcPr>
          <w:p>
            <w:pPr>
              <w:spacing w:after="0"/>
              <w:rPr>
                <w:sz w:val="17"/>
                <w:szCs w:val="17"/>
                <w:color w:val="auto"/>
              </w:rPr>
            </w:pPr>
          </w:p>
        </w:tc>
        <w:tc>
          <w:tcPr>
            <w:tcW w:w="38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95,336</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176,772</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122,322</w:t>
            </w: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394,430</w:t>
            </w: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tcBorders>
              <w:bottom w:val="single" w:sz="8" w:color="CFF0FC"/>
            </w:tcBorders>
            <w:gridSpan w:val="2"/>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117,378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225,018</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195,976</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538,372</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-3350895</wp:posOffset>
            </wp:positionV>
            <wp:extent cx="939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-3350895</wp:posOffset>
            </wp:positionV>
            <wp:extent cx="946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-3350895</wp:posOffset>
            </wp:positionV>
            <wp:extent cx="939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-3350895</wp:posOffset>
            </wp:positionV>
            <wp:extent cx="939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-2039620</wp:posOffset>
            </wp:positionV>
            <wp:extent cx="93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-2039620</wp:posOffset>
            </wp:positionV>
            <wp:extent cx="946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-2039620</wp:posOffset>
            </wp:positionV>
            <wp:extent cx="939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-2039620</wp:posOffset>
            </wp:positionV>
            <wp:extent cx="93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-1224915</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-950595</wp:posOffset>
            </wp:positionV>
            <wp:extent cx="939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-933450</wp:posOffset>
            </wp:positionV>
            <wp:extent cx="939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-410845</wp:posOffset>
            </wp:positionV>
            <wp:extent cx="93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-410845</wp:posOffset>
            </wp:positionV>
            <wp:extent cx="946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-410845</wp:posOffset>
            </wp:positionV>
            <wp:extent cx="939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-410845</wp:posOffset>
            </wp:positionV>
            <wp:extent cx="93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-119380</wp:posOffset>
            </wp:positionV>
            <wp:extent cx="939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-102235</wp:posOffset>
            </wp:positionV>
            <wp:extent cx="939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-119380</wp:posOffset>
            </wp:positionV>
            <wp:extent cx="946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-102235</wp:posOffset>
            </wp:positionV>
            <wp:extent cx="946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-119380</wp:posOffset>
            </wp:positionV>
            <wp:extent cx="93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-102235</wp:posOffset>
            </wp:positionV>
            <wp:extent cx="939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-119380</wp:posOffset>
            </wp:positionV>
            <wp:extent cx="939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-102235</wp:posOffset>
            </wp:positionV>
            <wp:extent cx="939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 w:lineRule="exact"/>
        <w:rPr>
          <w:sz w:val="20"/>
          <w:szCs w:val="20"/>
          <w:color w:val="auto"/>
        </w:rPr>
      </w:pPr>
    </w:p>
    <w:p>
      <w:pPr>
        <w:ind w:left="760" w:hanging="752"/>
        <w:spacing w:after="0"/>
        <w:tabs>
          <w:tab w:leader="none" w:pos="7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Assets by region does not include corporate assets of $78.1 million as of September 30, 2026</w:t>
      </w:r>
      <w:r>
        <w:rPr>
          <w:rFonts w:ascii="Times New Roman" w:cs="Times New Roman" w:eastAsia="Times New Roman" w:hAnsi="Times New Roman"/>
          <w:sz w:val="17"/>
          <w:szCs w:val="17"/>
          <w:color w:val="auto"/>
        </w:rPr>
        <w:t>.</w:t>
      </w:r>
    </w:p>
    <w:p>
      <w:pPr>
        <w:spacing w:after="0" w:line="74" w:lineRule="exact"/>
        <w:rPr>
          <w:rFonts w:ascii="Times New Roman" w:cs="Times New Roman" w:eastAsia="Times New Roman" w:hAnsi="Times New Roman"/>
          <w:sz w:val="19"/>
          <w:szCs w:val="19"/>
          <w:color w:val="auto"/>
          <w:vertAlign w:val="superscript"/>
        </w:rPr>
      </w:pPr>
    </w:p>
    <w:p>
      <w:pPr>
        <w:jc w:val="both"/>
        <w:ind w:left="760" w:hanging="752"/>
        <w:spacing w:after="0" w:line="216" w:lineRule="auto"/>
        <w:tabs>
          <w:tab w:leader="none" w:pos="76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 xml:space="preserve">Americas </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7"/>
                <w:szCs w:val="17"/>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8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East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and Europe</w:t>
            </w:r>
          </w:p>
        </w:tc>
        <w:tc>
          <w:tcPr>
            <w:tcW w:w="18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2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2025</w:t>
            </w: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Average Rates Per Day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22,809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17,818</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Fleet Utilization</w:t>
            </w:r>
          </w:p>
        </w:tc>
        <w:tc>
          <w:tcPr>
            <w:tcW w:w="14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Fleet Available Days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55,958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Bareboat charter</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marine services</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23,179</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23,090</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12,925</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17,616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Drydocking</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13,772</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47,684</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 Vessel Profit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(847)</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11,269</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23,674</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 net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18,066</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-2519680</wp:posOffset>
            </wp:positionV>
            <wp:extent cx="939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-2519680</wp:posOffset>
            </wp:positionV>
            <wp:extent cx="946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-2519680</wp:posOffset>
            </wp:positionV>
            <wp:extent cx="939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-2519680</wp:posOffset>
            </wp:positionV>
            <wp:extent cx="939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-1207770</wp:posOffset>
            </wp:positionV>
            <wp:extent cx="939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-1207770</wp:posOffset>
            </wp:positionV>
            <wp:extent cx="946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-1207770</wp:posOffset>
            </wp:positionV>
            <wp:extent cx="939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-1207770</wp:posOffset>
            </wp:positionV>
            <wp:extent cx="939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-393700</wp:posOffset>
            </wp:positionV>
            <wp:extent cx="939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-119380</wp:posOffset>
            </wp:positionV>
            <wp:extent cx="939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-102235</wp:posOffset>
            </wp:positionV>
            <wp:extent cx="93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5" w:lineRule="exact"/>
        <w:rPr>
          <w:sz w:val="20"/>
          <w:szCs w:val="20"/>
          <w:color w:val="auto"/>
        </w:rPr>
      </w:pPr>
    </w:p>
    <w:p>
      <w:pPr>
        <w:jc w:val="both"/>
        <w:ind w:left="760" w:hanging="752"/>
        <w:spacing w:after="0" w:line="216" w:lineRule="auto"/>
        <w:tabs>
          <w:tab w:leader="none" w:pos="7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Middle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 xml:space="preserve">Americas </w:t>
            </w:r>
            <w:r>
              <w:rPr>
                <w:rFonts w:ascii="Times New Roman" w:cs="Times New Roman" w:eastAsia="Times New Roman" w:hAnsi="Times New Roman"/>
                <w:sz w:val="21"/>
                <w:szCs w:val="21"/>
                <w:b w:val="1"/>
                <w:bCs w:val="1"/>
                <w:color w:val="auto"/>
                <w:vertAlign w:val="superscript"/>
              </w:rPr>
              <w:t>(2)</w:t>
            </w:r>
          </w:p>
        </w:tc>
        <w:tc>
          <w:tcPr>
            <w:tcW w:w="140" w:type="dxa"/>
            <w:vAlign w:val="bottom"/>
          </w:tcPr>
          <w:p>
            <w:pPr>
              <w:spacing w:after="0"/>
              <w:rPr>
                <w:sz w:val="17"/>
                <w:szCs w:val="17"/>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180" w:type="dxa"/>
            <w:vAlign w:val="bottom"/>
          </w:tcPr>
          <w:p>
            <w:pPr>
              <w:spacing w:after="0"/>
              <w:rPr>
                <w:sz w:val="17"/>
                <w:szCs w:val="17"/>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East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and Europe</w:t>
            </w:r>
          </w:p>
        </w:tc>
        <w:tc>
          <w:tcPr>
            <w:tcW w:w="18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and Asia</w:t>
            </w:r>
          </w:p>
        </w:tc>
        <w:tc>
          <w:tcPr>
            <w:tcW w:w="2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2025</w:t>
            </w:r>
          </w:p>
        </w:tc>
        <w:tc>
          <w:tcPr>
            <w:tcW w:w="1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Average Rates Per Day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23,444</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18,158</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17,056</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19,358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Fleet Utilization</w:t>
            </w:r>
          </w:p>
        </w:tc>
        <w:tc>
          <w:tcPr>
            <w:tcW w:w="14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w:t>
            </w:r>
          </w:p>
        </w:tc>
        <w:tc>
          <w:tcPr>
            <w:tcW w:w="1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71%</w:t>
            </w:r>
          </w:p>
        </w:tc>
        <w:tc>
          <w:tcPr>
            <w:tcW w:w="26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Fleet Available Days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13,214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57,156</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67,727</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40,681</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165,564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Bareboat charter</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 marine services</w:t>
            </w: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63,661</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70,118</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41,724</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Costs and Expenses: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25,565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15,163</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55,122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Repairs and maintenance</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Drydocking</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6,844</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11,442</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Fuel, lubes and supplies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13,307</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50,809</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49,508</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38,788</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139,105</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 Vessel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12,852</w:t>
            </w:r>
          </w:p>
        </w:tc>
        <w:tc>
          <w:tcPr>
            <w:tcW w:w="2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28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Costs and Expenses:</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Administrative and general</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9,688</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FF0FC"/>
            </w:tcBorders>
            <w:shd w:val="clear" w:color="auto" w:fill="CFF0FC"/>
          </w:tcPr>
          <w:p>
            <w:pPr>
              <w:spacing w:after="0"/>
              <w:rPr>
                <w:sz w:val="17"/>
                <w:szCs w:val="17"/>
                <w:color w:val="auto"/>
              </w:rPr>
            </w:pPr>
          </w:p>
        </w:tc>
        <w:tc>
          <w:tcPr>
            <w:tcW w:w="38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72,720</w:t>
            </w: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Gains on asset dispositions and impairments, net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18,880</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Historical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232,368</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314,843</w:t>
            </w:r>
          </w:p>
        </w:tc>
        <w:tc>
          <w:tcPr>
            <w:tcW w:w="3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250,170</w:t>
            </w:r>
          </w:p>
        </w:tc>
        <w:tc>
          <w:tcPr>
            <w:tcW w:w="2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(105,670)</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(127,299)</w:t>
            </w: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(111,930)</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(344,899)</w:t>
            </w:r>
          </w:p>
        </w:tc>
        <w:tc>
          <w:tcPr>
            <w:tcW w:w="0" w:type="dxa"/>
            <w:vAlign w:val="bottom"/>
          </w:tcPr>
          <w:p>
            <w:pPr>
              <w:spacing w:after="0"/>
              <w:rPr>
                <w:sz w:val="1"/>
                <w:szCs w:val="1"/>
                <w:color w:val="auto"/>
              </w:rPr>
            </w:pPr>
          </w:p>
        </w:tc>
      </w:tr>
      <w:tr>
        <w:trPr>
          <w:trHeight w:val="196"/>
        </w:trPr>
        <w:tc>
          <w:tcPr>
            <w:tcW w:w="1500" w:type="dxa"/>
            <w:vAlign w:val="bottom"/>
            <w:tcBorders>
              <w:top w:val="single" w:sz="8" w:color="CFF0FC"/>
            </w:tcBorders>
          </w:tcPr>
          <w:p>
            <w:pPr>
              <w:spacing w:after="0"/>
              <w:rPr>
                <w:sz w:val="17"/>
                <w:szCs w:val="17"/>
                <w:color w:val="auto"/>
              </w:rPr>
            </w:pPr>
          </w:p>
        </w:tc>
        <w:tc>
          <w:tcPr>
            <w:tcW w:w="38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126,698</w:t>
            </w:r>
          </w:p>
        </w:tc>
        <w:tc>
          <w:tcPr>
            <w:tcW w:w="28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187,544</w:t>
            </w:r>
          </w:p>
        </w:tc>
        <w:tc>
          <w:tcPr>
            <w:tcW w:w="3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138,240</w:t>
            </w: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452,482</w:t>
            </w: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tcBorders>
              <w:bottom w:val="single" w:sz="8" w:color="CFF0FC"/>
            </w:tcBorders>
            <w:gridSpan w:val="2"/>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166,128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224,620</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194,700</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585,448</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-3350895</wp:posOffset>
            </wp:positionV>
            <wp:extent cx="939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-3350895</wp:posOffset>
            </wp:positionV>
            <wp:extent cx="946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-3350895</wp:posOffset>
            </wp:positionV>
            <wp:extent cx="939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-3350895</wp:posOffset>
            </wp:positionV>
            <wp:extent cx="939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-2039620</wp:posOffset>
            </wp:positionV>
            <wp:extent cx="939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-2039620</wp:posOffset>
            </wp:positionV>
            <wp:extent cx="946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-2039620</wp:posOffset>
            </wp:positionV>
            <wp:extent cx="939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-2039620</wp:posOffset>
            </wp:positionV>
            <wp:extent cx="939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-1224915</wp:posOffset>
            </wp:positionV>
            <wp:extent cx="939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-950595</wp:posOffset>
            </wp:positionV>
            <wp:extent cx="939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-933450</wp:posOffset>
            </wp:positionV>
            <wp:extent cx="939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-410845</wp:posOffset>
            </wp:positionV>
            <wp:extent cx="939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-410845</wp:posOffset>
            </wp:positionV>
            <wp:extent cx="946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-410845</wp:posOffset>
            </wp:positionV>
            <wp:extent cx="939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-410845</wp:posOffset>
            </wp:positionV>
            <wp:extent cx="939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-119380</wp:posOffset>
            </wp:positionV>
            <wp:extent cx="939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-102235</wp:posOffset>
            </wp:positionV>
            <wp:extent cx="939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-119380</wp:posOffset>
            </wp:positionV>
            <wp:extent cx="946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-102235</wp:posOffset>
            </wp:positionV>
            <wp:extent cx="946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-119380</wp:posOffset>
            </wp:positionV>
            <wp:extent cx="939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-102235</wp:posOffset>
            </wp:positionV>
            <wp:extent cx="939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-119380</wp:posOffset>
            </wp:positionV>
            <wp:extent cx="939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-102235</wp:posOffset>
            </wp:positionV>
            <wp:extent cx="939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ind w:left="760" w:hanging="752"/>
        <w:spacing w:after="0"/>
        <w:tabs>
          <w:tab w:leader="none" w:pos="7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Total Assets by region does not include corporate assets of $107.1 million as of September 30, 2025</w:t>
      </w:r>
      <w:r>
        <w:rPr>
          <w:rFonts w:ascii="Times New Roman" w:cs="Times New Roman" w:eastAsia="Times New Roman" w:hAnsi="Times New Roman"/>
          <w:sz w:val="17"/>
          <w:szCs w:val="17"/>
          <w:color w:val="auto"/>
        </w:rPr>
        <w:t>.</w:t>
      </w:r>
    </w:p>
    <w:p>
      <w:pPr>
        <w:spacing w:after="0" w:line="85" w:lineRule="exact"/>
        <w:rPr>
          <w:rFonts w:ascii="Times New Roman" w:cs="Times New Roman" w:eastAsia="Times New Roman" w:hAnsi="Times New Roman"/>
          <w:sz w:val="22"/>
          <w:szCs w:val="22"/>
          <w:color w:val="auto"/>
          <w:vertAlign w:val="superscript"/>
        </w:rPr>
      </w:pPr>
    </w:p>
    <w:p>
      <w:pPr>
        <w:jc w:val="both"/>
        <w:ind w:left="760" w:hanging="752"/>
        <w:spacing w:after="0" w:line="206" w:lineRule="auto"/>
        <w:tabs>
          <w:tab w:leader="none" w:pos="7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prior periods the United States and Latin America were reported as separate segments. Due to the reduction of the United States operating segment, the Company’s United States operations are no longer analyzed by the chief operating decision maker on a standalone basis but rather as part of the Americas segment. As a result, for purposes of segment reporting United States operations are now consolidated with Latin America operations and reported as a consolidated segment, and prior period information has been conformed to the new consolidated reporting segment.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2" w:name="page33"/>
    <w:bookmarkEnd w:id="32"/>
    <w:p>
      <w:pPr>
        <w:ind w:firstLine="749"/>
        <w:spacing w:after="0" w:line="258" w:lineRule="auto"/>
        <w:rPr>
          <w:sz w:val="20"/>
          <w:szCs w:val="20"/>
          <w:color w:val="auto"/>
        </w:rPr>
      </w:pPr>
      <w:r>
        <w:rPr>
          <w:rFonts w:ascii="Times New Roman" w:cs="Times New Roman" w:eastAsia="Times New Roman" w:hAnsi="Times New Roman"/>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 xml:space="preserve">AHTS </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5"/>
                <w:szCs w:val="15"/>
                <w:color w:val="auto"/>
              </w:rPr>
            </w:pPr>
          </w:p>
        </w:tc>
        <w:tc>
          <w:tcPr>
            <w:tcW w:w="10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 xml:space="preserve">FSV </w:t>
            </w:r>
            <w:r>
              <w:rPr>
                <w:rFonts w:ascii="Times New Roman" w:cs="Times New Roman" w:eastAsia="Times New Roman" w:hAnsi="Times New Roman"/>
                <w:sz w:val="20"/>
                <w:szCs w:val="20"/>
                <w:b w:val="1"/>
                <w:bCs w:val="1"/>
                <w:color w:val="auto"/>
                <w:vertAlign w:val="superscript"/>
              </w:rPr>
              <w:t>(2)</w:t>
            </w:r>
          </w:p>
        </w:tc>
        <w:tc>
          <w:tcPr>
            <w:tcW w:w="180" w:type="dxa"/>
            <w:vAlign w:val="bottom"/>
          </w:tcPr>
          <w:p>
            <w:pPr>
              <w:spacing w:after="0"/>
              <w:rPr>
                <w:sz w:val="15"/>
                <w:szCs w:val="15"/>
                <w:color w:val="auto"/>
              </w:rPr>
            </w:pPr>
          </w:p>
        </w:tc>
        <w:tc>
          <w:tcPr>
            <w:tcW w:w="10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 xml:space="preserve">PSV </w:t>
            </w:r>
            <w:r>
              <w:rPr>
                <w:rFonts w:ascii="Times New Roman" w:cs="Times New Roman" w:eastAsia="Times New Roman" w:hAnsi="Times New Roman"/>
                <w:sz w:val="20"/>
                <w:szCs w:val="20"/>
                <w:b w:val="1"/>
                <w:bCs w:val="1"/>
                <w:color w:val="auto"/>
                <w:vertAlign w:val="superscript"/>
              </w:rPr>
              <w:t>(3)</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14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1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6"/>
        </w:trPr>
        <w:tc>
          <w:tcPr>
            <w:tcW w:w="358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For the Three Months Ended September 30, 2026</w:t>
            </w:r>
          </w:p>
        </w:tc>
        <w:tc>
          <w:tcPr>
            <w:tcW w:w="3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Time Charter Statistics: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Average Rates Per Day</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14,567</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28,052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26,855</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21,100</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Fleet Utilization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Fleet Available Days</w:t>
            </w: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3,496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Operating Revenues: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Time charter</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18,448</w:t>
            </w: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31,244</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2,471</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52,163</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Bareboat charter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Borders>
              <w:bottom w:val="single" w:sz="8" w:color="CFF0FC"/>
            </w:tcBorders>
            <w:gridSpan w:val="2"/>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marine services</w:t>
            </w: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1,755</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1,449</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687</w:t>
            </w: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351</w:t>
            </w:r>
          </w:p>
        </w:tc>
        <w:tc>
          <w:tcPr>
            <w:tcW w:w="3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4,242</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3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20,203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33,539</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3,158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351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57,251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Direct Costs and Expenses:</w:t>
            </w:r>
          </w:p>
        </w:tc>
        <w:tc>
          <w:tcPr>
            <w:tcW w:w="3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Operating: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4,960</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8,241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1,723</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14,915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Repairs and maintenance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5,137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2,198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2,062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9,409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Drydocking</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213</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(70)</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194</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Insurance and loss reserves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682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1,932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3,646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Fuel, lubes and supplies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1,419</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1,724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696</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3,851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2,503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3,642</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6,159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00" w:type="dxa"/>
            <w:vAlign w:val="bottom"/>
            <w:shd w:val="clear" w:color="auto" w:fill="CFF0FC"/>
          </w:tcPr>
          <w:p>
            <w:pPr>
              <w:spacing w:after="0"/>
              <w:rPr>
                <w:sz w:val="13"/>
                <w:szCs w:val="13"/>
                <w:color w:val="auto"/>
              </w:rPr>
            </w:pPr>
          </w:p>
        </w:tc>
        <w:tc>
          <w:tcPr>
            <w:tcW w:w="20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3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14,914</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16,626</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6,610</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167</w:t>
            </w: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38,317</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80" w:type="dxa"/>
            <w:vAlign w:val="bottom"/>
            <w:tcBorders>
              <w:top w:val="single" w:sz="8" w:color="CFF0FC"/>
            </w:tcBorders>
            <w:gridSpan w:val="2"/>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3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Lease expense</w:t>
            </w:r>
          </w:p>
        </w:tc>
        <w:tc>
          <w:tcPr>
            <w:tcW w:w="48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2"/>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2"/>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337</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Administrative and general</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10,034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Borders>
              <w:bottom w:val="single" w:sz="8" w:color="CFF0FC"/>
            </w:tcBorders>
            <w:gridSpan w:val="2"/>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4,729</w:t>
            </w:r>
          </w:p>
        </w:tc>
        <w:tc>
          <w:tcPr>
            <w:tcW w:w="2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3,612</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1,589</w:t>
            </w: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3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9,954</w:t>
            </w:r>
          </w:p>
        </w:tc>
        <w:tc>
          <w:tcPr>
            <w:tcW w:w="1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20,325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8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Losses on asset dispositions and impairments, net</w:t>
            </w: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
        </w:trPr>
        <w:tc>
          <w:tcPr>
            <w:tcW w:w="1500" w:type="dxa"/>
            <w:vAlign w:val="bottom"/>
            <w:shd w:val="clear" w:color="auto" w:fill="CFF0FC"/>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8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Operating loss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(1,395)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2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-1928495</wp:posOffset>
            </wp:positionV>
            <wp:extent cx="939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-1928495</wp:posOffset>
            </wp:positionV>
            <wp:extent cx="946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-1928495</wp:posOffset>
            </wp:positionV>
            <wp:extent cx="939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-1928495</wp:posOffset>
            </wp:positionV>
            <wp:extent cx="946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-1928495</wp:posOffset>
            </wp:positionV>
            <wp:extent cx="946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-1928495</wp:posOffset>
            </wp:positionV>
            <wp:extent cx="939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-873760</wp:posOffset>
            </wp:positionV>
            <wp:extent cx="93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-873760</wp:posOffset>
            </wp:positionV>
            <wp:extent cx="946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-873760</wp:posOffset>
            </wp:positionV>
            <wp:extent cx="939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-873760</wp:posOffset>
            </wp:positionV>
            <wp:extent cx="946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-873760</wp:posOffset>
            </wp:positionV>
            <wp:extent cx="946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-873760</wp:posOffset>
            </wp:positionV>
            <wp:extent cx="939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-454025</wp:posOffset>
            </wp:positionV>
            <wp:extent cx="939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-230505</wp:posOffset>
            </wp:positionV>
            <wp:extent cx="939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ind w:left="760" w:hanging="752"/>
        <w:spacing w:after="0"/>
        <w:tabs>
          <w:tab w:leader="none" w:pos="76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Anchor handling towing supply vessel (“AHTS”).</w:t>
      </w:r>
    </w:p>
    <w:p>
      <w:pPr>
        <w:spacing w:after="0" w:line="75" w:lineRule="exact"/>
        <w:rPr>
          <w:rFonts w:ascii="Times New Roman" w:cs="Times New Roman" w:eastAsia="Times New Roman" w:hAnsi="Times New Roman"/>
          <w:sz w:val="22"/>
          <w:szCs w:val="22"/>
          <w:color w:val="auto"/>
          <w:vertAlign w:val="superscript"/>
        </w:rPr>
      </w:pPr>
    </w:p>
    <w:p>
      <w:pPr>
        <w:ind w:left="760" w:hanging="752"/>
        <w:spacing w:after="0" w:line="184" w:lineRule="auto"/>
        <w:tabs>
          <w:tab w:leader="none" w:pos="76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Fast support vessel (“FSV”).</w:t>
      </w:r>
    </w:p>
    <w:p>
      <w:pPr>
        <w:spacing w:after="0" w:line="76" w:lineRule="exact"/>
        <w:rPr>
          <w:rFonts w:ascii="Times New Roman" w:cs="Times New Roman" w:eastAsia="Times New Roman" w:hAnsi="Times New Roman"/>
          <w:sz w:val="22"/>
          <w:szCs w:val="22"/>
          <w:color w:val="auto"/>
          <w:vertAlign w:val="superscript"/>
        </w:rPr>
      </w:pPr>
    </w:p>
    <w:p>
      <w:pPr>
        <w:ind w:left="760" w:hanging="752"/>
        <w:spacing w:after="0" w:line="207" w:lineRule="auto"/>
        <w:tabs>
          <w:tab w:leader="none" w:pos="76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Platform supply vessel (“PSV”)</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2"/>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AHTS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FSV</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PSV</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1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55"/>
        </w:trPr>
        <w:tc>
          <w:tcPr>
            <w:tcW w:w="394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For the Nine Months Ended September 30, 2026</w:t>
            </w: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Time Charter Statistics: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3"/>
        </w:trPr>
        <w:tc>
          <w:tcPr>
            <w:tcW w:w="39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Average Rates Per Day</w:t>
            </w: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14,263</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27,408</w:t>
            </w:r>
          </w:p>
        </w:tc>
        <w:tc>
          <w:tcPr>
            <w:tcW w:w="2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20,086</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19,879</w:t>
            </w:r>
          </w:p>
        </w:tc>
        <w:tc>
          <w:tcPr>
            <w:tcW w:w="140" w:type="dxa"/>
            <w:vAlign w:val="bottom"/>
            <w:shd w:val="clear" w:color="auto" w:fill="CFF0FC"/>
          </w:tcPr>
          <w:p>
            <w:pPr>
              <w:spacing w:after="0"/>
              <w:rPr>
                <w:sz w:val="17"/>
                <w:szCs w:val="17"/>
                <w:color w:val="auto"/>
              </w:rPr>
            </w:pPr>
          </w:p>
        </w:tc>
      </w:tr>
      <w:tr>
        <w:trPr>
          <w:trHeight w:val="203"/>
        </w:trPr>
        <w:tc>
          <w:tcPr>
            <w:tcW w:w="3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Fleet Utilization</w:t>
            </w: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39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Fleet Available Days</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4,392</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0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11,028</w:t>
            </w:r>
          </w:p>
        </w:tc>
        <w:tc>
          <w:tcPr>
            <w:tcW w:w="140" w:type="dxa"/>
            <w:vAlign w:val="bottom"/>
            <w:shd w:val="clear" w:color="auto" w:fill="CFF0FC"/>
          </w:tcPr>
          <w:p>
            <w:pPr>
              <w:spacing w:after="0"/>
              <w:rPr>
                <w:sz w:val="17"/>
                <w:szCs w:val="17"/>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Revenues: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Time charter</w:t>
            </w:r>
          </w:p>
        </w:tc>
        <w:tc>
          <w:tcPr>
            <w:tcW w:w="160" w:type="dxa"/>
            <w:vAlign w:val="bottom"/>
            <w:shd w:val="clear" w:color="auto" w:fill="CFF0FC"/>
          </w:tcPr>
          <w:p>
            <w:pPr>
              <w:jc w:val="right"/>
              <w:ind w:right="1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57,013</w:t>
            </w:r>
          </w:p>
        </w:tc>
        <w:tc>
          <w:tcPr>
            <w:tcW w:w="2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81,554</w:t>
            </w:r>
          </w:p>
        </w:tc>
        <w:tc>
          <w:tcPr>
            <w:tcW w:w="2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5,259</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143,817</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Bareboat charter</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2,508</w:t>
            </w:r>
          </w:p>
        </w:tc>
        <w:tc>
          <w:tcPr>
            <w:tcW w:w="140" w:type="dxa"/>
            <w:vAlign w:val="bottom"/>
          </w:tcPr>
          <w:p>
            <w:pPr>
              <w:spacing w:after="0"/>
              <w:rPr>
                <w:sz w:val="14"/>
                <w:szCs w:val="14"/>
                <w:color w:val="auto"/>
              </w:rPr>
            </w:pPr>
          </w:p>
        </w:tc>
      </w:tr>
      <w:tr>
        <w:trPr>
          <w:trHeight w:val="162"/>
        </w:trPr>
        <w:tc>
          <w:tcPr>
            <w:tcW w:w="3940" w:type="dxa"/>
            <w:vAlign w:val="bottom"/>
            <w:tcBorders>
              <w:bottom w:val="single" w:sz="8" w:color="CFF0FC"/>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marine services</w:t>
            </w:r>
          </w:p>
        </w:tc>
        <w:tc>
          <w:tcPr>
            <w:tcW w:w="1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4,045</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3,719</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1,654</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420</w:t>
            </w:r>
          </w:p>
        </w:tc>
        <w:tc>
          <w:tcPr>
            <w:tcW w:w="300" w:type="dxa"/>
            <w:vAlign w:val="bottom"/>
            <w:tcBorders>
              <w:bottom w:val="single" w:sz="8" w:color="CFF0FC"/>
              <w:right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9,838</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56"/>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61,058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87,781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6,913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411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156,163</w:t>
            </w:r>
          </w:p>
        </w:tc>
        <w:tc>
          <w:tcPr>
            <w:tcW w:w="140" w:type="dxa"/>
            <w:vAlign w:val="bottom"/>
          </w:tcPr>
          <w:p>
            <w:pPr>
              <w:spacing w:after="0"/>
              <w:rPr>
                <w:sz w:val="13"/>
                <w:szCs w:val="13"/>
                <w:color w:val="auto"/>
              </w:rPr>
            </w:pPr>
          </w:p>
        </w:tc>
      </w:tr>
      <w:tr>
        <w:trPr>
          <w:trHeight w:val="155"/>
        </w:trPr>
        <w:tc>
          <w:tcPr>
            <w:tcW w:w="394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Direct Costs and Expenses:</w:t>
            </w: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Operating:</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15,542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23,448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7,029</w:t>
            </w:r>
          </w:p>
        </w:tc>
        <w:tc>
          <w:tcPr>
            <w:tcW w:w="2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3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46,034</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Repairs and maintenance</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14,750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7,864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9,950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32,657</w:t>
            </w: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Drydocking</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1,687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866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1,997</w:t>
            </w:r>
          </w:p>
        </w:tc>
        <w:tc>
          <w:tcPr>
            <w:tcW w:w="2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4,550</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Insurance and loss reserves</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2,296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2,242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(121)</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8,136</w:t>
            </w: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Fuel, lubes and supplies</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4,403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6,215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1,827</w:t>
            </w:r>
          </w:p>
        </w:tc>
        <w:tc>
          <w:tcPr>
            <w:tcW w:w="2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3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12,461</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6,734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11,291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682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18,736</w:t>
            </w:r>
          </w:p>
        </w:tc>
        <w:tc>
          <w:tcPr>
            <w:tcW w:w="140" w:type="dxa"/>
            <w:vAlign w:val="bottom"/>
          </w:tcPr>
          <w:p>
            <w:pPr>
              <w:spacing w:after="0"/>
              <w:rPr>
                <w:sz w:val="14"/>
                <w:szCs w:val="14"/>
                <w:color w:val="auto"/>
              </w:rPr>
            </w:pPr>
          </w:p>
        </w:tc>
      </w:tr>
      <w:tr>
        <w:trPr>
          <w:trHeight w:val="156"/>
        </w:trPr>
        <w:tc>
          <w:tcPr>
            <w:tcW w:w="39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45,412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51,926</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25,204</w:t>
            </w:r>
          </w:p>
        </w:tc>
        <w:tc>
          <w:tcPr>
            <w:tcW w:w="2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32</w:t>
            </w:r>
          </w:p>
        </w:tc>
        <w:tc>
          <w:tcPr>
            <w:tcW w:w="30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122,574</w:t>
            </w:r>
          </w:p>
        </w:tc>
        <w:tc>
          <w:tcPr>
            <w:tcW w:w="140" w:type="dxa"/>
            <w:vAlign w:val="bottom"/>
            <w:shd w:val="clear" w:color="auto" w:fill="CFF0FC"/>
          </w:tcPr>
          <w:p>
            <w:pPr>
              <w:spacing w:after="0"/>
              <w:rPr>
                <w:sz w:val="13"/>
                <w:szCs w:val="13"/>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Costs and Expenses: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Lease expense</w:t>
            </w:r>
          </w:p>
        </w:tc>
        <w:tc>
          <w:tcPr>
            <w:tcW w:w="160" w:type="dxa"/>
            <w:vAlign w:val="bottom"/>
            <w:shd w:val="clear" w:color="auto" w:fill="CFF0FC"/>
          </w:tcPr>
          <w:p>
            <w:pPr>
              <w:jc w:val="right"/>
              <w:ind w:right="10"/>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853</w:t>
            </w:r>
          </w:p>
        </w:tc>
        <w:tc>
          <w:tcPr>
            <w:tcW w:w="3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853</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Administrative and general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32,331</w:t>
            </w:r>
          </w:p>
        </w:tc>
        <w:tc>
          <w:tcPr>
            <w:tcW w:w="140" w:type="dxa"/>
            <w:vAlign w:val="bottom"/>
          </w:tcPr>
          <w:p>
            <w:pPr>
              <w:spacing w:after="0"/>
              <w:rPr>
                <w:sz w:val="14"/>
                <w:szCs w:val="14"/>
                <w:color w:val="auto"/>
              </w:rPr>
            </w:pPr>
          </w:p>
        </w:tc>
      </w:tr>
      <w:tr>
        <w:trPr>
          <w:trHeight w:val="162"/>
        </w:trPr>
        <w:tc>
          <w:tcPr>
            <w:tcW w:w="3940" w:type="dxa"/>
            <w:vAlign w:val="bottom"/>
            <w:tcBorders>
              <w:bottom w:val="single" w:sz="8" w:color="CFF0FC"/>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14,692</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10,751</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5,350</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209</w:t>
            </w:r>
          </w:p>
        </w:tc>
        <w:tc>
          <w:tcPr>
            <w:tcW w:w="300" w:type="dxa"/>
            <w:vAlign w:val="bottom"/>
            <w:tcBorders>
              <w:bottom w:val="single" w:sz="8" w:color="CFF0FC"/>
              <w:right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31,002</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56"/>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64,186</w:t>
            </w:r>
          </w:p>
        </w:tc>
        <w:tc>
          <w:tcPr>
            <w:tcW w:w="140" w:type="dxa"/>
            <w:vAlign w:val="bottom"/>
          </w:tcPr>
          <w:p>
            <w:pPr>
              <w:spacing w:after="0"/>
              <w:rPr>
                <w:sz w:val="13"/>
                <w:szCs w:val="13"/>
                <w:color w:val="auto"/>
              </w:rPr>
            </w:pPr>
          </w:p>
        </w:tc>
      </w:tr>
      <w:tr>
        <w:trPr>
          <w:trHeight w:val="155"/>
        </w:trPr>
        <w:tc>
          <w:tcPr>
            <w:tcW w:w="3940" w:type="dxa"/>
            <w:vAlign w:val="bottom"/>
            <w:tcBorders>
              <w:bottom w:val="single" w:sz="8" w:color="CFF0FC"/>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Gains on asset dispositions and impairments, net</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right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38,791</w:t>
            </w:r>
          </w:p>
        </w:tc>
        <w:tc>
          <w:tcPr>
            <w:tcW w:w="140" w:type="dxa"/>
            <w:vAlign w:val="bottom"/>
            <w:tcBorders>
              <w:bottom w:val="single" w:sz="8" w:color="CFF0FC"/>
            </w:tcBorders>
            <w:shd w:val="clear" w:color="auto" w:fill="CFF0FC"/>
          </w:tcPr>
          <w:p>
            <w:pPr>
              <w:spacing w:after="0"/>
              <w:rPr>
                <w:sz w:val="13"/>
                <w:szCs w:val="13"/>
                <w:color w:val="auto"/>
              </w:rPr>
            </w:pPr>
          </w:p>
        </w:tc>
      </w:tr>
      <w:tr>
        <w:trPr>
          <w:trHeight w:val="156"/>
        </w:trPr>
        <w:tc>
          <w:tcPr>
            <w:tcW w:w="39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Operating income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8,194</w:t>
            </w:r>
          </w:p>
        </w:tc>
        <w:tc>
          <w:tcPr>
            <w:tcW w:w="140" w:type="dxa"/>
            <w:vAlign w:val="bottom"/>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3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2026</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9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Historical cost</w:t>
            </w: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339,510</w:t>
            </w:r>
          </w:p>
        </w:tc>
        <w:tc>
          <w:tcPr>
            <w:tcW w:w="20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276,377</w:t>
            </w:r>
          </w:p>
        </w:tc>
        <w:tc>
          <w:tcPr>
            <w:tcW w:w="2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120,409</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11,285</w:t>
            </w:r>
          </w:p>
        </w:tc>
        <w:tc>
          <w:tcPr>
            <w:tcW w:w="3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747,581</w:t>
            </w:r>
          </w:p>
        </w:tc>
        <w:tc>
          <w:tcPr>
            <w:tcW w:w="140" w:type="dxa"/>
            <w:vAlign w:val="bottom"/>
            <w:shd w:val="clear" w:color="auto" w:fill="CFF0FC"/>
          </w:tcPr>
          <w:p>
            <w:pPr>
              <w:spacing w:after="0"/>
              <w:rPr>
                <w:sz w:val="17"/>
                <w:szCs w:val="17"/>
                <w:color w:val="auto"/>
              </w:rPr>
            </w:pPr>
          </w:p>
        </w:tc>
      </w:tr>
      <w:tr>
        <w:trPr>
          <w:trHeight w:val="189"/>
        </w:trPr>
        <w:tc>
          <w:tcPr>
            <w:tcW w:w="3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(191,220)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(85,047)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(65,892)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(10,992)</w:t>
            </w:r>
          </w:p>
        </w:tc>
        <w:tc>
          <w:tcPr>
            <w:tcW w:w="1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(353,151)</w:t>
            </w:r>
          </w:p>
        </w:tc>
      </w:tr>
      <w:tr>
        <w:trPr>
          <w:trHeight w:val="20"/>
        </w:trPr>
        <w:tc>
          <w:tcPr>
            <w:tcW w:w="3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39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148,290</w:t>
            </w:r>
          </w:p>
        </w:tc>
        <w:tc>
          <w:tcPr>
            <w:tcW w:w="2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191,330</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54,517</w:t>
            </w:r>
          </w:p>
        </w:tc>
        <w:tc>
          <w:tcPr>
            <w:tcW w:w="2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0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394,430</w:t>
            </w:r>
          </w:p>
        </w:tc>
        <w:tc>
          <w:tcPr>
            <w:tcW w:w="140" w:type="dxa"/>
            <w:vAlign w:val="bottom"/>
            <w:shd w:val="clear" w:color="auto" w:fill="CFF0FC"/>
          </w:tcPr>
          <w:p>
            <w:pPr>
              <w:spacing w:after="0"/>
              <w:rPr>
                <w:sz w:val="20"/>
                <w:szCs w:val="20"/>
                <w:color w:val="auto"/>
              </w:rPr>
            </w:pPr>
          </w:p>
        </w:tc>
      </w:tr>
      <w:tr>
        <w:trPr>
          <w:trHeight w:val="337"/>
        </w:trPr>
        <w:tc>
          <w:tcPr>
            <w:tcW w:w="39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Other</w:t>
            </w: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r>
      <w:tr>
        <w:trPr>
          <w:trHeight w:val="183"/>
        </w:trPr>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AHTS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FSV</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PSV</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1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55"/>
        </w:trPr>
        <w:tc>
          <w:tcPr>
            <w:tcW w:w="394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For the Three Months Ended September 30, 2025</w:t>
            </w: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Time Charter Statistics: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Average Rates Per Day</w:t>
            </w: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14,007</w:t>
            </w:r>
          </w:p>
        </w:tc>
        <w:tc>
          <w:tcPr>
            <w:tcW w:w="2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21,507</w:t>
            </w:r>
          </w:p>
        </w:tc>
        <w:tc>
          <w:tcPr>
            <w:tcW w:w="2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33,566</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CFF0FC"/>
            </w:tcBorders>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19,490</w:t>
            </w:r>
          </w:p>
        </w:tc>
        <w:tc>
          <w:tcPr>
            <w:tcW w:w="140" w:type="dxa"/>
            <w:vAlign w:val="bottom"/>
            <w:shd w:val="clear" w:color="auto" w:fill="CFF0FC"/>
          </w:tcPr>
          <w:p>
            <w:pPr>
              <w:spacing w:after="0"/>
              <w:rPr>
                <w:sz w:val="14"/>
                <w:szCs w:val="14"/>
                <w:color w:val="auto"/>
              </w:rPr>
            </w:pPr>
          </w:p>
        </w:tc>
      </w:tr>
      <w:tr>
        <w:trPr>
          <w:trHeight w:val="203"/>
        </w:trPr>
        <w:tc>
          <w:tcPr>
            <w:tcW w:w="39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Fleet Utilization</w:t>
            </w: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394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Fleet Available Days</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20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4,321</w:t>
            </w:r>
          </w:p>
        </w:tc>
        <w:tc>
          <w:tcPr>
            <w:tcW w:w="140" w:type="dxa"/>
            <w:vAlign w:val="bottom"/>
            <w:shd w:val="clear" w:color="auto" w:fill="CFF0FC"/>
          </w:tcPr>
          <w:p>
            <w:pPr>
              <w:spacing w:after="0"/>
              <w:rPr>
                <w:sz w:val="17"/>
                <w:szCs w:val="17"/>
                <w:color w:val="auto"/>
              </w:rPr>
            </w:pPr>
          </w:p>
        </w:tc>
      </w:tr>
      <w:tr>
        <w:trPr>
          <w:trHeight w:val="162"/>
        </w:trPr>
        <w:tc>
          <w:tcPr>
            <w:tcW w:w="3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Revenues: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Time charter</w:t>
            </w: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19,131</w:t>
            </w:r>
          </w:p>
        </w:tc>
        <w:tc>
          <w:tcPr>
            <w:tcW w:w="2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24,439</w:t>
            </w:r>
          </w:p>
        </w:tc>
        <w:tc>
          <w:tcPr>
            <w:tcW w:w="2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12,388</w:t>
            </w:r>
          </w:p>
        </w:tc>
        <w:tc>
          <w:tcPr>
            <w:tcW w:w="2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right w:val="single" w:sz="8" w:color="CFF0FC"/>
            </w:tcBorders>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55,958</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Bareboat charter</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846</w:t>
            </w: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marine services</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592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1,128</w:t>
            </w:r>
          </w:p>
        </w:tc>
        <w:tc>
          <w:tcPr>
            <w:tcW w:w="2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111</w:t>
            </w:r>
          </w:p>
        </w:tc>
        <w:tc>
          <w:tcPr>
            <w:tcW w:w="3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2,390</w:t>
            </w:r>
          </w:p>
        </w:tc>
        <w:tc>
          <w:tcPr>
            <w:tcW w:w="140" w:type="dxa"/>
            <w:vAlign w:val="bottom"/>
            <w:shd w:val="clear" w:color="auto" w:fill="CFF0FC"/>
          </w:tcPr>
          <w:p>
            <w:pPr>
              <w:spacing w:after="0"/>
              <w:rPr>
                <w:sz w:val="14"/>
                <w:szCs w:val="14"/>
                <w:color w:val="auto"/>
              </w:rPr>
            </w:pPr>
          </w:p>
        </w:tc>
      </w:tr>
      <w:tr>
        <w:trPr>
          <w:trHeight w:val="20"/>
        </w:trPr>
        <w:tc>
          <w:tcPr>
            <w:tcW w:w="39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56"/>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19,697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25,877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13,516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111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59,194</w:t>
            </w:r>
          </w:p>
        </w:tc>
        <w:tc>
          <w:tcPr>
            <w:tcW w:w="140" w:type="dxa"/>
            <w:vAlign w:val="bottom"/>
          </w:tcPr>
          <w:p>
            <w:pPr>
              <w:spacing w:after="0"/>
              <w:rPr>
                <w:sz w:val="13"/>
                <w:szCs w:val="13"/>
                <w:color w:val="auto"/>
              </w:rPr>
            </w:pPr>
          </w:p>
        </w:tc>
      </w:tr>
      <w:tr>
        <w:trPr>
          <w:trHeight w:val="155"/>
        </w:trPr>
        <w:tc>
          <w:tcPr>
            <w:tcW w:w="394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Direct Costs and Expenses:</w:t>
            </w: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Operating:</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4,502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7,882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5,209</w:t>
            </w:r>
          </w:p>
        </w:tc>
        <w:tc>
          <w:tcPr>
            <w:tcW w:w="2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3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17,616</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Repairs and maintenance</w:t>
            </w:r>
          </w:p>
        </w:tc>
        <w:tc>
          <w:tcPr>
            <w:tcW w:w="160" w:type="dxa"/>
            <w:vAlign w:val="bottom"/>
          </w:tcPr>
          <w:p>
            <w:pPr>
              <w:spacing w:after="0"/>
              <w:rPr>
                <w:sz w:val="14"/>
                <w:szCs w:val="14"/>
                <w:color w:val="auto"/>
              </w:rPr>
            </w:pPr>
          </w:p>
        </w:tc>
        <w:tc>
          <w:tcPr>
            <w:tcW w:w="9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3,943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14,603</w:t>
            </w: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Drydocking</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678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1,113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639</w:t>
            </w:r>
          </w:p>
        </w:tc>
        <w:tc>
          <w:tcPr>
            <w:tcW w:w="2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2,430</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Insurance and loss reserves</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1,145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1,948</w:t>
            </w:r>
          </w:p>
        </w:tc>
        <w:tc>
          <w:tcPr>
            <w:tcW w:w="140" w:type="dxa"/>
            <w:vAlign w:val="bottom"/>
          </w:tcPr>
          <w:p>
            <w:pPr>
              <w:spacing w:after="0"/>
              <w:rPr>
                <w:sz w:val="14"/>
                <w:szCs w:val="14"/>
                <w:color w:val="auto"/>
              </w:rPr>
            </w:pPr>
          </w:p>
        </w:tc>
      </w:tr>
      <w:tr>
        <w:trPr>
          <w:trHeight w:val="162"/>
        </w:trPr>
        <w:tc>
          <w:tcPr>
            <w:tcW w:w="3940" w:type="dxa"/>
            <w:vAlign w:val="bottom"/>
            <w:tcBorders>
              <w:right w:val="single" w:sz="8" w:color="CFF0FC"/>
            </w:tcBorders>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Fuel, lubes and supplies</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1,480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2,030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951</w:t>
            </w:r>
          </w:p>
        </w:tc>
        <w:tc>
          <w:tcPr>
            <w:tcW w:w="20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3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4,465</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2,889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3,262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6,622</w:t>
            </w:r>
          </w:p>
        </w:tc>
        <w:tc>
          <w:tcPr>
            <w:tcW w:w="140" w:type="dxa"/>
            <w:vAlign w:val="bottom"/>
          </w:tcPr>
          <w:p>
            <w:pPr>
              <w:spacing w:after="0"/>
              <w:rPr>
                <w:sz w:val="14"/>
                <w:szCs w:val="14"/>
                <w:color w:val="auto"/>
              </w:rPr>
            </w:pPr>
          </w:p>
        </w:tc>
      </w:tr>
      <w:tr>
        <w:trPr>
          <w:trHeight w:val="155"/>
        </w:trPr>
        <w:tc>
          <w:tcPr>
            <w:tcW w:w="3940" w:type="dxa"/>
            <w:vAlign w:val="bottom"/>
            <w:tcBorders>
              <w:bottom w:val="single" w:sz="8" w:color="CFF0FC"/>
              <w:right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15,860</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19,451</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12,294</w:t>
            </w: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right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71</w:t>
            </w:r>
          </w:p>
        </w:tc>
        <w:tc>
          <w:tcPr>
            <w:tcW w:w="300" w:type="dxa"/>
            <w:vAlign w:val="bottom"/>
            <w:tcBorders>
              <w:bottom w:val="single" w:sz="8" w:color="CFF0FC"/>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47,684</w:t>
            </w:r>
          </w:p>
        </w:tc>
        <w:tc>
          <w:tcPr>
            <w:tcW w:w="140" w:type="dxa"/>
            <w:vAlign w:val="bottom"/>
            <w:tcBorders>
              <w:bottom w:val="single" w:sz="8" w:color="CFF0FC"/>
            </w:tcBorders>
            <w:shd w:val="clear" w:color="auto" w:fill="CFF0FC"/>
          </w:tcPr>
          <w:p>
            <w:pPr>
              <w:spacing w:after="0"/>
              <w:rPr>
                <w:sz w:val="13"/>
                <w:szCs w:val="13"/>
                <w:color w:val="auto"/>
              </w:rPr>
            </w:pPr>
          </w:p>
        </w:tc>
      </w:tr>
      <w:tr>
        <w:trPr>
          <w:trHeight w:val="156"/>
        </w:trPr>
        <w:tc>
          <w:tcPr>
            <w:tcW w:w="39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3940" w:type="dxa"/>
            <w:vAlign w:val="bottom"/>
            <w:tcBorders>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Lease expense</w:t>
            </w:r>
          </w:p>
        </w:tc>
        <w:tc>
          <w:tcPr>
            <w:tcW w:w="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280</w:t>
            </w:r>
          </w:p>
        </w:tc>
        <w:tc>
          <w:tcPr>
            <w:tcW w:w="30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280</w:t>
            </w:r>
          </w:p>
        </w:tc>
        <w:tc>
          <w:tcPr>
            <w:tcW w:w="140" w:type="dxa"/>
            <w:vAlign w:val="bottom"/>
            <w:shd w:val="clear" w:color="auto" w:fill="CFF0FC"/>
          </w:tcPr>
          <w:p>
            <w:pPr>
              <w:spacing w:after="0"/>
              <w:rPr>
                <w:sz w:val="14"/>
                <w:szCs w:val="14"/>
                <w:color w:val="auto"/>
              </w:rPr>
            </w:pPr>
          </w:p>
        </w:tc>
      </w:tr>
      <w:tr>
        <w:trPr>
          <w:trHeight w:val="162"/>
        </w:trPr>
        <w:tc>
          <w:tcPr>
            <w:tcW w:w="39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Administrative and general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11,269</w:t>
            </w:r>
          </w:p>
        </w:tc>
        <w:tc>
          <w:tcPr>
            <w:tcW w:w="140" w:type="dxa"/>
            <w:vAlign w:val="bottom"/>
          </w:tcPr>
          <w:p>
            <w:pPr>
              <w:spacing w:after="0"/>
              <w:rPr>
                <w:sz w:val="14"/>
                <w:szCs w:val="14"/>
                <w:color w:val="auto"/>
              </w:rPr>
            </w:pPr>
          </w:p>
        </w:tc>
      </w:tr>
      <w:tr>
        <w:trPr>
          <w:trHeight w:val="162"/>
        </w:trPr>
        <w:tc>
          <w:tcPr>
            <w:tcW w:w="3940" w:type="dxa"/>
            <w:vAlign w:val="bottom"/>
            <w:tcBorders>
              <w:bottom w:val="single" w:sz="8" w:color="CFF0FC"/>
              <w:right w:val="single" w:sz="8" w:color="CFF0FC"/>
            </w:tcBorders>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4,695</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3,968</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3,450</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right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w:t>
            </w:r>
          </w:p>
        </w:tc>
        <w:tc>
          <w:tcPr>
            <w:tcW w:w="300" w:type="dxa"/>
            <w:vAlign w:val="bottom"/>
            <w:tcBorders>
              <w:bottom w:val="single" w:sz="8" w:color="CFF0FC"/>
              <w:right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12,125</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55"/>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23,674</w:t>
            </w:r>
          </w:p>
        </w:tc>
        <w:tc>
          <w:tcPr>
            <w:tcW w:w="140" w:type="dxa"/>
            <w:vAlign w:val="bottom"/>
          </w:tcPr>
          <w:p>
            <w:pPr>
              <w:spacing w:after="0"/>
              <w:rPr>
                <w:sz w:val="13"/>
                <w:szCs w:val="13"/>
                <w:color w:val="auto"/>
              </w:rPr>
            </w:pPr>
          </w:p>
        </w:tc>
      </w:tr>
      <w:tr>
        <w:trPr>
          <w:trHeight w:val="155"/>
        </w:trPr>
        <w:tc>
          <w:tcPr>
            <w:tcW w:w="3940" w:type="dxa"/>
            <w:vAlign w:val="bottom"/>
            <w:tcBorders>
              <w:bottom w:val="single" w:sz="8" w:color="CFF0FC"/>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Gains on asset dispositions and impairments, net</w:t>
            </w:r>
          </w:p>
        </w:tc>
        <w:tc>
          <w:tcPr>
            <w:tcW w:w="16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right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CFF0FC"/>
              <w:right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30,230</w:t>
            </w:r>
          </w:p>
        </w:tc>
        <w:tc>
          <w:tcPr>
            <w:tcW w:w="140" w:type="dxa"/>
            <w:vAlign w:val="bottom"/>
            <w:tcBorders>
              <w:bottom w:val="single" w:sz="8" w:color="CFF0FC"/>
            </w:tcBorders>
            <w:shd w:val="clear" w:color="auto" w:fill="CFF0FC"/>
          </w:tcPr>
          <w:p>
            <w:pPr>
              <w:spacing w:after="0"/>
              <w:rPr>
                <w:sz w:val="13"/>
                <w:szCs w:val="13"/>
                <w:color w:val="auto"/>
              </w:rPr>
            </w:pPr>
          </w:p>
        </w:tc>
      </w:tr>
      <w:tr>
        <w:trPr>
          <w:trHeight w:val="156"/>
        </w:trPr>
        <w:tc>
          <w:tcPr>
            <w:tcW w:w="394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Operating income</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18,066</w:t>
            </w:r>
          </w:p>
        </w:tc>
        <w:tc>
          <w:tcPr>
            <w:tcW w:w="140" w:type="dxa"/>
            <w:vAlign w:val="bottom"/>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-5657215</wp:posOffset>
            </wp:positionV>
            <wp:extent cx="939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-5657215</wp:posOffset>
            </wp:positionV>
            <wp:extent cx="946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-5657215</wp:posOffset>
            </wp:positionV>
            <wp:extent cx="939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-5657215</wp:posOffset>
            </wp:positionV>
            <wp:extent cx="946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-5657215</wp:posOffset>
            </wp:positionV>
            <wp:extent cx="946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-5657215</wp:posOffset>
            </wp:positionV>
            <wp:extent cx="939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-4191000</wp:posOffset>
            </wp:positionV>
            <wp:extent cx="939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-3968115</wp:posOffset>
            </wp:positionV>
            <wp:extent cx="939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-3188335</wp:posOffset>
            </wp:positionV>
            <wp:extent cx="939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-3171190</wp:posOffset>
            </wp:positionV>
            <wp:extent cx="939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-3188335</wp:posOffset>
            </wp:positionV>
            <wp:extent cx="946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-3171190</wp:posOffset>
            </wp:positionV>
            <wp:extent cx="9461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-3188335</wp:posOffset>
            </wp:positionV>
            <wp:extent cx="939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-3171190</wp:posOffset>
            </wp:positionV>
            <wp:extent cx="939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-3188335</wp:posOffset>
            </wp:positionV>
            <wp:extent cx="946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-3171190</wp:posOffset>
            </wp:positionV>
            <wp:extent cx="946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-3188335</wp:posOffset>
            </wp:positionV>
            <wp:extent cx="946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-3171190</wp:posOffset>
            </wp:positionV>
            <wp:extent cx="9461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-3188335</wp:posOffset>
            </wp:positionV>
            <wp:extent cx="939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-3171190</wp:posOffset>
            </wp:positionV>
            <wp:extent cx="939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-1833880</wp:posOffset>
            </wp:positionV>
            <wp:extent cx="939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-1833880</wp:posOffset>
            </wp:positionV>
            <wp:extent cx="9461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-1833880</wp:posOffset>
            </wp:positionV>
            <wp:extent cx="939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-1833880</wp:posOffset>
            </wp:positionV>
            <wp:extent cx="946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-1833880</wp:posOffset>
            </wp:positionV>
            <wp:extent cx="9461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-1833880</wp:posOffset>
            </wp:positionV>
            <wp:extent cx="939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-779780</wp:posOffset>
            </wp:positionV>
            <wp:extent cx="939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-779780</wp:posOffset>
            </wp:positionV>
            <wp:extent cx="946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-779780</wp:posOffset>
            </wp:positionV>
            <wp:extent cx="939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-779780</wp:posOffset>
            </wp:positionV>
            <wp:extent cx="946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-779780</wp:posOffset>
            </wp:positionV>
            <wp:extent cx="9461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-779780</wp:posOffset>
            </wp:positionV>
            <wp:extent cx="939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-359410</wp:posOffset>
            </wp:positionV>
            <wp:extent cx="939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-136525</wp:posOffset>
            </wp:positionV>
            <wp:extent cx="939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2"/>
        </w:trPr>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AHTS</w:t>
            </w:r>
          </w:p>
        </w:tc>
        <w:tc>
          <w:tcPr>
            <w:tcW w:w="20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FSV</w:t>
            </w:r>
          </w:p>
        </w:tc>
        <w:tc>
          <w:tcPr>
            <w:tcW w:w="22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PSV</w:t>
            </w:r>
          </w:p>
        </w:tc>
        <w:tc>
          <w:tcPr>
            <w:tcW w:w="12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18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55"/>
        </w:trPr>
        <w:tc>
          <w:tcPr>
            <w:tcW w:w="35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For the Nine Months Ended September 30, 2025</w:t>
            </w:r>
          </w:p>
        </w:tc>
        <w:tc>
          <w:tcPr>
            <w:tcW w:w="4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35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Time Charter Statistics: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Average Rates Per Day</w:t>
            </w:r>
          </w:p>
        </w:tc>
        <w:tc>
          <w:tcPr>
            <w:tcW w:w="5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13,758</w:t>
            </w:r>
          </w:p>
        </w:tc>
        <w:tc>
          <w:tcPr>
            <w:tcW w:w="2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21,117</w:t>
            </w:r>
          </w:p>
        </w:tc>
        <w:tc>
          <w:tcPr>
            <w:tcW w:w="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34,601</w:t>
            </w:r>
          </w:p>
        </w:tc>
        <w:tc>
          <w:tcPr>
            <w:tcW w:w="1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19,358</w:t>
            </w:r>
          </w:p>
        </w:tc>
      </w:tr>
      <w:tr>
        <w:trPr>
          <w:trHeight w:val="162"/>
        </w:trPr>
        <w:tc>
          <w:tcPr>
            <w:tcW w:w="35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Fleet Utilization</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70%</w:t>
            </w:r>
          </w:p>
        </w:tc>
        <w:tc>
          <w:tcPr>
            <w:tcW w:w="220" w:type="dxa"/>
            <w:vAlign w:val="bottom"/>
          </w:tcPr>
          <w:p>
            <w:pPr>
              <w:spacing w:after="0"/>
              <w:rPr>
                <w:sz w:val="14"/>
                <w:szCs w:val="14"/>
                <w:color w:val="auto"/>
              </w:rPr>
            </w:pPr>
          </w:p>
        </w:tc>
        <w:tc>
          <w:tcPr>
            <w:tcW w:w="10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63%</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160" w:type="dxa"/>
            <w:vAlign w:val="bottom"/>
          </w:tcPr>
          <w:p>
            <w:pPr>
              <w:spacing w:after="0"/>
              <w:rPr>
                <w:sz w:val="14"/>
                <w:szCs w:val="14"/>
                <w:color w:val="auto"/>
              </w:rPr>
            </w:pPr>
          </w:p>
        </w:tc>
        <w:tc>
          <w:tcPr>
            <w:tcW w:w="10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65%</w:t>
            </w:r>
          </w:p>
        </w:tc>
      </w:tr>
      <w:tr>
        <w:trPr>
          <w:trHeight w:val="162"/>
        </w:trPr>
        <w:tc>
          <w:tcPr>
            <w:tcW w:w="35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Fleet Available Days</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5,847</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5,376</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1,991</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13,214</w:t>
            </w:r>
          </w:p>
        </w:tc>
      </w:tr>
      <w:tr>
        <w:trPr>
          <w:trHeight w:val="162"/>
        </w:trPr>
        <w:tc>
          <w:tcPr>
            <w:tcW w:w="35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Revenues: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Time charter</w:t>
            </w:r>
          </w:p>
        </w:tc>
        <w:tc>
          <w:tcPr>
            <w:tcW w:w="5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2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56,061</w:t>
            </w:r>
          </w:p>
        </w:tc>
        <w:tc>
          <w:tcPr>
            <w:tcW w:w="2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71,165</w:t>
            </w:r>
          </w:p>
        </w:tc>
        <w:tc>
          <w:tcPr>
            <w:tcW w:w="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38,345</w:t>
            </w:r>
          </w:p>
        </w:tc>
        <w:tc>
          <w:tcPr>
            <w:tcW w:w="1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165,564</w:t>
            </w:r>
          </w:p>
        </w:tc>
      </w:tr>
      <w:tr>
        <w:trPr>
          <w:trHeight w:val="162"/>
        </w:trPr>
        <w:tc>
          <w:tcPr>
            <w:tcW w:w="35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Bareboat charter</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2,392</w:t>
            </w:r>
          </w:p>
        </w:tc>
        <w:tc>
          <w:tcPr>
            <w:tcW w:w="120" w:type="dxa"/>
            <w:vAlign w:val="bottom"/>
          </w:tcPr>
          <w:p>
            <w:pPr>
              <w:spacing w:after="0"/>
              <w:rPr>
                <w:sz w:val="14"/>
                <w:szCs w:val="14"/>
                <w:color w:val="auto"/>
              </w:rPr>
            </w:pPr>
          </w:p>
        </w:tc>
        <w:tc>
          <w:tcPr>
            <w:tcW w:w="11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2,392</w:t>
            </w:r>
          </w:p>
        </w:tc>
      </w:tr>
      <w:tr>
        <w:trPr>
          <w:trHeight w:val="162"/>
        </w:trPr>
        <w:tc>
          <w:tcPr>
            <w:tcW w:w="35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marine services</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2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1,844</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1,533</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3,585</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592</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7,547</w:t>
            </w:r>
          </w:p>
        </w:tc>
      </w:tr>
      <w:tr>
        <w:trPr>
          <w:trHeight w:val="20"/>
        </w:trPr>
        <w:tc>
          <w:tcPr>
            <w:tcW w:w="35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55"/>
        </w:trPr>
        <w:tc>
          <w:tcPr>
            <w:tcW w:w="3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(14)</w:t>
            </w:r>
          </w:p>
        </w:tc>
        <w:tc>
          <w:tcPr>
            <w:tcW w:w="200" w:type="dxa"/>
            <w:vAlign w:val="bottom"/>
          </w:tcPr>
          <w:p>
            <w:pPr>
              <w:spacing w:after="0"/>
              <w:rPr>
                <w:sz w:val="13"/>
                <w:szCs w:val="13"/>
                <w:color w:val="auto"/>
              </w:rPr>
            </w:pPr>
          </w:p>
        </w:tc>
        <w:tc>
          <w:tcPr>
            <w:tcW w:w="102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57,905</w:t>
            </w:r>
          </w:p>
        </w:tc>
        <w:tc>
          <w:tcPr>
            <w:tcW w:w="220" w:type="dxa"/>
            <w:vAlign w:val="bottom"/>
          </w:tcPr>
          <w:p>
            <w:pPr>
              <w:spacing w:after="0"/>
              <w:rPr>
                <w:sz w:val="13"/>
                <w:szCs w:val="13"/>
                <w:color w:val="auto"/>
              </w:rPr>
            </w:pPr>
          </w:p>
        </w:tc>
        <w:tc>
          <w:tcPr>
            <w:tcW w:w="102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75,090</w:t>
            </w:r>
          </w:p>
        </w:tc>
        <w:tc>
          <w:tcPr>
            <w:tcW w:w="120" w:type="dxa"/>
            <w:vAlign w:val="bottom"/>
          </w:tcPr>
          <w:p>
            <w:pPr>
              <w:spacing w:after="0"/>
              <w:rPr>
                <w:sz w:val="13"/>
                <w:szCs w:val="13"/>
                <w:color w:val="auto"/>
              </w:rPr>
            </w:pPr>
          </w:p>
        </w:tc>
        <w:tc>
          <w:tcPr>
            <w:tcW w:w="110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41,930</w:t>
            </w:r>
          </w:p>
        </w:tc>
        <w:tc>
          <w:tcPr>
            <w:tcW w:w="160" w:type="dxa"/>
            <w:vAlign w:val="bottom"/>
          </w:tcPr>
          <w:p>
            <w:pPr>
              <w:spacing w:after="0"/>
              <w:rPr>
                <w:sz w:val="13"/>
                <w:szCs w:val="13"/>
                <w:color w:val="auto"/>
              </w:rPr>
            </w:pPr>
          </w:p>
        </w:tc>
        <w:tc>
          <w:tcPr>
            <w:tcW w:w="108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592</w:t>
            </w:r>
          </w:p>
        </w:tc>
        <w:tc>
          <w:tcPr>
            <w:tcW w:w="180" w:type="dxa"/>
            <w:vAlign w:val="bottom"/>
          </w:tcPr>
          <w:p>
            <w:pPr>
              <w:spacing w:after="0"/>
              <w:rPr>
                <w:sz w:val="13"/>
                <w:szCs w:val="13"/>
                <w:color w:val="auto"/>
              </w:rPr>
            </w:pPr>
          </w:p>
        </w:tc>
        <w:tc>
          <w:tcPr>
            <w:tcW w:w="9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175,503</w:t>
            </w:r>
          </w:p>
        </w:tc>
      </w:tr>
      <w:tr>
        <w:trPr>
          <w:trHeight w:val="156"/>
        </w:trPr>
        <w:tc>
          <w:tcPr>
            <w:tcW w:w="35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Direct Costs and Expenses:</w:t>
            </w:r>
          </w:p>
        </w:tc>
        <w:tc>
          <w:tcPr>
            <w:tcW w:w="4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35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Operating:</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8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Personnel</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2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13,961</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24,800</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16,129</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211</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55,122</w:t>
            </w:r>
          </w:p>
        </w:tc>
      </w:tr>
      <w:tr>
        <w:trPr>
          <w:trHeight w:val="162"/>
        </w:trPr>
        <w:tc>
          <w:tcPr>
            <w:tcW w:w="358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Repairs and maintenance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269</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12,566</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12,366</w:t>
            </w:r>
          </w:p>
        </w:tc>
        <w:tc>
          <w:tcPr>
            <w:tcW w:w="120" w:type="dxa"/>
            <w:vAlign w:val="bottom"/>
          </w:tcPr>
          <w:p>
            <w:pPr>
              <w:spacing w:after="0"/>
              <w:rPr>
                <w:sz w:val="14"/>
                <w:szCs w:val="14"/>
                <w:color w:val="auto"/>
              </w:rPr>
            </w:pPr>
          </w:p>
        </w:tc>
        <w:tc>
          <w:tcPr>
            <w:tcW w:w="11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11,536</w:t>
            </w:r>
          </w:p>
        </w:tc>
        <w:tc>
          <w:tcPr>
            <w:tcW w:w="16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36,771</w:t>
            </w:r>
          </w:p>
        </w:tc>
      </w:tr>
      <w:tr>
        <w:trPr>
          <w:trHeight w:val="162"/>
        </w:trPr>
        <w:tc>
          <w:tcPr>
            <w:tcW w:w="358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Drydocking</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1,697</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5,619</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4,126</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11,442</w:t>
            </w:r>
          </w:p>
        </w:tc>
      </w:tr>
      <w:tr>
        <w:trPr>
          <w:trHeight w:val="162"/>
        </w:trPr>
        <w:tc>
          <w:tcPr>
            <w:tcW w:w="358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Insurance and loss reserves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1,470</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2,083</w:t>
            </w:r>
          </w:p>
        </w:tc>
        <w:tc>
          <w:tcPr>
            <w:tcW w:w="120" w:type="dxa"/>
            <w:vAlign w:val="bottom"/>
          </w:tcPr>
          <w:p>
            <w:pPr>
              <w:spacing w:after="0"/>
              <w:rPr>
                <w:sz w:val="14"/>
                <w:szCs w:val="14"/>
                <w:color w:val="auto"/>
              </w:rPr>
            </w:pPr>
          </w:p>
        </w:tc>
        <w:tc>
          <w:tcPr>
            <w:tcW w:w="11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3,762</w:t>
            </w:r>
          </w:p>
        </w:tc>
        <w:tc>
          <w:tcPr>
            <w:tcW w:w="160" w:type="dxa"/>
            <w:vAlign w:val="bottom"/>
          </w:tcPr>
          <w:p>
            <w:pPr>
              <w:spacing w:after="0"/>
              <w:rPr>
                <w:sz w:val="14"/>
                <w:szCs w:val="14"/>
                <w:color w:val="auto"/>
              </w:rPr>
            </w:pPr>
          </w:p>
        </w:tc>
        <w:tc>
          <w:tcPr>
            <w:tcW w:w="10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(228)</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7,083</w:t>
            </w:r>
          </w:p>
        </w:tc>
      </w:tr>
      <w:tr>
        <w:trPr>
          <w:trHeight w:val="162"/>
        </w:trPr>
        <w:tc>
          <w:tcPr>
            <w:tcW w:w="358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Fuel, lubes and supplies</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2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4,102</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6,482</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2,777</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13,307</w:t>
            </w:r>
          </w:p>
        </w:tc>
      </w:tr>
      <w:tr>
        <w:trPr>
          <w:trHeight w:val="162"/>
        </w:trPr>
        <w:tc>
          <w:tcPr>
            <w:tcW w:w="358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Other</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2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6,099</w:t>
            </w:r>
          </w:p>
        </w:tc>
        <w:tc>
          <w:tcPr>
            <w:tcW w:w="220" w:type="dxa"/>
            <w:vAlign w:val="bottom"/>
          </w:tcPr>
          <w:p>
            <w:pPr>
              <w:spacing w:after="0"/>
              <w:rPr>
                <w:sz w:val="14"/>
                <w:szCs w:val="14"/>
                <w:color w:val="auto"/>
              </w:rPr>
            </w:pPr>
          </w:p>
        </w:tc>
        <w:tc>
          <w:tcPr>
            <w:tcW w:w="102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7,479</w:t>
            </w:r>
          </w:p>
        </w:tc>
        <w:tc>
          <w:tcPr>
            <w:tcW w:w="120" w:type="dxa"/>
            <w:vAlign w:val="bottom"/>
          </w:tcPr>
          <w:p>
            <w:pPr>
              <w:spacing w:after="0"/>
              <w:rPr>
                <w:sz w:val="14"/>
                <w:szCs w:val="14"/>
                <w:color w:val="auto"/>
              </w:rPr>
            </w:pPr>
          </w:p>
        </w:tc>
        <w:tc>
          <w:tcPr>
            <w:tcW w:w="11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1,692</w:t>
            </w:r>
          </w:p>
        </w:tc>
        <w:tc>
          <w:tcPr>
            <w:tcW w:w="160" w:type="dxa"/>
            <w:vAlign w:val="bottom"/>
          </w:tcPr>
          <w:p>
            <w:pPr>
              <w:spacing w:after="0"/>
              <w:rPr>
                <w:sz w:val="14"/>
                <w:szCs w:val="14"/>
                <w:color w:val="auto"/>
              </w:rPr>
            </w:pPr>
          </w:p>
        </w:tc>
        <w:tc>
          <w:tcPr>
            <w:tcW w:w="10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15,380</w:t>
            </w:r>
          </w:p>
        </w:tc>
      </w:tr>
      <w:tr>
        <w:trPr>
          <w:trHeight w:val="20"/>
        </w:trPr>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35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256</w:t>
            </w:r>
          </w:p>
        </w:tc>
        <w:tc>
          <w:tcPr>
            <w:tcW w:w="200" w:type="dxa"/>
            <w:vAlign w:val="bottom"/>
            <w:shd w:val="clear" w:color="auto" w:fill="CFF0FC"/>
          </w:tcPr>
          <w:p>
            <w:pPr>
              <w:spacing w:after="0"/>
              <w:rPr>
                <w:sz w:val="13"/>
                <w:szCs w:val="13"/>
                <w:color w:val="auto"/>
              </w:rPr>
            </w:pPr>
          </w:p>
        </w:tc>
        <w:tc>
          <w:tcPr>
            <w:tcW w:w="1020" w:type="dxa"/>
            <w:vAlign w:val="bottom"/>
            <w:tcBorders>
              <w:right w:val="single" w:sz="8" w:color="CFF0FC"/>
            </w:tcBorders>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39,895</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58,829</w:t>
            </w:r>
          </w:p>
        </w:tc>
        <w:tc>
          <w:tcPr>
            <w:tcW w:w="120" w:type="dxa"/>
            <w:vAlign w:val="bottom"/>
            <w:shd w:val="clear" w:color="auto" w:fill="CFF0FC"/>
          </w:tcPr>
          <w:p>
            <w:pPr>
              <w:spacing w:after="0"/>
              <w:rPr>
                <w:sz w:val="13"/>
                <w:szCs w:val="13"/>
                <w:color w:val="auto"/>
              </w:rPr>
            </w:pPr>
          </w:p>
        </w:tc>
        <w:tc>
          <w:tcPr>
            <w:tcW w:w="1100" w:type="dxa"/>
            <w:vAlign w:val="bottom"/>
            <w:tcBorders>
              <w:right w:val="single" w:sz="8" w:color="CFF0FC"/>
            </w:tcBorders>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40,022</w:t>
            </w:r>
          </w:p>
        </w:tc>
        <w:tc>
          <w:tcPr>
            <w:tcW w:w="16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103</w:t>
            </w: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139,105</w:t>
            </w:r>
          </w:p>
        </w:tc>
      </w:tr>
      <w:tr>
        <w:trPr>
          <w:trHeight w:val="156"/>
        </w:trPr>
        <w:tc>
          <w:tcPr>
            <w:tcW w:w="358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Other Costs and Expenses:</w:t>
            </w:r>
          </w:p>
        </w:tc>
        <w:tc>
          <w:tcPr>
            <w:tcW w:w="4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r>
      <w:tr>
        <w:trPr>
          <w:trHeight w:val="162"/>
        </w:trPr>
        <w:tc>
          <w:tcPr>
            <w:tcW w:w="35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Lease expense</w:t>
            </w:r>
          </w:p>
        </w:tc>
        <w:tc>
          <w:tcPr>
            <w:tcW w:w="5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942</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942</w:t>
            </w:r>
          </w:p>
        </w:tc>
      </w:tr>
      <w:tr>
        <w:trPr>
          <w:trHeight w:val="162"/>
        </w:trPr>
        <w:tc>
          <w:tcPr>
            <w:tcW w:w="358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Administrative and general</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34,753</w:t>
            </w:r>
          </w:p>
        </w:tc>
      </w:tr>
      <w:tr>
        <w:trPr>
          <w:trHeight w:val="162"/>
        </w:trPr>
        <w:tc>
          <w:tcPr>
            <w:tcW w:w="358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200" w:type="dxa"/>
            <w:vAlign w:val="bottom"/>
            <w:shd w:val="clear" w:color="auto" w:fill="CFF0FC"/>
          </w:tcPr>
          <w:p>
            <w:pPr>
              <w:spacing w:after="0"/>
              <w:rPr>
                <w:sz w:val="14"/>
                <w:szCs w:val="14"/>
                <w:color w:val="auto"/>
              </w:rPr>
            </w:pPr>
          </w:p>
        </w:tc>
        <w:tc>
          <w:tcPr>
            <w:tcW w:w="1020" w:type="dxa"/>
            <w:vAlign w:val="bottom"/>
            <w:tcBorders>
              <w:right w:val="single" w:sz="8" w:color="CFF0FC"/>
            </w:tcBorders>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14,330</w:t>
            </w:r>
          </w:p>
        </w:tc>
        <w:tc>
          <w:tcPr>
            <w:tcW w:w="2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12,044</w:t>
            </w:r>
          </w:p>
        </w:tc>
        <w:tc>
          <w:tcPr>
            <w:tcW w:w="12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10,593</w:t>
            </w: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37,025</w:t>
            </w:r>
          </w:p>
        </w:tc>
      </w:tr>
      <w:tr>
        <w:trPr>
          <w:trHeight w:val="20"/>
        </w:trPr>
        <w:tc>
          <w:tcPr>
            <w:tcW w:w="35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55"/>
        </w:trPr>
        <w:tc>
          <w:tcPr>
            <w:tcW w:w="3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72,720</w:t>
            </w:r>
          </w:p>
        </w:tc>
      </w:tr>
      <w:tr>
        <w:trPr>
          <w:trHeight w:val="20"/>
        </w:trPr>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35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Gains on asset dispositions and impairments, net</w:t>
            </w: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55,202</w:t>
            </w:r>
          </w:p>
        </w:tc>
      </w:tr>
      <w:tr>
        <w:trPr>
          <w:trHeight w:val="20"/>
        </w:trPr>
        <w:tc>
          <w:tcPr>
            <w:tcW w:w="358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55"/>
        </w:trPr>
        <w:tc>
          <w:tcPr>
            <w:tcW w:w="35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Operating income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18,880</w:t>
            </w:r>
          </w:p>
        </w:tc>
      </w:tr>
      <w:tr>
        <w:trPr>
          <w:trHeight w:val="20"/>
        </w:trPr>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Historical cost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948</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339,897</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295,814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141,850</w:t>
            </w: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18,872</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797,381</w:t>
            </w:r>
          </w:p>
        </w:tc>
      </w:tr>
      <w:tr>
        <w:trPr>
          <w:trHeight w:val="189"/>
        </w:trPr>
        <w:tc>
          <w:tcPr>
            <w:tcW w:w="3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(837)</w:t>
            </w:r>
          </w:p>
        </w:tc>
        <w:tc>
          <w:tcPr>
            <w:tcW w:w="2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(173,003)</w:t>
            </w:r>
          </w:p>
        </w:tc>
        <w:tc>
          <w:tcPr>
            <w:tcW w:w="2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(78,326)</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(74,094)</w:t>
            </w: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(18,639)</w:t>
            </w:r>
          </w:p>
        </w:tc>
        <w:tc>
          <w:tcPr>
            <w:tcW w:w="18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(344,899)</w:t>
            </w:r>
          </w:p>
        </w:tc>
      </w:tr>
      <w:tr>
        <w:trPr>
          <w:trHeight w:val="20"/>
        </w:trPr>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358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111</w:t>
            </w:r>
          </w:p>
        </w:tc>
        <w:tc>
          <w:tcPr>
            <w:tcW w:w="20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right w:val="single" w:sz="8" w:color="CFF0FC"/>
            </w:tcBorders>
            <w:gridSpan w:val="2"/>
            <w:shd w:val="clear" w:color="auto" w:fill="CFF0FC"/>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166,894</w:t>
            </w: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217,488</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right w:val="single" w:sz="8" w:color="CFF0FC"/>
            </w:tcBorders>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67,756</w:t>
            </w: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233</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FF0FC"/>
          </w:tcPr>
          <w:p>
            <w:pPr>
              <w:jc w:val="right"/>
              <w:ind w:right="140"/>
              <w:spacing w:after="0" w:line="156" w:lineRule="exact"/>
              <w:rPr>
                <w:sz w:val="20"/>
                <w:szCs w:val="20"/>
                <w:color w:val="auto"/>
              </w:rPr>
            </w:pPr>
            <w:r>
              <w:rPr>
                <w:rFonts w:ascii="Times New Roman" w:cs="Times New Roman" w:eastAsia="Times New Roman" w:hAnsi="Times New Roman"/>
                <w:sz w:val="15"/>
                <w:szCs w:val="15"/>
                <w:color w:val="auto"/>
              </w:rPr>
              <w:t>452,482</w:t>
            </w: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411"/>
        </w:trPr>
        <w:tc>
          <w:tcPr>
            <w:tcW w:w="10140" w:type="dxa"/>
            <w:vAlign w:val="bottom"/>
            <w:gridSpan w:val="17"/>
          </w:tcPr>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w w:val="98"/>
              </w:rPr>
              <w:t xml:space="preserve">Fleet Counts. </w:t>
            </w:r>
            <w:r>
              <w:rPr>
                <w:rFonts w:ascii="Times New Roman" w:cs="Times New Roman" w:eastAsia="Times New Roman" w:hAnsi="Times New Roman"/>
                <w:sz w:val="22"/>
                <w:szCs w:val="22"/>
                <w:color w:val="auto"/>
                <w:w w:val="98"/>
              </w:rPr>
              <w:t>The Company’s fleet count as of September 30, 2026 and December 31, 2025 was as follows: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-2750185</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-2750185</wp:posOffset>
            </wp:positionV>
            <wp:extent cx="857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-2750185</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-2750185</wp:posOffset>
            </wp:positionV>
            <wp:extent cx="85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-2750185</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-2750185</wp:posOffset>
            </wp:positionV>
            <wp:extent cx="857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-1695450</wp:posOffset>
            </wp:positionV>
            <wp:extent cx="857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-1695450</wp:posOffset>
            </wp:positionV>
            <wp:extent cx="857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-1695450</wp:posOffset>
            </wp:positionV>
            <wp:extent cx="857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-1695450</wp:posOffset>
            </wp:positionV>
            <wp:extent cx="857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-1695450</wp:posOffset>
            </wp:positionV>
            <wp:extent cx="8572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-1695450</wp:posOffset>
            </wp:positionV>
            <wp:extent cx="8572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-1275715</wp:posOffset>
            </wp:positionV>
            <wp:extent cx="857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-1052830</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-298450</wp:posOffset>
            </wp:positionV>
            <wp:extent cx="857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-281305</wp:posOffset>
            </wp:positionV>
            <wp:extent cx="857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-298450</wp:posOffset>
            </wp:positionV>
            <wp:extent cx="857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-281305</wp:posOffset>
            </wp:positionV>
            <wp:extent cx="857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-298450</wp:posOffset>
            </wp:positionV>
            <wp:extent cx="857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-281305</wp:posOffset>
            </wp:positionV>
            <wp:extent cx="857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-298450</wp:posOffset>
            </wp:positionV>
            <wp:extent cx="857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-281305</wp:posOffset>
            </wp:positionV>
            <wp:extent cx="857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-298450</wp:posOffset>
            </wp:positionV>
            <wp:extent cx="857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-281305</wp:posOffset>
            </wp:positionV>
            <wp:extent cx="857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-298450</wp:posOffset>
            </wp:positionV>
            <wp:extent cx="857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-281305</wp:posOffset>
            </wp:positionV>
            <wp:extent cx="857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Owned</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9"/>
        </w:trPr>
        <w:tc>
          <w:tcPr>
            <w:tcW w:w="1840" w:type="dxa"/>
            <w:vAlign w:val="bottom"/>
            <w:tcBorders>
              <w:bottom w:val="single" w:sz="8" w:color="auto"/>
            </w:tcBorders>
            <w:shd w:val="clear" w:color="auto" w:fill="CFF0FC"/>
          </w:tcPr>
          <w:p>
            <w:pPr>
              <w:spacing w:after="0"/>
              <w:rPr>
                <w:sz w:val="17"/>
                <w:szCs w:val="17"/>
                <w:color w:val="auto"/>
              </w:rPr>
            </w:pPr>
          </w:p>
        </w:tc>
        <w:tc>
          <w:tcPr>
            <w:tcW w:w="572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720" w:type="dxa"/>
            <w:vAlign w:val="bottom"/>
            <w:tcBorders>
              <w:bottom w:val="single" w:sz="8" w:color="CFF0FC"/>
            </w:tcBorders>
            <w:gridSpan w:val="2"/>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FSV</w:t>
            </w:r>
          </w:p>
        </w:tc>
        <w:tc>
          <w:tcPr>
            <w:tcW w:w="7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r>
      <w:tr>
        <w:trPr>
          <w:trHeight w:val="203"/>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PSV</w:t>
            </w:r>
          </w:p>
        </w:tc>
        <w:tc>
          <w:tcPr>
            <w:tcW w:w="7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7"/>
                <w:szCs w:val="17"/>
                <w:color w:val="auto"/>
              </w:rPr>
            </w:pP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Liftboats</w:t>
            </w:r>
          </w:p>
        </w:tc>
        <w:tc>
          <w:tcPr>
            <w:tcW w:w="5840" w:type="dxa"/>
            <w:vAlign w:val="bottom"/>
            <w:gridSpan w:val="2"/>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r>
      <w:tr>
        <w:trPr>
          <w:trHeight w:val="236"/>
        </w:trPr>
        <w:tc>
          <w:tcPr>
            <w:tcW w:w="1840" w:type="dxa"/>
            <w:vAlign w:val="bottom"/>
            <w:tcBorders>
              <w:bottom w:val="single" w:sz="8" w:color="CFF0FC"/>
            </w:tcBorders>
            <w:shd w:val="clear" w:color="auto" w:fill="CFF0FC"/>
          </w:tcPr>
          <w:p>
            <w:pPr>
              <w:spacing w:after="0"/>
              <w:rPr>
                <w:sz w:val="20"/>
                <w:szCs w:val="20"/>
                <w:color w:val="auto"/>
              </w:rPr>
            </w:pPr>
          </w:p>
        </w:tc>
        <w:tc>
          <w:tcPr>
            <w:tcW w:w="5840" w:type="dxa"/>
            <w:vAlign w:val="bottom"/>
            <w:tcBorders>
              <w:bottom w:val="single" w:sz="8" w:color="CFF0FC"/>
            </w:tcBorders>
            <w:gridSpan w:val="2"/>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-556895</wp:posOffset>
            </wp:positionV>
            <wp:extent cx="7747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86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FSV</w:t>
            </w:r>
          </w:p>
        </w:tc>
        <w:tc>
          <w:tcPr>
            <w:tcW w:w="7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FF0FC"/>
          </w:tcPr>
          <w:p>
            <w:pPr>
              <w:spacing w:after="0"/>
              <w:rPr>
                <w:sz w:val="17"/>
                <w:szCs w:val="17"/>
                <w:color w:val="auto"/>
              </w:rPr>
            </w:pP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PSV</w:t>
            </w:r>
          </w:p>
        </w:tc>
        <w:tc>
          <w:tcPr>
            <w:tcW w:w="7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r>
      <w:tr>
        <w:trPr>
          <w:trHeight w:val="203"/>
        </w:trPr>
        <w:tc>
          <w:tcPr>
            <w:tcW w:w="1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Liftboats</w:t>
            </w:r>
          </w:p>
        </w:tc>
        <w:tc>
          <w:tcPr>
            <w:tcW w:w="5820" w:type="dxa"/>
            <w:vAlign w:val="bottom"/>
            <w:tcBorders>
              <w:bottom w:val="single" w:sz="8" w:color="CFF0FC"/>
            </w:tcBorders>
            <w:gridSpan w:val="2"/>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1860" w:type="dxa"/>
            <w:vAlign w:val="bottom"/>
          </w:tcPr>
          <w:p>
            <w:pPr>
              <w:spacing w:after="0"/>
              <w:rPr>
                <w:sz w:val="17"/>
                <w:szCs w:val="17"/>
                <w:color w:val="auto"/>
              </w:rPr>
            </w:pPr>
          </w:p>
        </w:tc>
        <w:tc>
          <w:tcPr>
            <w:tcW w:w="7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r>
      <w:tr>
        <w:trPr>
          <w:trHeight w:val="20"/>
        </w:trPr>
        <w:tc>
          <w:tcPr>
            <w:tcW w:w="18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Operating Income (Loss)</w:t>
      </w:r>
    </w:p>
    <w:p>
      <w:pPr>
        <w:spacing w:after="0" w:line="164"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Americas. </w:t>
      </w:r>
      <w:r>
        <w:rPr>
          <w:rFonts w:ascii="Times New Roman" w:cs="Times New Roman" w:eastAsia="Times New Roman" w:hAnsi="Times New Roman"/>
          <w:sz w:val="22"/>
          <w:szCs w:val="22"/>
          <w:color w:val="auto"/>
        </w:rPr>
        <w:t>For the three and nine months ended September 30, 2026 and 2025 the Company’s time charter statistics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 vessel profit in the Americas were as follows (in thousands, except statistics):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3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Rates Per Day Worked: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16,474</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15,929</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14,743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40,264</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36,652</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Liftboats</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26,855</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31,164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20,086</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31,003</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26,999</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Utilization:</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Liftboats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r>
      <w:tr>
        <w:trPr>
          <w:trHeight w:val="203"/>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r>
      <w:tr>
        <w:trPr>
          <w:trHeight w:val="203"/>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Available Days: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Liftboats</w:t>
            </w: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3"/>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Time charter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57,156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Bareboat charter</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marine services</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3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19,613</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23,179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48,271</w:t>
            </w: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63,661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6"/>
        </w:trPr>
        <w:tc>
          <w:tcPr>
            <w:tcW w:w="3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03"/>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Personnel</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8,195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16,786</w:t>
            </w: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25,565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Repairs and maintenance</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Drydocking</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(55)</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36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Fuel, lubes and supplies</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r>
      <w:tr>
        <w:trPr>
          <w:trHeight w:val="203"/>
        </w:trPr>
        <w:tc>
          <w:tcPr>
            <w:tcW w:w="3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3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11,891</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36,670</w:t>
            </w:r>
          </w:p>
        </w:tc>
        <w:tc>
          <w:tcPr>
            <w:tcW w:w="220" w:type="dxa"/>
            <w:vAlign w:val="bottom"/>
            <w:shd w:val="clear" w:color="auto" w:fill="CFF0FC"/>
          </w:tcPr>
          <w:p>
            <w:pPr>
              <w:spacing w:after="0"/>
              <w:rPr>
                <w:sz w:val="17"/>
                <w:szCs w:val="17"/>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76%</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50,809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r>
      <w:tr>
        <w:trPr>
          <w:trHeight w:val="20"/>
        </w:trPr>
        <w:tc>
          <w:tcPr>
            <w:tcW w:w="3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3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-2022475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-2022475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-2022475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-2022475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-1207770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-1207770</wp:posOffset>
            </wp:positionV>
            <wp:extent cx="12890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-1207770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-1207770</wp:posOffset>
            </wp:positionV>
            <wp:extent cx="946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-1207770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-1207770</wp:posOffset>
            </wp:positionV>
            <wp:extent cx="946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-1207770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-1207770</wp:posOffset>
            </wp:positionV>
            <wp:extent cx="939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-162560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-162560</wp:posOffset>
            </wp:positionV>
            <wp:extent cx="12890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-162560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-162560</wp:posOffset>
            </wp:positionV>
            <wp:extent cx="9461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-162560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-162560</wp:posOffset>
            </wp:positionV>
            <wp:extent cx="9461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-162560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-162560</wp:posOffset>
            </wp:positionV>
            <wp:extent cx="939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Operating Revenues</w:t>
      </w:r>
      <w:r>
        <w:rPr>
          <w:rFonts w:ascii="Times New Roman" w:cs="Times New Roman" w:eastAsia="Times New Roman" w:hAnsi="Times New Roman"/>
          <w:sz w:val="22"/>
          <w:szCs w:val="22"/>
          <w:color w:val="auto"/>
        </w:rPr>
        <w:t>. Charter revenues were $3.0 million lower in the Current Year Quarter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Quarter. Charter revenues were $9.4 million lower due to the disposition of six vessels subsequent to the Prior Year Quarter. Charter revenues were $5.3 million higher due to the repositioning of two vessels with higher than average day rates into the region partially offset by four vessels repositioned out of the region subsequent to the Prior Year Quarter. Charter revenues were $1.1 million higher for the vessels included in the results of this region in both comparative periods (as applicable to each region, the “Regional Core Fleet”), which consists of seven vessels, due to higher utilization of 67% in the Current Year Quarter compared to 66% in the Prior Year Quarter and higher average day rates of $23,591 in the Current Year Quarter compared to $21,551 in the Prior Year Quarter. Other marine services were $0.6 million lower primarily due to lower catering revenues. As of September 30, 2026, the Company had no vessels cold-stacked in this region compared with one of eight owned vessels (one FSV) as of September 30, 2025.</w:t>
      </w:r>
    </w:p>
    <w:p>
      <w:pPr>
        <w:spacing w:after="0" w:line="13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Direct Operating Expenses</w:t>
      </w:r>
      <w:r>
        <w:rPr>
          <w:rFonts w:ascii="Times New Roman" w:cs="Times New Roman" w:eastAsia="Times New Roman" w:hAnsi="Times New Roman"/>
          <w:sz w:val="22"/>
          <w:szCs w:val="22"/>
          <w:color w:val="auto"/>
        </w:rPr>
        <w:t>. Direct operating expenses were $3.9 million lower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Direct operating expenses were $7.9 million lower due to net asset dispositions, $2.8 million higher due to the repositioning of vessels between geographic regions and $1.2 million higher for the Regional Core Fleet primarily due to the timing of drydocking and repair expenditures.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Nine Months compared with Prior Year Nine Months</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Operating Revenues</w:t>
      </w:r>
      <w:r>
        <w:rPr>
          <w:rFonts w:ascii="Times New Roman" w:cs="Times New Roman" w:eastAsia="Times New Roman" w:hAnsi="Times New Roman"/>
          <w:sz w:val="22"/>
          <w:szCs w:val="22"/>
          <w:color w:val="auto"/>
        </w:rPr>
        <w:t>. Charter revenues were $13.7 million lower in the Current Year Nine Months compared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Year Nine Months. Charter revenues were $24.8 million lower due to the disposition of five vessels subsequent to the Prior Year Nine Months and were $10.7 million higher due to the repositioning of three vessels with higher than average day rates into the region subsequent to the Prior Nine Months partially offset by four vessels repositioned out of the region subsequent to the Prior Year Nine Months. Charter revenues were $0.4 million higher for the Regional Core Fleet, which consists of seven vessels, due to higher utilization of 60% in the Current Year Nine Months compared to 58% in the Prior Year Nine Months offset by lower average day rates of $22,022 in the Current Year Nine Months compared to $22,725 in the Prior Year Nine Months. Other marine services were $1.7 million lower primarily due to lower catering revenues.</w:t>
      </w:r>
    </w:p>
    <w:p>
      <w:pPr>
        <w:spacing w:after="0" w:line="13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Direct Operating Expenses</w:t>
      </w:r>
      <w:r>
        <w:rPr>
          <w:rFonts w:ascii="Times New Roman" w:cs="Times New Roman" w:eastAsia="Times New Roman" w:hAnsi="Times New Roman"/>
          <w:sz w:val="22"/>
          <w:szCs w:val="22"/>
          <w:color w:val="auto"/>
        </w:rPr>
        <w:t>. Direct operating expenses were $14.1 million lower in the Current Year Nine Months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compared with the Prior Year Nine Months. Direct operating expenses were $26.4 million lower due to net asset dispositions, $11.5 million higher due to the repositioning of vessels between geographic regions and $0.8 million higher for the Regional Core Fleet primarily due to the timing of drydocking and repair expenditures.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7" w:name="page38"/>
    <w:bookmarkEnd w:id="37"/>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Africa and Europe. </w:t>
      </w:r>
      <w:r>
        <w:rPr>
          <w:rFonts w:ascii="Times New Roman" w:cs="Times New Roman" w:eastAsia="Times New Roman" w:hAnsi="Times New Roman"/>
          <w:sz w:val="22"/>
          <w:szCs w:val="22"/>
          <w:color w:val="auto"/>
        </w:rPr>
        <w:t>For the three and nine months ended September 30, 2026 and 2025 the Company’s time charter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statistics and direct vessel profit in Africa and Europe were as follows (in thousands, except statistics):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3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Rates Per Day Worked: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15,933</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15,610</w:t>
            </w: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15,587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22,559</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23,388</w:t>
            </w: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18,854</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18,818</w:t>
            </w: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Utilization:</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r>
      <w:tr>
        <w:trPr>
          <w:trHeight w:val="203"/>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203"/>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Available Days: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34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2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r>
      <w:tr>
        <w:trPr>
          <w:trHeight w:val="236"/>
        </w:trPr>
        <w:tc>
          <w:tcPr>
            <w:tcW w:w="3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2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2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r>
      <w:tr>
        <w:trPr>
          <w:trHeight w:val="18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3"/>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Time charter</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26,295</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94%</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22,357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67,727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w:t>
            </w:r>
          </w:p>
        </w:tc>
      </w:tr>
      <w:tr>
        <w:trPr>
          <w:trHeight w:val="203"/>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marine services</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3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27,853</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23,090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77,253</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70,118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6"/>
        </w:trPr>
        <w:tc>
          <w:tcPr>
            <w:tcW w:w="3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r>
      <w:tr>
        <w:trPr>
          <w:trHeight w:val="203"/>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Personnel</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5,439</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15,944</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Repairs and maintenance</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r>
      <w:tr>
        <w:trPr>
          <w:trHeight w:val="202"/>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Drydocking</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Fuel, lubes and supplies</w:t>
            </w: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3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9,488</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3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14,292</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45,087</w:t>
            </w: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49,508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r>
      <w:tr>
        <w:trPr>
          <w:trHeight w:val="20"/>
        </w:trPr>
        <w:tc>
          <w:tcPr>
            <w:tcW w:w="34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Direct Vessel Profit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13,561</w:t>
            </w: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32,166</w:t>
            </w:r>
          </w:p>
        </w:tc>
        <w:tc>
          <w:tcPr>
            <w:tcW w:w="2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-1756410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-1739265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-1893570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-1756410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-1739265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-1893570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-1756410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-1739265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-1893570</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-1756410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-1739265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-1893570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-1207770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-1207770</wp:posOffset>
            </wp:positionV>
            <wp:extent cx="9461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-1207770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-1207770</wp:posOffset>
            </wp:positionV>
            <wp:extent cx="9461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-1207770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-1207770</wp:posOffset>
            </wp:positionV>
            <wp:extent cx="9461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-1207770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-1207770</wp:posOffset>
            </wp:positionV>
            <wp:extent cx="939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-161925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-161925</wp:posOffset>
            </wp:positionV>
            <wp:extent cx="9461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-161925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-161925</wp:posOffset>
            </wp:positionV>
            <wp:extent cx="9461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-161925</wp:posOffset>
            </wp:positionV>
            <wp:extent cx="9461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-161925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-161925</wp:posOffset>
            </wp:positionV>
            <wp:extent cx="939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6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$3.9 million higher in the Current Year Quarter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Quarter. Charter revenues were $5.5 million higher for the Regional Core Fleet, which consists of 15 vessels, primarily due to higher average day rates of $19,283 in the Current Year Quarter compared to $17,310 in the Prior Year Quarter and higher utilization of 88% in the Current Year Quarter compared to 75% in the Prior Year Quarter. Charter revenues were $1.1 million lower due to the disposition of one vessel subsequent to the Prior Year Quarter and $0.5 million lower due to the repositioning of four vessels into the region with lower relative utilization offset by two vessels repositioning out of the region subsequent to the Prior Year Quarter. Other marine services were $0.8 million higher primarily due to higher catering revenues. As of September 30, 2026 and 2025, the Company had no vessels cold-stacked in this region.</w:t>
      </w:r>
    </w:p>
    <w:p>
      <w:pPr>
        <w:spacing w:after="0" w:line="15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$3.8 million lower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Direct operating expenses were $1.9 million lower for the Regional Core Fleet primarily due to the timing of drydocking and repair expenditures, $1.2 million lower due to net asset dispositions and $0.7 million lower due to the repositioning of vessels between geographic regions.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Nine Months compared with Prior Year Nine Months</w:t>
      </w:r>
    </w:p>
    <w:p>
      <w:pPr>
        <w:spacing w:after="0" w:line="179"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i w:val="1"/>
          <w:iCs w:val="1"/>
          <w:color w:val="auto"/>
        </w:rPr>
        <w:t xml:space="preserve">Operating Revenues. </w:t>
      </w:r>
      <w:r>
        <w:rPr>
          <w:rFonts w:ascii="Times New Roman" w:cs="Times New Roman" w:eastAsia="Times New Roman" w:hAnsi="Times New Roman"/>
          <w:sz w:val="21"/>
          <w:szCs w:val="21"/>
          <w:color w:val="auto"/>
        </w:rPr>
        <w:t>Charter revenues were $6.4 million higher in the Current Year Nine Months compared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Prior Year Nine Months. Charter revenues were $13.2 million higher for the Regional Core Fleet, which consists of 15 vessels, primarily due to higher average day rates of $19,196 in the Current Year Nine Months compared to $17,826 in the Prior Year Nine Months and higher utilization of 88% in the Current Year Nine Months compared to 77% in the Prior Year Nine Months. Charter revenues were $4.5 million lower due to the repositioning of three vessels into the region with lower relative utilization offset by two vessels repositioning out of the region and $2.3 million lower due to net asset dispositions, in each case, subsequent to the Prior Year Nine Months. Other marine services were $0.8 million higher primarily due to higher catering revenues.</w:t>
      </w:r>
    </w:p>
    <w:p>
      <w:pPr>
        <w:spacing w:after="0" w:line="13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$4.4 million lower in the Current Year Nine Months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compared with the Prior Year Nine Months. Direct operating expenses were $4.5 million lower for the Regional Core Fleet primarily due to the timing of drydocking and repair expenditures, $1.7 million lower due to net asset dispositions and $1.8 million higher due to the repositioning of vessels between geographic regions.</w:t>
      </w:r>
    </w:p>
    <w:p>
      <w:pPr>
        <w:spacing w:after="0" w:line="129"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Middle East and Asia. </w:t>
      </w:r>
      <w:r>
        <w:rPr>
          <w:rFonts w:ascii="Times New Roman" w:cs="Times New Roman" w:eastAsia="Times New Roman" w:hAnsi="Times New Roman"/>
          <w:sz w:val="22"/>
          <w:szCs w:val="22"/>
          <w:color w:val="auto"/>
        </w:rPr>
        <w:t>For the three and nine months ended September 30, 2026 and 2025 the Company’s time charter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statistics and direct vessel (loss) profit in the Middle East and Asia were as follows (in thousands, except statistics):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Charter Statistics:</w:t>
            </w: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03"/>
        </w:trPr>
        <w:tc>
          <w:tcPr>
            <w:tcW w:w="2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Rates Per Day Worked:</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10,086</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10,757</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9,394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25,717</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Liftboats</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40,800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40,374</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15,804</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Utilization:</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r>
      <w:tr>
        <w:trPr>
          <w:trHeight w:val="203"/>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r>
      <w:tr>
        <w:trPr>
          <w:trHeight w:val="203"/>
        </w:trPr>
        <w:tc>
          <w:tcPr>
            <w:tcW w:w="2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Liftboats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54%</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2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Available Days: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2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FSV</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PSV</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Liftboats</w:t>
            </w:r>
          </w:p>
        </w:tc>
        <w:tc>
          <w:tcPr>
            <w:tcW w:w="9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2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Overall</w:t>
            </w:r>
          </w:p>
        </w:tc>
        <w:tc>
          <w:tcPr>
            <w:tcW w:w="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revenues:</w:t>
            </w: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203"/>
        </w:trPr>
        <w:tc>
          <w:tcPr>
            <w:tcW w:w="2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Time charter</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26,350</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r>
      <w:tr>
        <w:trPr>
          <w:trHeight w:val="203"/>
        </w:trPr>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marine services</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4,289</w:t>
            </w: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27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30,639</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19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operating expenses:</w:t>
            </w:r>
          </w:p>
        </w:tc>
        <w:tc>
          <w:tcPr>
            <w:tcW w:w="9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Personnel</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13,304</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r>
      <w:tr>
        <w:trPr>
          <w:trHeight w:val="202"/>
        </w:trPr>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Repairs and maintenance</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13,830</w:t>
            </w: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14,641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35%</w:t>
            </w:r>
          </w:p>
        </w:tc>
      </w:tr>
      <w:tr>
        <w:trPr>
          <w:trHeight w:val="203"/>
        </w:trPr>
        <w:tc>
          <w:tcPr>
            <w:tcW w:w="2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Drydocking</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Insurance and loss reserves</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2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Fuel, lubes and supplies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2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2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200" w:type="dxa"/>
            <w:vAlign w:val="bottom"/>
            <w:shd w:val="clear" w:color="auto" w:fill="CFF0FC"/>
          </w:tcPr>
          <w:p>
            <w:pPr>
              <w:spacing w:after="0"/>
              <w:rPr>
                <w:sz w:val="17"/>
                <w:szCs w:val="17"/>
                <w:color w:val="auto"/>
              </w:rPr>
            </w:pPr>
          </w:p>
        </w:tc>
        <w:tc>
          <w:tcPr>
            <w:tcW w:w="8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27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96"/>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12,134</w:t>
            </w:r>
          </w:p>
        </w:tc>
        <w:tc>
          <w:tcPr>
            <w:tcW w:w="2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124%</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40,817</w:t>
            </w:r>
          </w:p>
        </w:tc>
        <w:tc>
          <w:tcPr>
            <w:tcW w:w="2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133%</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38,788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r>
      <w:tr>
        <w:trPr>
          <w:trHeight w:val="20"/>
        </w:trPr>
        <w:tc>
          <w:tcPr>
            <w:tcW w:w="2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Direct Vessel (Loss) Profit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(2,349)</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(847)</w:t>
            </w:r>
          </w:p>
        </w:tc>
        <w:tc>
          <w:tcPr>
            <w:tcW w:w="22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(10,178)</w:t>
            </w:r>
          </w:p>
        </w:tc>
        <w:tc>
          <w:tcPr>
            <w:tcW w:w="8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27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-1893570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-1893570</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-1893570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-1893570</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-1344930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-1344930</wp:posOffset>
            </wp:positionV>
            <wp:extent cx="12890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-1344930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-1344930</wp:posOffset>
            </wp:positionV>
            <wp:extent cx="12890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-1344930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-1344930</wp:posOffset>
            </wp:positionV>
            <wp:extent cx="12890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-1344930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-1344930</wp:posOffset>
            </wp:positionV>
            <wp:extent cx="939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-299720</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-299720</wp:posOffset>
            </wp:positionV>
            <wp:extent cx="12890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-299720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-299720</wp:posOffset>
            </wp:positionV>
            <wp:extent cx="12890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-299720</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-299720</wp:posOffset>
            </wp:positionV>
            <wp:extent cx="12890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-299720</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-299720</wp:posOffset>
            </wp:positionV>
            <wp:extent cx="939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-24765</wp:posOffset>
            </wp:positionV>
            <wp:extent cx="12890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12890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12890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12890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12890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12890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-24765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-7620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Quarter compared with Prior Year Quarter</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$4.8 million lower in the Current Year Quarter compared with the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Year Quarter. Charter revenues were $2.5 million lower for the Regional Core Fleet, which consists of ten vessels, due to lower utilization of 54% in the Current Year Quarter compared to 63% in the Prior Year Quarter and lower average day rates of $15,804 in the Current Year Quarter compared to $17,958 in the Prior Year Quarter. Charter revenues were $2.3 million lower due to the disposition of two vessels subsequent to the Prior Year Quarter. Other marine services were $1.6 million higher primarily due to an early termination fee of a vessel’s contract in Qatar, higher catering revenues and recharges of certain insurance and labor costs associated with the current Iran conflict. As of September 30, 2026 and 2025, the Company had no vessels cold-stacked in this region.</w:t>
      </w:r>
    </w:p>
    <w:p>
      <w:pPr>
        <w:spacing w:after="0" w:line="13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$1.6 million lower in the Current Year Quarter compared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Prior Year Quarter. Direct operating expenses were $1.8 million lower due to net asset dispositions and $0.2 million higher for the Regional Core Fleet primarily due to the timing of certain drydocking and repair expenditures.</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Current Year Nine Months compared with Prior Year Nine Months</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Operating Revenues. </w:t>
      </w:r>
      <w:r>
        <w:rPr>
          <w:rFonts w:ascii="Times New Roman" w:cs="Times New Roman" w:eastAsia="Times New Roman" w:hAnsi="Times New Roman"/>
          <w:sz w:val="22"/>
          <w:szCs w:val="22"/>
          <w:color w:val="auto"/>
        </w:rPr>
        <w:t>Charter revenues were $14.3 million lower in the Current Year Nine Months compared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Prior Year Nine Months. Charter revenues were $7.6 million lower for the Regional Core Fleet, which consists of ten vessels, due to lower utilization of 62% in the Current Year Nine Months compared to 70% in the Prior Year Nine Months and lower average day rates of $15,517 in the Current Year Nine Months compared to $18,504 in the Prior Year Nine Months. Charter revenues were $6.7 million lower due to the disposition of two vessels subsequent to the Prior Year Nine Months. Other marine services were $3.2 million higher primarily due to the recharges of certain insurance and labor costs associated with the current Iran conflict, an early termination fee of a vessel’s contract in Qatar and higher catering revenues.</w:t>
      </w:r>
    </w:p>
    <w:p>
      <w:pPr>
        <w:spacing w:after="0" w:line="13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Direct Operating Expenses. </w:t>
      </w:r>
      <w:r>
        <w:rPr>
          <w:rFonts w:ascii="Times New Roman" w:cs="Times New Roman" w:eastAsia="Times New Roman" w:hAnsi="Times New Roman"/>
          <w:sz w:val="22"/>
          <w:szCs w:val="22"/>
          <w:color w:val="auto"/>
        </w:rPr>
        <w:t>Direct operating expenses were $2.0 million higher in the Current Year Nine Months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compared with the Prior Year Nine Months. Direct operating expenses were $6.5 million higher for the Regional Core Fleet primarily due to the timing of certain drydocking and repair expenditures, which includes $1.6 million of insurance reimbursements related to expenses in prior periods, and $4.5 million lower due to net asset dispositions.</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u w:val="single" w:color="auto"/>
          <w:color w:val="auto"/>
        </w:rPr>
        <w:t>Other Operating Expenses</w:t>
      </w:r>
    </w:p>
    <w:p>
      <w:pPr>
        <w:spacing w:after="0" w:line="177" w:lineRule="exact"/>
        <w:rPr>
          <w:sz w:val="20"/>
          <w:szCs w:val="20"/>
          <w:color w:val="auto"/>
        </w:rPr>
      </w:pPr>
    </w:p>
    <w:p>
      <w:pPr>
        <w:jc w:val="both"/>
        <w:ind w:right="20"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Lease expense. </w:t>
      </w:r>
      <w:r>
        <w:rPr>
          <w:rFonts w:ascii="Times New Roman" w:cs="Times New Roman" w:eastAsia="Times New Roman" w:hAnsi="Times New Roman"/>
          <w:sz w:val="22"/>
          <w:szCs w:val="22"/>
          <w:color w:val="auto"/>
        </w:rPr>
        <w:t>Leased-in equipment expense for the Current Year Quarter and Current Year Nine Months was nearly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flat compared to the Prior Year Quarter and Prior Year Nine Months.</w:t>
      </w:r>
    </w:p>
    <w:p>
      <w:pPr>
        <w:spacing w:after="0" w:line="10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Administrative and general. </w:t>
      </w:r>
      <w:r>
        <w:rPr>
          <w:rFonts w:ascii="Times New Roman" w:cs="Times New Roman" w:eastAsia="Times New Roman" w:hAnsi="Times New Roman"/>
          <w:sz w:val="21"/>
          <w:szCs w:val="21"/>
          <w:color w:val="auto"/>
        </w:rPr>
        <w:t>Administrative and general expenses for the Current Year Quarter were $1.2 million lower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compared to the Prior Year Quarter primarily due to decreases in wages and benefits expenses and decreases in professional fees. Administrative and general expenses for the Current Year Nine Months were $2.4 million lower compared to the Prior Year Nine Months primarily due to decreases in wages and benefits expenses partially offset by increases in professional fees.</w:t>
      </w:r>
    </w:p>
    <w:p>
      <w:pPr>
        <w:spacing w:after="0" w:line="11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Depreciation and amortization. </w:t>
      </w:r>
      <w:r>
        <w:rPr>
          <w:rFonts w:ascii="Times New Roman" w:cs="Times New Roman" w:eastAsia="Times New Roman" w:hAnsi="Times New Roman"/>
          <w:sz w:val="22"/>
          <w:szCs w:val="22"/>
          <w:color w:val="auto"/>
        </w:rPr>
        <w:t>Depreciation and amortization expense for the Current Year Quarter and Current Year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Nine Months were $2.2 million lower and $6.0 million lower compared to the Prior Year Quarter and Prior Year Nine Months due to net fleet changes.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0" w:name="page41"/>
    <w:bookmarkEnd w:id="40"/>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Gains (Losses) on Asset Dispositions and Impairments, Net. </w:t>
      </w:r>
      <w:r>
        <w:rPr>
          <w:rFonts w:ascii="Times New Roman" w:cs="Times New Roman" w:eastAsia="Times New Roman" w:hAnsi="Times New Roman"/>
          <w:sz w:val="22"/>
          <w:szCs w:val="22"/>
          <w:color w:val="auto"/>
        </w:rPr>
        <w:t>During the Current Year Quarter, the Company sold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222222"/>
        </w:rPr>
        <w:t>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222222"/>
        </w:rPr>
        <w:t xml:space="preserve">equipment </w:t>
      </w:r>
      <w:r>
        <w:rPr>
          <w:rFonts w:ascii="Times New Roman" w:cs="Times New Roman" w:eastAsia="Times New Roman" w:hAnsi="Times New Roman"/>
          <w:sz w:val="22"/>
          <w:szCs w:val="22"/>
          <w:color w:val="000000"/>
        </w:rPr>
        <w:t>for net cash proceeds of $0.2 million, after transaction costs, for a de minimis loss. During the Prior Year Quarter, the</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 xml:space="preserve">Company sold two liftboats and </w:t>
      </w:r>
      <w:r>
        <w:rPr>
          <w:rFonts w:ascii="Times New Roman" w:cs="Times New Roman" w:eastAsia="Times New Roman" w:hAnsi="Times New Roman"/>
          <w:sz w:val="22"/>
          <w:szCs w:val="22"/>
          <w:color w:val="222222"/>
        </w:rPr>
        <w:t>other equipment, each not previously classified as held for sale,</w:t>
      </w:r>
      <w:r>
        <w:rPr>
          <w:rFonts w:ascii="Times New Roman" w:cs="Times New Roman" w:eastAsia="Times New Roman" w:hAnsi="Times New Roman"/>
          <w:sz w:val="22"/>
          <w:szCs w:val="22"/>
          <w:color w:val="000000"/>
        </w:rPr>
        <w:t xml:space="preserve"> for net cash proceeds of $76.1 million, after transaction costs, for a gain of $30.2 million.</w:t>
      </w:r>
    </w:p>
    <w:p>
      <w:pPr>
        <w:spacing w:after="0" w:line="15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During the Current Year Nine Months, the Company sold three PSVs, two liftboats and one FSV, previously classified as held for sale, and other equipment for net cash proceeds of $57.7 million, after transaction costs, and a gain of $38.8 million. During the Prior Year Nine Months, the Company sold one FSV and two PSVs, each previously classified as held for sale, as well as three liftboats and other equipment, each not previously classified as held for sale, for net cash proceeds of $116.1 million, after transaction costs, and a gain of $55.2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 (Expense), Net</w:t>
      </w:r>
    </w:p>
    <w:p>
      <w:pPr>
        <w:spacing w:after="0" w:line="17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For the three and nine months ended September 30, 2026 and 2025, the Company’s other income (expense) was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74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60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58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6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60" w:type="dxa"/>
            <w:vAlign w:val="bottom"/>
          </w:tcPr>
          <w:p>
            <w:pPr>
              <w:spacing w:after="0"/>
              <w:rPr>
                <w:sz w:val="17"/>
                <w:szCs w:val="17"/>
                <w:color w:val="auto"/>
              </w:rPr>
            </w:pP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(7,581)</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(8,947)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(24,064)</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(27,377)</w:t>
            </w: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gains, net</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7"/>
                <w:szCs w:val="17"/>
                <w:color w:val="auto"/>
              </w:rPr>
            </w:pP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currency gains (losses), net</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(302)</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(3,097)</w:t>
            </w: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on insurance claim settlement</w:t>
            </w:r>
          </w:p>
        </w:tc>
        <w:tc>
          <w:tcPr>
            <w:tcW w:w="2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00" w:type="dxa"/>
            <w:vAlign w:val="bottom"/>
          </w:tcPr>
          <w:p>
            <w:pPr>
              <w:spacing w:after="0"/>
              <w:rPr>
                <w:sz w:val="17"/>
                <w:szCs w:val="17"/>
                <w:color w:val="auto"/>
              </w:rPr>
            </w:pPr>
          </w:p>
        </w:tc>
      </w:tr>
      <w:tr>
        <w:trPr>
          <w:trHeight w:val="202"/>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r>
      <w:tr>
        <w:trPr>
          <w:trHeight w:val="20"/>
        </w:trPr>
        <w:tc>
          <w:tcPr>
            <w:tcW w:w="5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(6,941)</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(4,055)</w:t>
            </w: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(22,989)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(24,780)</w:t>
            </w: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-162560</wp:posOffset>
            </wp:positionV>
            <wp:extent cx="768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-162560</wp:posOffset>
            </wp:positionV>
            <wp:extent cx="7683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-162560</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2"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Interest income. </w:t>
      </w:r>
      <w:r>
        <w:rPr>
          <w:rFonts w:ascii="Times New Roman" w:cs="Times New Roman" w:eastAsia="Times New Roman" w:hAnsi="Times New Roman"/>
          <w:sz w:val="22"/>
          <w:szCs w:val="22"/>
          <w:color w:val="auto"/>
        </w:rPr>
        <w:t>Interest income for the Current Year Quarter and Current Year Nine Months compared with the Prior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Year Quarter and Prior Year Nine Months was nearly flat</w:t>
      </w:r>
      <w:r>
        <w:rPr>
          <w:rFonts w:ascii="Times New Roman" w:cs="Times New Roman" w:eastAsia="Times New Roman" w:hAnsi="Times New Roman"/>
          <w:sz w:val="22"/>
          <w:szCs w:val="22"/>
          <w:color w:val="222222"/>
        </w:rPr>
        <w:t>.</w:t>
      </w:r>
    </w:p>
    <w:p>
      <w:pPr>
        <w:spacing w:after="0" w:line="10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Interest expense. </w:t>
      </w:r>
      <w:r>
        <w:rPr>
          <w:rFonts w:ascii="Times New Roman" w:cs="Times New Roman" w:eastAsia="Times New Roman" w:hAnsi="Times New Roman"/>
          <w:sz w:val="22"/>
          <w:szCs w:val="22"/>
          <w:color w:val="auto"/>
        </w:rPr>
        <w:t>Interest expense was lower in the Current Year Quarter and Current Year Nine Months compared with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Prior Year Quarter and Prior Year Nine Months primarily due to lower outstanding debt obligations on the 2024 SMFH Credit Facility (which bears interest at a fixed rate of 10.30% per annum).</w:t>
      </w:r>
    </w:p>
    <w:p>
      <w:pPr>
        <w:spacing w:after="0" w:line="13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Derivative gains (losses), net. </w:t>
      </w:r>
      <w:r>
        <w:rPr>
          <w:rFonts w:ascii="Times New Roman" w:cs="Times New Roman" w:eastAsia="Times New Roman" w:hAnsi="Times New Roman"/>
          <w:sz w:val="22"/>
          <w:szCs w:val="22"/>
          <w:color w:val="auto"/>
        </w:rPr>
        <w:t>Net derivative gains for the Current Year Quarter and Current Year Nine Months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compared with the Prior Year Quarter and Prior Year Nine Months decreased due to the Company no longer having an open forward currency exchange contract.</w:t>
      </w:r>
    </w:p>
    <w:p>
      <w:pPr>
        <w:spacing w:after="0" w:line="12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 xml:space="preserve">Foreign currency gains (losses), net. </w:t>
      </w:r>
      <w:r>
        <w:rPr>
          <w:rFonts w:ascii="Times New Roman" w:cs="Times New Roman" w:eastAsia="Times New Roman" w:hAnsi="Times New Roman"/>
          <w:sz w:val="22"/>
          <w:szCs w:val="22"/>
          <w:color w:val="auto"/>
        </w:rPr>
        <w:t>Net foreign currency gains for the Current Year Quarter compared with the Prior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Year Quarter were flat. Net foreign currency losses for the Current Year Nine Months compared with the Prior Year Nine Months decreased primarily due to the strengthening of the U.S. dollar in relation to the pound sterling.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 Expense</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During the nine months ended September 30, 2026, the Company’s effective income tax rate of 48.9% was primarily due to foreign taxes paid that are not creditable against U.S. income taxes and foreign losses for which there is no benefit in the U.S. for income tax purposes.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Equity in Earnings of 50% or Less Owned Companies</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Equity in earnings of 50% or less owned companies for the Current Year Quarter compared with the Prior Year Quarter were $0.4 million lower and earnings for the Current Year Nine Months compared with the Prior Year Nine Months were $1.4 million lower due to the following changes in equity earnings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3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SEACOR Marine Arabia</w:t>
            </w:r>
          </w:p>
        </w:tc>
        <w:tc>
          <w:tcPr>
            <w:tcW w:w="28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FF0FC"/>
          </w:tcPr>
          <w:p>
            <w:pPr>
              <w:spacing w:after="0"/>
              <w:rPr>
                <w:sz w:val="17"/>
                <w:szCs w:val="17"/>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2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(611)</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2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Company’s ongoing liquidity requirements arise primarily from working capital needs, capital commitments and its obligations to service outstanding debt and comply with covenants under its 2024 SMFH Credit Facility. The Company may use its liquidity to fund capital expenditures, make acquisitions or to make other investments. Sources of liquidity are cash balances, cash flows from operations and sales under the Company’s at-the-market offering program entered into on February 7, 2025 (the “ATM Program”), which has approximately $25.0 million of remaining sales capacity as of September 30, 2026. From time to time, the Company may secure additional liquidity through asset sales or the issuance of debt, shares of Common Stock or common stock of its subsidiaries, preferred stock or a combination thereof.</w:t>
      </w:r>
    </w:p>
    <w:p>
      <w:pPr>
        <w:spacing w:after="0" w:line="14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As of September 30, 2026 and September 30, 2025, the Company held balances of cash, cash equivalents and restricted cash totaling $75.6 million and $108.2 million, respectively.</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of September 30, 2026, the Company had outstanding debt of $313.0 million, net of debt discount and issue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contractual long-term debt maturities as of September 30, 2026,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18"/>
                <w:szCs w:val="18"/>
                <w:color w:val="auto"/>
              </w:rPr>
            </w:pPr>
          </w:p>
        </w:tc>
      </w:tr>
      <w:tr>
        <w:trPr>
          <w:trHeight w:val="19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Remainder 2026</w:t>
            </w:r>
          </w:p>
        </w:tc>
        <w:tc>
          <w:tcPr>
            <w:tcW w:w="4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31,397</w:t>
            </w:r>
          </w:p>
        </w:tc>
      </w:tr>
      <w:tr>
        <w:trPr>
          <w:trHeight w:val="20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3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31,397</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246,106</w:t>
            </w:r>
          </w:p>
        </w:tc>
      </w:tr>
      <w:tr>
        <w:trPr>
          <w:trHeight w:val="20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3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Years subsequent to 2030</w:t>
            </w:r>
          </w:p>
        </w:tc>
        <w:tc>
          <w:tcPr>
            <w:tcW w:w="38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5460" w:type="dxa"/>
            <w:vAlign w:val="bottom"/>
            <w:shd w:val="clear" w:color="auto" w:fill="CFF0FC"/>
          </w:tcPr>
          <w:p>
            <w:pPr>
              <w:spacing w:after="0"/>
              <w:rPr>
                <w:sz w:val="18"/>
                <w:szCs w:val="18"/>
                <w:color w:val="auto"/>
              </w:rPr>
            </w:pPr>
          </w:p>
        </w:tc>
        <w:tc>
          <w:tcPr>
            <w:tcW w:w="4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316,400</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38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As of September 30, 2026, the Company had unfunded capital commitments of $37.4 million consisting of $35.5 million in respect of the construction of two PSVs, $1.7 million in respect of two hybrid battery power systems and $0.2 million for miscellaneous vessel equipment. Of the unfunded capital commitments, $18.0 million is payable during the remainder of 2026, $17.7 million is payable during 2027 and the remainder is payable during 2028. As of September 30, 2026, $33.0 million of proceeds from prior vessel sales remained in a restricted account designated to make payments on the construction of the two PSVs, consistent with the terms of the 2024 SMFH Credit Facility as previously described in the 2025 Annual Report. The funds deposited in the restricted account will be used to fund the remaining payments for the construction of the two PSVs, without the need for any additional proceeds from Tranche B of the 2024 SMFH Credit Facility, of which $16.4 million was drawn as of September 30, 2026. During the second quarter of 2026, the Company exercised its right to cancel the remaining borrowing capacity of $24.6 million of this tranche in accordance with the terms of the 2024 SMFH Credit Facility.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22"/>
          <w:szCs w:val="22"/>
          <w:b w:val="1"/>
          <w:bCs w:val="1"/>
          <w:color w:val="auto"/>
        </w:rPr>
        <w:t>Summary of Cash Flows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following is a summary of the Company’s cash flows for the nine months ended September 30, 2026 and 2025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provided by or (used in):</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gridSpan w:val="2"/>
          </w:tcPr>
          <w:p>
            <w:pPr>
              <w:jc w:val="right"/>
              <w:ind w:right="847"/>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(31,456)</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(24,202)</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38,123</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75,776</w:t>
            </w: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(24,192)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(19,503)</w:t>
            </w: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Effects of Exchange Rate Changes on Cash, Restricted Cash and Cash Equivalents</w:t>
            </w:r>
          </w:p>
        </w:tc>
        <w:tc>
          <w:tcPr>
            <w:tcW w:w="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Restricted Cash and Cash Equivalents</w:t>
            </w:r>
          </w:p>
        </w:tc>
        <w:tc>
          <w:tcPr>
            <w:tcW w:w="20" w:type="dxa"/>
            <w:vAlign w:val="bottom"/>
            <w:tcBorders>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84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(17,526)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32,068</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Operating Activities</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Cash flows used in operating activities was $31.5 million in the Current Year Nine Months, an increase of $7.3 million compared to $24.2 million in the Prior Year Nine Months due to changes in working capital, a decrease in days worked primarily due to net fleet changes and one-time insurance claims settlements received in the Prior Year Nine Months. The components of cash flows provided by and/or used in operating activities during the Current Year Nine Months and Prior Year Nine Months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15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DVP:</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11,601</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12,852</w:t>
            </w:r>
          </w:p>
        </w:tc>
        <w:tc>
          <w:tcPr>
            <w:tcW w:w="100" w:type="dxa"/>
            <w:vAlign w:val="bottom"/>
          </w:tcPr>
          <w:p>
            <w:pPr>
              <w:spacing w:after="0"/>
              <w:rPr>
                <w:sz w:val="17"/>
                <w:szCs w:val="17"/>
                <w:color w:val="auto"/>
              </w:rPr>
            </w:pPr>
          </w:p>
        </w:tc>
      </w:tr>
      <w:tr>
        <w:trPr>
          <w:trHeight w:val="203"/>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Africa and Europe</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32,166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20,610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Middle East and Asia</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00" w:type="dxa"/>
            <w:vAlign w:val="bottom"/>
          </w:tcPr>
          <w:p>
            <w:pPr>
              <w:spacing w:after="0"/>
              <w:rPr>
                <w:sz w:val="17"/>
                <w:szCs w:val="17"/>
                <w:color w:val="auto"/>
              </w:rPr>
            </w:pPr>
          </w:p>
        </w:tc>
      </w:tr>
      <w:tr>
        <w:trPr>
          <w:trHeight w:val="203"/>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leased-in equipment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(522)</w:t>
            </w:r>
          </w:p>
        </w:tc>
      </w:tr>
      <w:tr>
        <w:trPr>
          <w:trHeight w:val="203"/>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Administrative and general (excluding provisions for bad debts and amortization of share awards)</w:t>
            </w:r>
          </w:p>
        </w:tc>
        <w:tc>
          <w:tcPr>
            <w:tcW w:w="28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(28,692)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(30,050)</w:t>
            </w:r>
          </w:p>
        </w:tc>
      </w:tr>
      <w:tr>
        <w:trPr>
          <w:trHeight w:val="203"/>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Gains on insurance claim settlement</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net (excluding non-cash losses)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r>
      <w:tr>
        <w:trPr>
          <w:trHeight w:val="203"/>
        </w:trPr>
        <w:tc>
          <w:tcPr>
            <w:tcW w:w="7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Dividends received from 50% or less owned companies</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100" w:type="dxa"/>
            <w:vAlign w:val="bottom"/>
          </w:tcPr>
          <w:p>
            <w:pPr>
              <w:spacing w:after="0"/>
              <w:rPr>
                <w:sz w:val="17"/>
                <w:szCs w:val="17"/>
                <w:color w:val="auto"/>
              </w:rPr>
            </w:pPr>
          </w:p>
        </w:tc>
      </w:tr>
      <w:tr>
        <w:trPr>
          <w:trHeight w:val="203"/>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before interest and income taxes</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(16,717)</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(12,731)</w:t>
            </w:r>
          </w:p>
        </w:tc>
      </w:tr>
      <w:tr>
        <w:trPr>
          <w:trHeight w:val="203"/>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settlements on derivative transactions, net</w:t>
            </w:r>
          </w:p>
        </w:tc>
        <w:tc>
          <w:tcPr>
            <w:tcW w:w="2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w:t>
            </w:r>
          </w:p>
        </w:tc>
      </w:tr>
      <w:tr>
        <w:trPr>
          <w:trHeight w:val="203"/>
        </w:trPr>
        <w:tc>
          <w:tcPr>
            <w:tcW w:w="7740" w:type="dxa"/>
            <w:vAlign w:val="bottom"/>
            <w:gridSpan w:val="2"/>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Interest paid, excluding capitalized interest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(23,225)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(26,683)</w:t>
            </w:r>
          </w:p>
        </w:tc>
      </w:tr>
      <w:tr>
        <w:trPr>
          <w:trHeight w:val="203"/>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received</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 refunded, net</w:t>
            </w: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cash flows used in operating activities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(31,456)</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(24,202)</w:t>
            </w:r>
          </w:p>
        </w:tc>
      </w:tr>
      <w:tr>
        <w:trPr>
          <w:trHeight w:val="20"/>
        </w:trPr>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6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-1036320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-256540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2" w:lineRule="exact"/>
        <w:rPr>
          <w:sz w:val="20"/>
          <w:szCs w:val="20"/>
          <w:color w:val="auto"/>
        </w:rPr>
      </w:pPr>
    </w:p>
    <w:p>
      <w:pPr>
        <w:ind w:left="760" w:hanging="752"/>
        <w:spacing w:after="0" w:line="195" w:lineRule="auto"/>
        <w:tabs>
          <w:tab w:leader="none" w:pos="76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During the Current Year Nine Months and the Prior Year Nine Months capitalized interest paid and included in the purchase of property and equipment was $3.4 million and $1.5 million, respectively.</w:t>
      </w:r>
    </w:p>
    <w:p>
      <w:pPr>
        <w:spacing w:after="0" w:line="13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Investing Activities</w:t>
      </w:r>
    </w:p>
    <w:p>
      <w:pPr>
        <w:spacing w:after="0" w:line="17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During the Current Year Nine Months, net cash provided by investing activities was $38.1 million, primarily as a result of the following:</w:t>
      </w:r>
    </w:p>
    <w:p>
      <w:pPr>
        <w:spacing w:after="0" w:line="50" w:lineRule="exact"/>
        <w:rPr>
          <w:sz w:val="20"/>
          <w:szCs w:val="20"/>
          <w:color w:val="auto"/>
        </w:rPr>
      </w:pPr>
    </w:p>
    <w:p>
      <w:pPr>
        <w:ind w:left="1260" w:hanging="503"/>
        <w:spacing w:after="0"/>
        <w:tabs>
          <w:tab w:leader="none" w:pos="12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were $19.6 million; and</w:t>
      </w:r>
    </w:p>
    <w:p>
      <w:pPr>
        <w:spacing w:after="0" w:line="98" w:lineRule="exact"/>
        <w:rPr>
          <w:rFonts w:ascii="Times New Roman" w:cs="Times New Roman" w:eastAsia="Times New Roman" w:hAnsi="Times New Roman"/>
          <w:sz w:val="22"/>
          <w:szCs w:val="22"/>
          <w:color w:val="auto"/>
        </w:rPr>
      </w:pPr>
    </w:p>
    <w:p>
      <w:pPr>
        <w:ind w:left="1260" w:hanging="503"/>
        <w:spacing w:after="0" w:line="258" w:lineRule="auto"/>
        <w:tabs>
          <w:tab w:leader="none" w:pos="12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sold </w:t>
      </w:r>
      <w:r>
        <w:rPr>
          <w:rFonts w:ascii="Times New Roman" w:cs="Times New Roman" w:eastAsia="Times New Roman" w:hAnsi="Times New Roman"/>
          <w:sz w:val="22"/>
          <w:szCs w:val="22"/>
          <w:color w:val="222222"/>
        </w:rPr>
        <w:t>three</w:t>
      </w:r>
      <w:r>
        <w:rPr>
          <w:rFonts w:ascii="Times New Roman" w:cs="Times New Roman" w:eastAsia="Times New Roman" w:hAnsi="Times New Roman"/>
          <w:sz w:val="22"/>
          <w:szCs w:val="22"/>
          <w:color w:val="auto"/>
        </w:rPr>
        <w:t xml:space="preserve"> PSVs, two liftboats and one FSV</w:t>
      </w:r>
      <w:r>
        <w:rPr>
          <w:rFonts w:ascii="Times New Roman" w:cs="Times New Roman" w:eastAsia="Times New Roman" w:hAnsi="Times New Roman"/>
          <w:sz w:val="22"/>
          <w:szCs w:val="22"/>
          <w:color w:val="222222"/>
        </w:rPr>
        <w:t>, each previously classified as held for sale,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 xml:space="preserve">equipment </w:t>
      </w:r>
      <w:r>
        <w:rPr>
          <w:rFonts w:ascii="Times New Roman" w:cs="Times New Roman" w:eastAsia="Times New Roman" w:hAnsi="Times New Roman"/>
          <w:sz w:val="22"/>
          <w:szCs w:val="22"/>
          <w:color w:val="000000"/>
        </w:rPr>
        <w:t>for net cash proceeds of $57.7 million, after transaction costs, for a gain of $38.8 million.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3" w:name="page44"/>
    <w:bookmarkEnd w:id="43"/>
    <w:p>
      <w:pPr>
        <w:ind w:firstLine="749"/>
        <w:spacing w:after="0" w:line="258" w:lineRule="auto"/>
        <w:rPr>
          <w:sz w:val="20"/>
          <w:szCs w:val="20"/>
          <w:color w:val="auto"/>
        </w:rPr>
      </w:pPr>
      <w:r>
        <w:rPr>
          <w:rFonts w:ascii="Times New Roman" w:cs="Times New Roman" w:eastAsia="Times New Roman" w:hAnsi="Times New Roman"/>
          <w:sz w:val="22"/>
          <w:szCs w:val="22"/>
          <w:color w:val="auto"/>
        </w:rPr>
        <w:t>During the Prior Year Nine Months, net cash provided by investing activities was $75.8 million, primarily as a result of the following:</w:t>
      </w:r>
    </w:p>
    <w:p>
      <w:pPr>
        <w:spacing w:after="0" w:line="50" w:lineRule="exact"/>
        <w:rPr>
          <w:sz w:val="20"/>
          <w:szCs w:val="20"/>
          <w:color w:val="auto"/>
        </w:rPr>
      </w:pPr>
    </w:p>
    <w:p>
      <w:pPr>
        <w:ind w:left="1260" w:hanging="503"/>
        <w:spacing w:after="0"/>
        <w:tabs>
          <w:tab w:leader="none" w:pos="12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were $40.4 million; and</w:t>
      </w:r>
    </w:p>
    <w:p>
      <w:pPr>
        <w:spacing w:after="0" w:line="98" w:lineRule="exact"/>
        <w:rPr>
          <w:rFonts w:ascii="Times New Roman" w:cs="Times New Roman" w:eastAsia="Times New Roman" w:hAnsi="Times New Roman"/>
          <w:sz w:val="22"/>
          <w:szCs w:val="22"/>
          <w:color w:val="auto"/>
        </w:rPr>
      </w:pPr>
    </w:p>
    <w:p>
      <w:pPr>
        <w:jc w:val="both"/>
        <w:ind w:left="1260" w:right="20" w:hanging="503"/>
        <w:spacing w:after="0" w:line="244" w:lineRule="auto"/>
        <w:tabs>
          <w:tab w:leader="none" w:pos="12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sold one FSV and two PSVs</w:t>
      </w:r>
      <w:r>
        <w:rPr>
          <w:rFonts w:ascii="Times New Roman" w:cs="Times New Roman" w:eastAsia="Times New Roman" w:hAnsi="Times New Roman"/>
          <w:sz w:val="22"/>
          <w:szCs w:val="22"/>
          <w:color w:val="222222"/>
        </w:rPr>
        <w:t>, each previously classified as held for sale, as well as three</w:t>
      </w:r>
      <w:r>
        <w:rPr>
          <w:rFonts w:ascii="Times New Roman" w:cs="Times New Roman" w:eastAsia="Times New Roman" w:hAnsi="Times New Roman"/>
          <w:sz w:val="22"/>
          <w:szCs w:val="22"/>
          <w:color w:val="auto"/>
        </w:rPr>
        <w:t xml:space="preserve"> liftboats </w:t>
      </w:r>
      <w:r>
        <w:rPr>
          <w:rFonts w:ascii="Times New Roman" w:cs="Times New Roman" w:eastAsia="Times New Roman" w:hAnsi="Times New Roman"/>
          <w:sz w:val="22"/>
          <w:szCs w:val="22"/>
          <w:color w:val="222222"/>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 xml:space="preserve">other equipment, each not previously classified as held for sale, </w:t>
      </w:r>
      <w:r>
        <w:rPr>
          <w:rFonts w:ascii="Times New Roman" w:cs="Times New Roman" w:eastAsia="Times New Roman" w:hAnsi="Times New Roman"/>
          <w:sz w:val="22"/>
          <w:szCs w:val="22"/>
          <w:color w:val="000000"/>
        </w:rPr>
        <w:t>for net cash proceeds of $116.1 million, after</w:t>
      </w:r>
      <w:r>
        <w:rPr>
          <w:rFonts w:ascii="Times New Roman" w:cs="Times New Roman" w:eastAsia="Times New Roman" w:hAnsi="Times New Roman"/>
          <w:sz w:val="22"/>
          <w:szCs w:val="22"/>
          <w:color w:val="222222"/>
        </w:rPr>
        <w:t xml:space="preserve"> </w:t>
      </w:r>
      <w:r>
        <w:rPr>
          <w:rFonts w:ascii="Times New Roman" w:cs="Times New Roman" w:eastAsia="Times New Roman" w:hAnsi="Times New Roman"/>
          <w:sz w:val="22"/>
          <w:szCs w:val="22"/>
          <w:color w:val="000000"/>
        </w:rPr>
        <w:t>transaction costs, for a gain of $55.2 million.</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Financing Activities</w:t>
      </w:r>
    </w:p>
    <w:p>
      <w:pPr>
        <w:spacing w:after="0" w:line="1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During the Current Year Nine Months, net cash used in financing activities was $24.2 million, primarily as a result of the following:</w:t>
      </w:r>
    </w:p>
    <w:p>
      <w:pPr>
        <w:spacing w:after="0" w:line="50" w:lineRule="exact"/>
        <w:rPr>
          <w:sz w:val="20"/>
          <w:szCs w:val="20"/>
          <w:color w:val="auto"/>
        </w:rPr>
      </w:pPr>
    </w:p>
    <w:p>
      <w:pPr>
        <w:ind w:left="1260" w:hanging="503"/>
        <w:spacing w:after="0"/>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scheduled payments on long-term debt and other obligations of $22.5 million;</w:t>
      </w:r>
    </w:p>
    <w:p>
      <w:pPr>
        <w:spacing w:after="0" w:line="98" w:lineRule="exact"/>
        <w:rPr>
          <w:rFonts w:ascii="Times New Roman" w:cs="Times New Roman" w:eastAsia="Times New Roman" w:hAnsi="Times New Roman"/>
          <w:sz w:val="22"/>
          <w:szCs w:val="22"/>
          <w:color w:val="auto"/>
        </w:rPr>
      </w:pPr>
    </w:p>
    <w:p>
      <w:pPr>
        <w:ind w:left="1260" w:hanging="503"/>
        <w:spacing w:after="0"/>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received $0.1 million proceeds from the exercise of stock options; and</w:t>
      </w:r>
    </w:p>
    <w:p>
      <w:pPr>
        <w:spacing w:after="0" w:line="98" w:lineRule="exact"/>
        <w:rPr>
          <w:rFonts w:ascii="Times New Roman" w:cs="Times New Roman" w:eastAsia="Times New Roman" w:hAnsi="Times New Roman"/>
          <w:sz w:val="22"/>
          <w:szCs w:val="22"/>
          <w:color w:val="auto"/>
        </w:rPr>
      </w:pPr>
    </w:p>
    <w:p>
      <w:pPr>
        <w:ind w:left="1260" w:hanging="503"/>
        <w:spacing w:after="0"/>
        <w:tabs>
          <w:tab w:leader="none" w:pos="12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payments on tax withholdings for restricted stock vesting of $1.8 million.</w:t>
      </w:r>
    </w:p>
    <w:p>
      <w:pPr>
        <w:spacing w:after="0" w:line="16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During the Prior Year Nine Months, net cash used in financing activities was $19.5 million primarily as a result of the following:</w:t>
      </w:r>
    </w:p>
    <w:p>
      <w:pPr>
        <w:spacing w:after="0" w:line="50" w:lineRule="exact"/>
        <w:rPr>
          <w:sz w:val="20"/>
          <w:szCs w:val="20"/>
          <w:color w:val="auto"/>
        </w:rPr>
      </w:pPr>
    </w:p>
    <w:p>
      <w:pPr>
        <w:ind w:left="1260" w:hanging="503"/>
        <w:spacing w:after="0"/>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scheduled payments on long-term debt and other obligations of $20.0 million;</w:t>
      </w:r>
    </w:p>
    <w:p>
      <w:pPr>
        <w:spacing w:after="0" w:line="98" w:lineRule="exact"/>
        <w:rPr>
          <w:rFonts w:ascii="Times New Roman" w:cs="Times New Roman" w:eastAsia="Times New Roman" w:hAnsi="Times New Roman"/>
          <w:sz w:val="22"/>
          <w:szCs w:val="22"/>
          <w:color w:val="auto"/>
        </w:rPr>
      </w:pPr>
    </w:p>
    <w:p>
      <w:pPr>
        <w:ind w:left="1260" w:hanging="503"/>
        <w:spacing w:after="0"/>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received proceeds from the issuance of long-term debt of $15.8 million;</w:t>
      </w:r>
    </w:p>
    <w:p>
      <w:pPr>
        <w:spacing w:after="0" w:line="98" w:lineRule="exact"/>
        <w:rPr>
          <w:rFonts w:ascii="Times New Roman" w:cs="Times New Roman" w:eastAsia="Times New Roman" w:hAnsi="Times New Roman"/>
          <w:sz w:val="22"/>
          <w:szCs w:val="22"/>
          <w:color w:val="auto"/>
        </w:rPr>
      </w:pPr>
    </w:p>
    <w:p>
      <w:pPr>
        <w:ind w:left="1260" w:hanging="503"/>
        <w:spacing w:after="0"/>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payments for the repurchase of Common Stock of $7.1 million;</w:t>
      </w:r>
    </w:p>
    <w:p>
      <w:pPr>
        <w:spacing w:after="0" w:line="98" w:lineRule="exact"/>
        <w:rPr>
          <w:rFonts w:ascii="Times New Roman" w:cs="Times New Roman" w:eastAsia="Times New Roman" w:hAnsi="Times New Roman"/>
          <w:sz w:val="22"/>
          <w:szCs w:val="22"/>
          <w:color w:val="auto"/>
        </w:rPr>
      </w:pPr>
    </w:p>
    <w:p>
      <w:pPr>
        <w:ind w:left="1260" w:hanging="503"/>
        <w:spacing w:after="0"/>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payments for the repurchase of Warrants of $6.7 million; and</w:t>
      </w:r>
    </w:p>
    <w:p>
      <w:pPr>
        <w:spacing w:after="0" w:line="98" w:lineRule="exact"/>
        <w:rPr>
          <w:rFonts w:ascii="Times New Roman" w:cs="Times New Roman" w:eastAsia="Times New Roman" w:hAnsi="Times New Roman"/>
          <w:sz w:val="22"/>
          <w:szCs w:val="22"/>
          <w:color w:val="auto"/>
        </w:rPr>
      </w:pPr>
    </w:p>
    <w:p>
      <w:pPr>
        <w:ind w:left="1260" w:hanging="503"/>
        <w:spacing w:after="0"/>
        <w:tabs>
          <w:tab w:leader="none" w:pos="12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made payments on tax withholdings for restricted stock vesting of $1.5 million.</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Short and Long-Term Liquidity Requirements</w:t>
      </w:r>
    </w:p>
    <w:p>
      <w:pPr>
        <w:spacing w:after="0" w:line="17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The Company believes that a combination of cash balances on hand, cash generated from operating activities, proceeds from asset sales and access to the credit and capital markets, including the $25.0 million in remaining sales capacity under the ATM Program, will provide sufficient liquidity to meet its obligations, including to support its capital expenditures, working capital needs, debt service requirements and covenant compliance, over the short to long term. With respect to the remaining $35.5 million in capital expenditures related to the construction of two PSVs, $33.0 million of proceeds from prior vessel sales remained in a restricted account designated for these capital expenditures as of September 30, 2026.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or the availability of the credit and capital markets on acceptable terms. Management continuously monitors the Company’s liquidity and compliance with covenants in its 2024 SMFH Credit Facility.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Debt Securities and Credit Agreements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a discussion of the Company’s debt securities and credit agreements, see “Note 4. Long-Term Debt” in the unaudited condensed consolidated financial statements included in Part I. Item 1. “Financial Statements” elsewhere in this Quarterly Report on Form 10-Q and in “Note 5. Long-Term Debt” in the Company’s audited consolidated financial statements included in its 2025 Annual Report. There have been no material changes to the Company’s long-term debt during the period.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22"/>
          <w:szCs w:val="22"/>
          <w:b w:val="1"/>
          <w:bCs w:val="1"/>
          <w:color w:val="auto"/>
        </w:rPr>
        <w:t>Future Cash Requirements</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a discussion of the Company’s future cash requirements, refer to “Management’s Discussion and Analysis of Financial Condition and Results of Operations - Liquidity and Capital Resources” in the Company’s 2025 Annual Report. There has been no material change in the Company’s future cash requirements since our fiscal year ended December 31, 2025, except as described in “Results of Operations - Liquidity and Capital Resources” in this Quarterly Report on Form 10-Q.</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Contingencies</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contingencies, see “Note 9. Commitments and Contingencies” in the unaudited consolidated financial statements included in Part I. Item 1. “Financial Statements” elsewhere in this Quarterly Report on Form 10-Q.</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b w:val="1"/>
          <w:bCs w:val="1"/>
          <w:color w:val="auto"/>
        </w:rPr>
        <w:t>ITEM 3. QUANTITATIVE AND QUALITATIVE DISCLOSURES ABOUT MARKET RISK</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discussion of the Company’s exposure to market risk, refer to “Quantitative and Qualitative Disclosures About Market Risk” included in the Company’s 2025 Annual Report. There has been no material change in the Company’s exposure to market risk during the nine months ended September 30,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Evaluation of Disclosure Controls and Procedures</w:t>
      </w:r>
    </w:p>
    <w:p>
      <w:pPr>
        <w:spacing w:after="0" w:line="17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With the participation of the Company’s principal executive officer and principal financial officer, management evaluated the effectiveness of the Company’s disclosure controls and procedures (as defined in Rules 13a-15(e) and 15d-15(e) under the Exchange Act), as of September 30, 2026. Based on their evaluation, the Company’s principal executive officer and principal financial officer concluded that the Company’s disclosure controls and procedures were effective as of September 30, 2026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spacing w:after="0" w:line="15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Company’s disclosure controls and procedures have been designed to ensure that information required to be disclosed by the Company in the reports it files or submits under the Exchange Act is recorded, processed, summarized and reported to the Company’s management, including its principal executive and principal financial officers, within the time periods specified in the SEC’s rules and forms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Changes in Internal Control Over Financial Reporting</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There have been no changes in the Company’s internal control over financial reporting (as defined in Rules 13a-15(f) and 15d-15(f) under the Exchange Act) that occurred during the Current Year Quarter that have materially affected, or are reasonably likely to materially affect, the Company’s internal control over financial reporting.</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a description of developments with respect to pending legal proceedings described in the Company’s 2025 Annual Report, see “Note 9. Commitments and Contingencies” in the unaudited consolidated financial statements included in Part I. Item 1. “Financial Statements” elsewhere in this Quarterly Report on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a discussion of the Company’s risk factors, refer to “Risk Factors” included in the Company’s 2025 Annual Report.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have been no material changes in the Company’s risk factors during the Current Year Quarter.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(b) None.</w:t>
      </w:r>
    </w:p>
    <w:p>
      <w:pPr>
        <w:spacing w:after="0" w:line="98" w:lineRule="exact"/>
        <w:rPr>
          <w:sz w:val="20"/>
          <w:szCs w:val="20"/>
          <w:color w:val="auto"/>
        </w:rPr>
      </w:pPr>
    </w:p>
    <w:p>
      <w:pPr>
        <w:ind w:left="760" w:hanging="3"/>
        <w:spacing w:after="0" w:line="258" w:lineRule="auto"/>
        <w:tabs>
          <w:tab w:leader="none" w:pos="105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table provides information with respect to purchases by the Company of shares of its Common Stock during the Current Year Quarter: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300" w:type="dxa"/>
            <w:vAlign w:val="bottom"/>
          </w:tcPr>
          <w:p>
            <w:pPr>
              <w:spacing w:after="0"/>
              <w:rPr>
                <w:sz w:val="17"/>
                <w:szCs w:val="17"/>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 Number</w:t>
            </w:r>
          </w:p>
        </w:tc>
      </w:tr>
      <w:tr>
        <w:trPr>
          <w:trHeight w:val="202"/>
        </w:trPr>
        <w:tc>
          <w:tcPr>
            <w:tcW w:w="3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300" w:type="dxa"/>
            <w:vAlign w:val="bottom"/>
          </w:tcPr>
          <w:p>
            <w:pPr>
              <w:spacing w:after="0"/>
              <w:rPr>
                <w:sz w:val="17"/>
                <w:szCs w:val="17"/>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 that may</w:t>
            </w:r>
          </w:p>
        </w:tc>
      </w:tr>
      <w:tr>
        <w:trPr>
          <w:trHeight w:val="203"/>
        </w:trPr>
        <w:tc>
          <w:tcPr>
            <w:tcW w:w="3660" w:type="dxa"/>
            <w:vAlign w:val="bottom"/>
          </w:tcPr>
          <w:p>
            <w:pPr>
              <w:spacing w:after="0"/>
              <w:rPr>
                <w:sz w:val="17"/>
                <w:szCs w:val="17"/>
                <w:color w:val="auto"/>
              </w:rPr>
            </w:pPr>
          </w:p>
        </w:tc>
        <w:tc>
          <w:tcPr>
            <w:tcW w:w="146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Average Price per</w:t>
            </w:r>
          </w:p>
        </w:tc>
        <w:tc>
          <w:tcPr>
            <w:tcW w:w="2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Part of a Publicly</w:t>
            </w:r>
          </w:p>
        </w:tc>
        <w:tc>
          <w:tcPr>
            <w:tcW w:w="300" w:type="dxa"/>
            <w:vAlign w:val="bottom"/>
          </w:tcPr>
          <w:p>
            <w:pPr>
              <w:spacing w:after="0"/>
              <w:rPr>
                <w:sz w:val="17"/>
                <w:szCs w:val="17"/>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 Purchased Under</w:t>
            </w:r>
          </w:p>
        </w:tc>
      </w:tr>
      <w:tr>
        <w:trPr>
          <w:trHeight w:val="215"/>
        </w:trPr>
        <w:tc>
          <w:tcPr>
            <w:tcW w:w="3660" w:type="dxa"/>
            <w:vAlign w:val="bottom"/>
          </w:tcPr>
          <w:p>
            <w:pPr>
              <w:spacing w:after="0"/>
              <w:rPr>
                <w:sz w:val="18"/>
                <w:szCs w:val="18"/>
                <w:color w:val="auto"/>
              </w:rPr>
            </w:pPr>
          </w:p>
        </w:tc>
        <w:tc>
          <w:tcPr>
            <w:tcW w:w="14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2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w:t>
            </w:r>
          </w:p>
        </w:tc>
        <w:tc>
          <w:tcPr>
            <w:tcW w:w="30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Plan</w:t>
            </w:r>
          </w:p>
        </w:tc>
        <w:tc>
          <w:tcPr>
            <w:tcW w:w="120" w:type="dxa"/>
            <w:vAlign w:val="bottom"/>
          </w:tcPr>
          <w:p>
            <w:pPr>
              <w:spacing w:after="0"/>
              <w:rPr>
                <w:sz w:val="18"/>
                <w:szCs w:val="18"/>
                <w:color w:val="auto"/>
              </w:rPr>
            </w:pPr>
          </w:p>
        </w:tc>
      </w:tr>
      <w:tr>
        <w:trPr>
          <w:trHeight w:val="199"/>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 2026 to July 31, 2026</w:t>
            </w:r>
          </w:p>
        </w:tc>
        <w:tc>
          <w:tcPr>
            <w:tcW w:w="14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ind w:left="13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ind w:left="15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August 1, 2026 to August 31, 2026</w:t>
            </w:r>
          </w:p>
        </w:tc>
        <w:tc>
          <w:tcPr>
            <w:tcW w:w="1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17"/>
                <w:szCs w:val="17"/>
                <w:color w:val="auto"/>
              </w:rPr>
            </w:pPr>
          </w:p>
        </w:tc>
        <w:tc>
          <w:tcPr>
            <w:tcW w:w="16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Pr>
          <w:p>
            <w:pPr>
              <w:spacing w:after="0"/>
              <w:rPr>
                <w:sz w:val="17"/>
                <w:szCs w:val="17"/>
                <w:color w:val="auto"/>
              </w:rPr>
            </w:pPr>
          </w:p>
        </w:tc>
        <w:tc>
          <w:tcPr>
            <w:tcW w:w="164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r>
      <w:tr>
        <w:trPr>
          <w:trHeight w:val="209"/>
        </w:trPr>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1, 2026 to September 30, 2026</w:t>
            </w:r>
          </w:p>
        </w:tc>
        <w:tc>
          <w:tcPr>
            <w:tcW w:w="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ind w:left="132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ind w:left="14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-282575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-282575</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-282575</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-282575</wp:posOffset>
            </wp:positionV>
            <wp:extent cx="7747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During the third quarter of 2026, none of our directors or Section 16 officers adopted or terminated a “Rule 10b5-1 trading arrangement” or “non-Rule 10b5-1 trading arrangement” (as each term is defined in Item 408(a) of Regulation S-K).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160"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08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8"/>
              </w:rPr>
              <w:t>31.1</w:t>
            </w:r>
          </w:p>
        </w:tc>
        <w:tc>
          <w:tcPr>
            <w:tcW w:w="99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0000FF"/>
              </w:rPr>
              <w:t>Certification by the Principal Executive Officer pursuant to Rule 13a-14(a) and Rule 15d-14(a) of the Securities</w:t>
            </w:r>
          </w:p>
        </w:tc>
      </w:tr>
      <w:tr>
        <w:trPr>
          <w:trHeight w:val="223"/>
        </w:trPr>
        <w:tc>
          <w:tcPr>
            <w:tcW w:w="1080" w:type="dxa"/>
            <w:vAlign w:val="bottom"/>
          </w:tcPr>
          <w:p>
            <w:pPr>
              <w:spacing w:after="0"/>
              <w:rPr>
                <w:sz w:val="19"/>
                <w:szCs w:val="19"/>
                <w:color w:val="auto"/>
              </w:rPr>
            </w:pPr>
          </w:p>
        </w:tc>
        <w:tc>
          <w:tcPr>
            <w:tcW w:w="9740" w:type="dxa"/>
            <w:vAlign w:val="bottom"/>
            <w:tcBorders>
              <w:top w:val="single" w:sz="8" w:color="0000FF"/>
            </w:tcBorders>
            <w:gridSpan w:val="5"/>
          </w:tcPr>
          <w:p>
            <w:pPr>
              <w:ind w:left="20"/>
              <w:spacing w:after="0" w:line="223" w:lineRule="exact"/>
              <w:rPr>
                <w:sz w:val="20"/>
                <w:szCs w:val="20"/>
                <w:color w:val="auto"/>
              </w:rPr>
            </w:pPr>
            <w:r>
              <w:rPr>
                <w:rFonts w:ascii="Times New Roman" w:cs="Times New Roman" w:eastAsia="Times New Roman" w:hAnsi="Times New Roman"/>
                <w:sz w:val="22"/>
                <w:szCs w:val="22"/>
                <w:color w:val="0000FF"/>
              </w:rPr>
              <w:t>Exchange Act, as amended.</w:t>
            </w:r>
          </w:p>
        </w:tc>
        <w:tc>
          <w:tcPr>
            <w:tcW w:w="240" w:type="dxa"/>
            <w:vAlign w:val="bottom"/>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2420" w:type="dxa"/>
            <w:vAlign w:val="bottom"/>
            <w:tcBorders>
              <w:right w:val="single" w:sz="8" w:color="0000EE"/>
            </w:tcBorders>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318"/>
        </w:trPr>
        <w:tc>
          <w:tcPr>
            <w:tcW w:w="108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8"/>
              </w:rPr>
              <w:t>31.2</w:t>
            </w:r>
          </w:p>
        </w:tc>
        <w:tc>
          <w:tcPr>
            <w:tcW w:w="99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0000FF"/>
              </w:rPr>
              <w:t>Certification by the Principal Financial Officer pursuant to Rule 13a-14(a) and Rule 15d-14(a) of the Securities</w:t>
            </w:r>
          </w:p>
        </w:tc>
      </w:tr>
      <w:tr>
        <w:trPr>
          <w:trHeight w:val="223"/>
        </w:trPr>
        <w:tc>
          <w:tcPr>
            <w:tcW w:w="1080" w:type="dxa"/>
            <w:vAlign w:val="bottom"/>
          </w:tcPr>
          <w:p>
            <w:pPr>
              <w:spacing w:after="0"/>
              <w:rPr>
                <w:sz w:val="19"/>
                <w:szCs w:val="19"/>
                <w:color w:val="auto"/>
              </w:rPr>
            </w:pPr>
          </w:p>
        </w:tc>
        <w:tc>
          <w:tcPr>
            <w:tcW w:w="9680" w:type="dxa"/>
            <w:vAlign w:val="bottom"/>
            <w:tcBorders>
              <w:top w:val="single" w:sz="8" w:color="0000FF"/>
            </w:tcBorders>
            <w:gridSpan w:val="4"/>
          </w:tcPr>
          <w:p>
            <w:pPr>
              <w:ind w:left="20"/>
              <w:spacing w:after="0" w:line="223" w:lineRule="exact"/>
              <w:rPr>
                <w:sz w:val="20"/>
                <w:szCs w:val="20"/>
                <w:color w:val="auto"/>
              </w:rPr>
            </w:pPr>
            <w:r>
              <w:rPr>
                <w:rFonts w:ascii="Times New Roman" w:cs="Times New Roman" w:eastAsia="Times New Roman" w:hAnsi="Times New Roman"/>
                <w:sz w:val="22"/>
                <w:szCs w:val="22"/>
                <w:color w:val="0000FF"/>
              </w:rPr>
              <w:t>Exchange Act, as amended.</w:t>
            </w:r>
          </w:p>
        </w:tc>
        <w:tc>
          <w:tcPr>
            <w:tcW w:w="300" w:type="dxa"/>
            <w:vAlign w:val="bottom"/>
            <w:gridSpan w:val="2"/>
          </w:tcPr>
          <w:p>
            <w:pPr>
              <w:spacing w:after="0"/>
              <w:rPr>
                <w:sz w:val="19"/>
                <w:szCs w:val="19"/>
                <w:color w:val="auto"/>
              </w:rPr>
            </w:pPr>
          </w:p>
        </w:tc>
      </w:tr>
      <w:tr>
        <w:trPr>
          <w:trHeight w:val="20"/>
        </w:trPr>
        <w:tc>
          <w:tcPr>
            <w:tcW w:w="1080" w:type="dxa"/>
            <w:vAlign w:val="bottom"/>
          </w:tcPr>
          <w:p>
            <w:pPr>
              <w:spacing w:after="0" w:line="20" w:lineRule="exact"/>
              <w:rPr>
                <w:sz w:val="1"/>
                <w:szCs w:val="1"/>
                <w:color w:val="auto"/>
              </w:rPr>
            </w:pPr>
          </w:p>
        </w:tc>
        <w:tc>
          <w:tcPr>
            <w:tcW w:w="2420" w:type="dxa"/>
            <w:vAlign w:val="bottom"/>
            <w:tcBorders>
              <w:right w:val="single" w:sz="8" w:color="0000EE"/>
            </w:tcBorders>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r>
      <w:tr>
        <w:trPr>
          <w:trHeight w:val="318"/>
        </w:trPr>
        <w:tc>
          <w:tcPr>
            <w:tcW w:w="108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w w:val="98"/>
              </w:rPr>
              <w:t>32.1</w:t>
            </w:r>
          </w:p>
        </w:tc>
        <w:tc>
          <w:tcPr>
            <w:tcW w:w="99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22"/>
                <w:szCs w:val="22"/>
                <w:color w:val="0000FF"/>
                <w:w w:val="98"/>
              </w:rPr>
              <w:t>Certification by the Principal Executive Officer and Chief Financial Officer pursuant to 18 U.S.C. Section 1350, as</w:t>
            </w:r>
          </w:p>
        </w:tc>
      </w:tr>
      <w:tr>
        <w:trPr>
          <w:trHeight w:val="223"/>
        </w:trPr>
        <w:tc>
          <w:tcPr>
            <w:tcW w:w="1080" w:type="dxa"/>
            <w:vAlign w:val="bottom"/>
          </w:tcPr>
          <w:p>
            <w:pPr>
              <w:spacing w:after="0"/>
              <w:rPr>
                <w:sz w:val="19"/>
                <w:szCs w:val="19"/>
                <w:color w:val="auto"/>
              </w:rPr>
            </w:pPr>
          </w:p>
        </w:tc>
        <w:tc>
          <w:tcPr>
            <w:tcW w:w="5920" w:type="dxa"/>
            <w:vAlign w:val="bottom"/>
            <w:tcBorders>
              <w:bottom w:val="single" w:sz="8" w:color="0000FF"/>
            </w:tcBorders>
            <w:gridSpan w:val="2"/>
          </w:tcPr>
          <w:p>
            <w:pPr>
              <w:ind w:left="20"/>
              <w:spacing w:after="0" w:line="223" w:lineRule="exact"/>
              <w:rPr>
                <w:sz w:val="20"/>
                <w:szCs w:val="20"/>
                <w:color w:val="auto"/>
              </w:rPr>
            </w:pPr>
            <w:r>
              <w:rPr>
                <w:rFonts w:ascii="Times New Roman" w:cs="Times New Roman" w:eastAsia="Times New Roman" w:hAnsi="Times New Roman"/>
                <w:sz w:val="22"/>
                <w:szCs w:val="22"/>
                <w:color w:val="0000FF"/>
                <w:w w:val="97"/>
              </w:rPr>
              <w:t>adopted pursuant to Section 906 of the Sarbanes-Oxley Act of 2002.</w:t>
            </w:r>
          </w:p>
        </w:tc>
        <w:tc>
          <w:tcPr>
            <w:tcW w:w="20" w:type="dxa"/>
            <w:vAlign w:val="bottom"/>
            <w:tcBorders>
              <w:bottom w:val="single" w:sz="8" w:color="0000EE"/>
            </w:tcBorders>
          </w:tcPr>
          <w:p>
            <w:pPr>
              <w:spacing w:after="0"/>
              <w:rPr>
                <w:sz w:val="19"/>
                <w:szCs w:val="19"/>
                <w:color w:val="auto"/>
              </w:rPr>
            </w:pPr>
          </w:p>
        </w:tc>
        <w:tc>
          <w:tcPr>
            <w:tcW w:w="4040" w:type="dxa"/>
            <w:vAlign w:val="bottom"/>
            <w:gridSpan w:val="3"/>
          </w:tcPr>
          <w:p>
            <w:pPr>
              <w:spacing w:after="0"/>
              <w:rPr>
                <w:sz w:val="19"/>
                <w:szCs w:val="19"/>
                <w:color w:val="auto"/>
              </w:rPr>
            </w:pPr>
          </w:p>
        </w:tc>
      </w:tr>
      <w:tr>
        <w:trPr>
          <w:trHeight w:val="331"/>
        </w:trPr>
        <w:tc>
          <w:tcPr>
            <w:tcW w:w="1080" w:type="dxa"/>
            <w:vAlign w:val="bottom"/>
          </w:tcPr>
          <w:p>
            <w:pPr>
              <w:jc w:val="center"/>
              <w:ind w:right="152"/>
              <w:spacing w:after="0"/>
              <w:rPr>
                <w:sz w:val="20"/>
                <w:szCs w:val="20"/>
                <w:color w:val="auto"/>
              </w:rPr>
            </w:pPr>
            <w:r>
              <w:rPr>
                <w:rFonts w:ascii="Times New Roman" w:cs="Times New Roman" w:eastAsia="Times New Roman" w:hAnsi="Times New Roman"/>
                <w:sz w:val="22"/>
                <w:szCs w:val="22"/>
                <w:color w:val="auto"/>
              </w:rPr>
              <w:t>101.INS</w:t>
            </w:r>
          </w:p>
        </w:tc>
        <w:tc>
          <w:tcPr>
            <w:tcW w:w="99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w w:val="99"/>
              </w:rPr>
              <w:t>Inline XBRL Instance Document – the instance document does not appear in the Interactive Data File because its</w:t>
            </w:r>
          </w:p>
        </w:tc>
      </w:tr>
      <w:tr>
        <w:trPr>
          <w:trHeight w:val="282"/>
        </w:trPr>
        <w:tc>
          <w:tcPr>
            <w:tcW w:w="1080" w:type="dxa"/>
            <w:vAlign w:val="bottom"/>
          </w:tcPr>
          <w:p>
            <w:pPr>
              <w:spacing w:after="0"/>
              <w:rPr>
                <w:sz w:val="24"/>
                <w:szCs w:val="24"/>
                <w:color w:val="auto"/>
              </w:rPr>
            </w:pPr>
          </w:p>
        </w:tc>
        <w:tc>
          <w:tcPr>
            <w:tcW w:w="99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XBRL tags are embedded within the Inline XBRL document.</w:t>
            </w:r>
          </w:p>
        </w:tc>
      </w:tr>
      <w:tr>
        <w:trPr>
          <w:trHeight w:val="338"/>
        </w:trPr>
        <w:tc>
          <w:tcPr>
            <w:tcW w:w="1080" w:type="dxa"/>
            <w:vAlign w:val="bottom"/>
          </w:tcPr>
          <w:p>
            <w:pPr>
              <w:jc w:val="center"/>
              <w:ind w:right="172"/>
              <w:spacing w:after="0"/>
              <w:rPr>
                <w:sz w:val="20"/>
                <w:szCs w:val="20"/>
                <w:color w:val="auto"/>
              </w:rPr>
            </w:pPr>
            <w:r>
              <w:rPr>
                <w:rFonts w:ascii="Times New Roman" w:cs="Times New Roman" w:eastAsia="Times New Roman" w:hAnsi="Times New Roman"/>
                <w:sz w:val="22"/>
                <w:szCs w:val="22"/>
                <w:color w:val="auto"/>
                <w:w w:val="98"/>
              </w:rPr>
              <w:t>101.SCH</w:t>
            </w:r>
          </w:p>
        </w:tc>
        <w:tc>
          <w:tcPr>
            <w:tcW w:w="99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Inline XBRL Taxonomy Extension Schema With Embedded Linkbase Documents.</w:t>
            </w:r>
          </w:p>
        </w:tc>
      </w:tr>
    </w:tbl>
    <w:p>
      <w:pPr>
        <w:spacing w:after="0" w:line="55" w:lineRule="exact"/>
        <w:rPr>
          <w:sz w:val="20"/>
          <w:szCs w:val="20"/>
          <w:color w:val="auto"/>
        </w:rPr>
      </w:pPr>
    </w:p>
    <w:p>
      <w:pPr>
        <w:ind w:left="1260" w:right="100" w:hanging="854"/>
        <w:spacing w:after="0" w:line="258" w:lineRule="auto"/>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 page for the Company’s Quarterly Report on Form 10-Q for the quarter ended September 30, 2026, has been formatted in Inline XBRL.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7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SEACOR Marine Holdings Inc.</w:t>
            </w:r>
          </w:p>
        </w:tc>
      </w:tr>
      <w:tr>
        <w:trPr>
          <w:trHeight w:val="474"/>
        </w:trPr>
        <w:tc>
          <w:tcPr>
            <w:tcW w:w="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Date:</w:t>
            </w:r>
          </w:p>
        </w:tc>
        <w:tc>
          <w:tcPr>
            <w:tcW w:w="3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October 28, 2026</w:t>
            </w:r>
          </w:p>
        </w:tc>
        <w:tc>
          <w:tcPr>
            <w:tcW w:w="3920" w:type="dxa"/>
            <w:vAlign w:val="bottom"/>
          </w:tcPr>
          <w:p>
            <w:pPr>
              <w:ind w:left="3120"/>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John Gellert</w:t>
            </w:r>
          </w:p>
        </w:tc>
      </w:tr>
      <w:tr>
        <w:trPr>
          <w:trHeight w:val="205"/>
        </w:trPr>
        <w:tc>
          <w:tcPr>
            <w:tcW w:w="7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38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rPr>
              <w:t xml:space="preserve">John Gellert, </w:t>
            </w:r>
            <w:r>
              <w:rPr>
                <w:rFonts w:ascii="Times New Roman" w:cs="Times New Roman" w:eastAsia="Times New Roman" w:hAnsi="Times New Roman"/>
                <w:sz w:val="22"/>
                <w:szCs w:val="22"/>
                <w:i w:val="1"/>
                <w:iCs w:val="1"/>
                <w:color w:val="auto"/>
              </w:rPr>
              <w:t>President,</w:t>
            </w:r>
          </w:p>
        </w:tc>
      </w:tr>
      <w:tr>
        <w:trPr>
          <w:trHeight w:val="243"/>
        </w:trPr>
        <w:tc>
          <w:tcPr>
            <w:tcW w:w="7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Chief Executive Officer</w:t>
            </w:r>
          </w:p>
        </w:tc>
      </w:tr>
      <w:tr>
        <w:trPr>
          <w:trHeight w:val="286"/>
        </w:trPr>
        <w:tc>
          <w:tcPr>
            <w:tcW w:w="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Executive Officer)</w:t>
            </w:r>
          </w:p>
        </w:tc>
      </w:tr>
      <w:tr>
        <w:trPr>
          <w:trHeight w:val="474"/>
        </w:trPr>
        <w:tc>
          <w:tcPr>
            <w:tcW w:w="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Date:</w:t>
            </w:r>
          </w:p>
        </w:tc>
        <w:tc>
          <w:tcPr>
            <w:tcW w:w="3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October 28, 2026</w:t>
            </w:r>
          </w:p>
        </w:tc>
        <w:tc>
          <w:tcPr>
            <w:tcW w:w="3920" w:type="dxa"/>
            <w:vAlign w:val="bottom"/>
          </w:tcPr>
          <w:p>
            <w:pPr>
              <w:ind w:left="3120"/>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Jesús Llorca</w:t>
            </w:r>
          </w:p>
        </w:tc>
      </w:tr>
      <w:tr>
        <w:trPr>
          <w:trHeight w:val="205"/>
        </w:trPr>
        <w:tc>
          <w:tcPr>
            <w:tcW w:w="7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38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w w:val="98"/>
              </w:rPr>
              <w:t xml:space="preserve">Jesús Llorca, </w:t>
            </w:r>
            <w:r>
              <w:rPr>
                <w:rFonts w:ascii="Times New Roman" w:cs="Times New Roman" w:eastAsia="Times New Roman" w:hAnsi="Times New Roman"/>
                <w:sz w:val="22"/>
                <w:szCs w:val="22"/>
                <w:i w:val="1"/>
                <w:iCs w:val="1"/>
                <w:color w:val="auto"/>
                <w:w w:val="98"/>
              </w:rPr>
              <w:t>Executive Vice President</w:t>
            </w:r>
          </w:p>
        </w:tc>
      </w:tr>
      <w:tr>
        <w:trPr>
          <w:trHeight w:val="243"/>
        </w:trPr>
        <w:tc>
          <w:tcPr>
            <w:tcW w:w="7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and Chief Financial Officer</w:t>
            </w:r>
          </w:p>
        </w:tc>
      </w:tr>
      <w:tr>
        <w:trPr>
          <w:trHeight w:val="286"/>
        </w:trPr>
        <w:tc>
          <w:tcPr>
            <w:tcW w:w="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Financial Officer)</w:t>
            </w:r>
          </w:p>
        </w:tc>
      </w:tr>
      <w:tr>
        <w:trPr>
          <w:trHeight w:val="474"/>
        </w:trPr>
        <w:tc>
          <w:tcPr>
            <w:tcW w:w="7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Date:</w:t>
            </w:r>
          </w:p>
        </w:tc>
        <w:tc>
          <w:tcPr>
            <w:tcW w:w="32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October 28, 2026</w:t>
            </w:r>
          </w:p>
        </w:tc>
        <w:tc>
          <w:tcPr>
            <w:tcW w:w="3920" w:type="dxa"/>
            <w:vAlign w:val="bottom"/>
          </w:tcPr>
          <w:p>
            <w:pPr>
              <w:ind w:left="3120"/>
              <w:spacing w:after="0"/>
              <w:rPr>
                <w:sz w:val="20"/>
                <w:szCs w:val="20"/>
                <w:color w:val="auto"/>
              </w:rPr>
            </w:pPr>
            <w:r>
              <w:rPr>
                <w:rFonts w:ascii="Times New Roman" w:cs="Times New Roman" w:eastAsia="Times New Roman" w:hAnsi="Times New Roman"/>
                <w:sz w:val="22"/>
                <w:szCs w:val="22"/>
                <w:color w:val="auto"/>
              </w:rPr>
              <w:t>By:</w:t>
            </w:r>
          </w:p>
        </w:tc>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Gregory S. Rossmiller</w:t>
            </w:r>
          </w:p>
        </w:tc>
      </w:tr>
      <w:tr>
        <w:trPr>
          <w:trHeight w:val="205"/>
        </w:trPr>
        <w:tc>
          <w:tcPr>
            <w:tcW w:w="7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380" w:type="dxa"/>
            <w:vAlign w:val="bottom"/>
          </w:tcPr>
          <w:p>
            <w:pPr>
              <w:spacing w:after="0" w:line="205" w:lineRule="exact"/>
              <w:rPr>
                <w:sz w:val="20"/>
                <w:szCs w:val="20"/>
                <w:color w:val="auto"/>
              </w:rPr>
            </w:pPr>
            <w:r>
              <w:rPr>
                <w:rFonts w:ascii="Times New Roman" w:cs="Times New Roman" w:eastAsia="Times New Roman" w:hAnsi="Times New Roman"/>
                <w:sz w:val="22"/>
                <w:szCs w:val="22"/>
                <w:color w:val="auto"/>
              </w:rPr>
              <w:t>Gregory S. Rossmiller,</w:t>
            </w:r>
          </w:p>
        </w:tc>
      </w:tr>
      <w:tr>
        <w:trPr>
          <w:trHeight w:val="243"/>
        </w:trPr>
        <w:tc>
          <w:tcPr>
            <w:tcW w:w="7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Senior Vice President</w:t>
            </w:r>
          </w:p>
        </w:tc>
      </w:tr>
      <w:tr>
        <w:trPr>
          <w:trHeight w:val="243"/>
        </w:trPr>
        <w:tc>
          <w:tcPr>
            <w:tcW w:w="7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and Chief Accounting Officer</w:t>
            </w:r>
          </w:p>
        </w:tc>
      </w:tr>
      <w:tr>
        <w:trPr>
          <w:trHeight w:val="286"/>
        </w:trPr>
        <w:tc>
          <w:tcPr>
            <w:tcW w:w="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(Principal Accounting Officer)</w:t>
            </w:r>
          </w:p>
        </w:tc>
      </w:tr>
      <w:tr>
        <w:trPr>
          <w:trHeight w:val="945"/>
        </w:trPr>
        <w:tc>
          <w:tcPr>
            <w:tcW w:w="7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920" w:type="dxa"/>
            <w:vAlign w:val="bottom"/>
          </w:tcPr>
          <w:p>
            <w:pPr>
              <w:jc w:val="right"/>
              <w:ind w:right="2012"/>
              <w:spacing w:after="0"/>
              <w:rPr>
                <w:sz w:val="20"/>
                <w:szCs w:val="20"/>
                <w:color w:val="auto"/>
              </w:rPr>
            </w:pPr>
            <w:r>
              <w:rPr>
                <w:rFonts w:ascii="Times New Roman" w:cs="Times New Roman" w:eastAsia="Times New Roman" w:hAnsi="Times New Roman"/>
                <w:sz w:val="22"/>
                <w:szCs w:val="22"/>
                <w:color w:val="auto"/>
              </w:rPr>
              <w:t>47</w:t>
            </w:r>
          </w:p>
        </w:tc>
        <w:tc>
          <w:tcPr>
            <w:tcW w:w="3380" w:type="dxa"/>
            <w:vAlign w:val="bottom"/>
          </w:tcPr>
          <w:p>
            <w:pPr>
              <w:spacing w:after="0"/>
              <w:rPr>
                <w:sz w:val="24"/>
                <w:szCs w:val="24"/>
                <w:color w:val="auto"/>
              </w:rPr>
            </w:pPr>
          </w:p>
        </w:tc>
      </w:tr>
      <w:tr>
        <w:trPr>
          <w:trHeight w:val="751"/>
        </w:trPr>
        <w:tc>
          <w:tcPr>
            <w:tcW w:w="7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Gellert, certify that:</w:t>
      </w:r>
    </w:p>
    <w:p>
      <w:pPr>
        <w:spacing w:after="0" w:line="252"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SEACOR Marine Holdings Inc.;</w:t>
      </w:r>
    </w:p>
    <w:p>
      <w:pPr>
        <w:spacing w:after="0" w:line="252"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3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760" w:right="420" w:hanging="752"/>
        <w:spacing w:after="0" w:line="282" w:lineRule="auto"/>
        <w:tabs>
          <w:tab w:leader="none" w:pos="3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500" w:right="40" w:hanging="690"/>
        <w:spacing w:after="0" w:line="266" w:lineRule="auto"/>
        <w:tabs>
          <w:tab w:leader="none" w:pos="11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500" w:right="100" w:hanging="690"/>
        <w:spacing w:after="0" w:line="266" w:lineRule="auto"/>
        <w:tabs>
          <w:tab w:leader="none" w:pos="11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500" w:right="60" w:hanging="690"/>
        <w:spacing w:after="0" w:line="312" w:lineRule="auto"/>
        <w:tabs>
          <w:tab w:leader="none" w:pos="116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500" w:right="180" w:hanging="690"/>
        <w:spacing w:after="0" w:line="266" w:lineRule="auto"/>
        <w:tabs>
          <w:tab w:leader="none" w:pos="11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760" w:right="300" w:hanging="752"/>
        <w:spacing w:after="0" w:line="282" w:lineRule="auto"/>
        <w:tabs>
          <w:tab w:leader="none" w:pos="3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jc w:val="right"/>
        <w:ind w:left="1500" w:right="580" w:hanging="690"/>
        <w:spacing w:after="0" w:line="282" w:lineRule="auto"/>
        <w:tabs>
          <w:tab w:leader="none" w:pos="11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500" w:right="300" w:hanging="690"/>
        <w:spacing w:after="0" w:line="282" w:lineRule="auto"/>
        <w:tabs>
          <w:tab w:leader="none" w:pos="11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John Gellert</w:t>
      </w:r>
    </w:p>
    <w:p>
      <w:pPr>
        <w:spacing w:after="0" w:line="23" w:lineRule="exact"/>
        <w:rPr>
          <w:sz w:val="20"/>
          <w:szCs w:val="20"/>
          <w:color w:val="auto"/>
        </w:rPr>
      </w:pPr>
    </w:p>
    <w:p>
      <w:pPr>
        <w:jc w:val="center"/>
        <w:ind w:left="5600"/>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RULE 15d-14(a),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Jesús Llorca, certify that:</w:t>
      </w:r>
    </w:p>
    <w:p>
      <w:pPr>
        <w:spacing w:after="0" w:line="252"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SEACOR Marine Holdings Inc.;</w:t>
      </w:r>
    </w:p>
    <w:p>
      <w:pPr>
        <w:spacing w:after="0" w:line="252" w:lineRule="exact"/>
        <w:rPr>
          <w:rFonts w:ascii="Times New Roman" w:cs="Times New Roman" w:eastAsia="Times New Roman" w:hAnsi="Times New Roman"/>
          <w:sz w:val="18"/>
          <w:szCs w:val="18"/>
          <w:color w:val="auto"/>
        </w:rPr>
      </w:pPr>
    </w:p>
    <w:p>
      <w:pPr>
        <w:ind w:left="760" w:right="40" w:hanging="752"/>
        <w:spacing w:after="0" w:line="266"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760" w:right="420" w:hanging="752"/>
        <w:spacing w:after="0" w:line="282"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500" w:right="40" w:hanging="690"/>
        <w:spacing w:after="0" w:line="266" w:lineRule="auto"/>
        <w:tabs>
          <w:tab w:leader="none" w:pos="11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500" w:right="100" w:hanging="690"/>
        <w:spacing w:after="0" w:line="266" w:lineRule="auto"/>
        <w:tabs>
          <w:tab w:leader="none" w:pos="11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500" w:right="60" w:hanging="690"/>
        <w:spacing w:after="0" w:line="312" w:lineRule="auto"/>
        <w:tabs>
          <w:tab w:leader="none" w:pos="116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500" w:right="180" w:hanging="690"/>
        <w:spacing w:after="0" w:line="266" w:lineRule="auto"/>
        <w:tabs>
          <w:tab w:leader="none" w:pos="11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760" w:right="300" w:hanging="752"/>
        <w:spacing w:after="0" w:line="282"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jc w:val="right"/>
        <w:ind w:left="1500" w:right="580" w:hanging="690"/>
        <w:spacing w:after="0" w:line="282" w:lineRule="auto"/>
        <w:tabs>
          <w:tab w:leader="none" w:pos="11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500" w:right="300" w:hanging="690"/>
        <w:spacing w:after="0" w:line="282" w:lineRule="auto"/>
        <w:tabs>
          <w:tab w:leader="none" w:pos="11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tab/>
        <w:t>October 28, 2026</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Jesús Llorca</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BY SECTION 906 OF THE SARBANES-OXLEY ACT OF 2002</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September 30, 2026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28, 2026</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Gellert</w:t>
            </w:r>
          </w:p>
        </w:tc>
      </w:tr>
      <w:tr>
        <w:trPr>
          <w:trHeight w:val="189"/>
        </w:trPr>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John Gellert</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6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7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28, 2026</w:t>
            </w:r>
          </w:p>
        </w:tc>
      </w:tr>
    </w:tbl>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Jesús Llorca</w:t>
      </w:r>
    </w:p>
    <w:p>
      <w:pPr>
        <w:spacing w:after="0" w:line="23" w:lineRule="exact"/>
        <w:rPr>
          <w:sz w:val="20"/>
          <w:szCs w:val="20"/>
          <w:color w:val="auto"/>
        </w:rPr>
      </w:pPr>
    </w:p>
    <w:p>
      <w:pPr>
        <w:ind w:left="562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2"/>
    </w:lvl>
  </w:abstractNum>
  <w:abstractNum w:abstractNumId="18">
    <w:nsid w:val="B03E0C6"/>
    <w:multiLevelType w:val="hybridMultilevel"/>
    <w:lvl w:ilvl="0">
      <w:lvlJc w:val="left"/>
      <w:lvlText w:val="%1."/>
      <w:numFmt w:val="decimal"/>
      <w:start w:val="13"/>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3"/>
    </w:lvl>
  </w:abstractNum>
  <w:abstractNum w:abstractNumId="30">
    <w:nsid w:val="6CEAF087"/>
    <w:multiLevelType w:val="hybridMultilevel"/>
    <w:lvl w:ilvl="0">
      <w:lvlJc w:val="left"/>
      <w:lvlText w:val="%1"/>
      <w:numFmt w:val="decimal"/>
      <w:start w:val="104"/>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2026-10-28T15:37:34Z</dcterms:created>
  <dcterms:modified xsi:type="dcterms:W3CDTF">2026-10-28T15:37:34Z</dcterms:modified>
</cp:coreProperties>
</file>