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7" w:lineRule="exact"/>
        <w:rPr>
          <w:sz w:val="24"/>
          <w:szCs w:val="24"/>
          <w:color w:val="auto"/>
        </w:rPr>
      </w:pPr>
    </w:p>
    <w:p>
      <w:pPr>
        <w:ind w:left="4020" w:right="2280" w:hanging="4012"/>
        <w:spacing w:after="0" w:line="261" w:lineRule="auto"/>
        <w:tabs>
          <w:tab w:leader="none" w:pos="3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80" w:type="dxa"/>
            <w:vAlign w:val="bottom"/>
            <w:gridSpan w:val="2"/>
          </w:tcPr>
          <w:p>
            <w:pPr>
              <w:ind w:left="380"/>
              <w:spacing w:after="0"/>
              <w:rPr>
                <w:sz w:val="20"/>
                <w:szCs w:val="20"/>
                <w:color w:val="auto"/>
              </w:rPr>
            </w:pPr>
            <w:r>
              <w:rPr>
                <w:rFonts w:ascii="Arial" w:cs="Arial" w:eastAsia="Arial" w:hAnsi="Arial"/>
                <w:sz w:val="18"/>
                <w:szCs w:val="18"/>
                <w:b w:val="1"/>
                <w:bCs w:val="1"/>
                <w:color w:val="auto"/>
              </w:rPr>
              <w:t>For the transition period from</w:t>
            </w:r>
          </w:p>
        </w:tc>
        <w:tc>
          <w:tcPr>
            <w:tcW w:w="30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100" w:type="dxa"/>
            <w:vAlign w:val="bottom"/>
            <w:gridSpan w:val="5"/>
          </w:tcPr>
          <w:p>
            <w:pPr>
              <w:jc w:val="center"/>
              <w:ind w:right="1550"/>
              <w:spacing w:after="0" w:line="187" w:lineRule="exact"/>
              <w:rPr>
                <w:sz w:val="20"/>
                <w:szCs w:val="20"/>
                <w:color w:val="auto"/>
              </w:rPr>
            </w:pPr>
            <w:r>
              <w:rPr>
                <w:rFonts w:ascii="Arial" w:cs="Arial" w:eastAsia="Arial" w:hAnsi="Arial"/>
                <w:sz w:val="18"/>
                <w:szCs w:val="18"/>
                <w:b w:val="1"/>
                <w:bCs w:val="1"/>
                <w:color w:val="auto"/>
                <w:w w:val="90"/>
              </w:rPr>
              <w:t>Commission file number 1-37966</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5"/>
        </w:trPr>
        <w:tc>
          <w:tcPr>
            <w:tcW w:w="2020" w:type="dxa"/>
            <w:vAlign w:val="bottom"/>
          </w:tcPr>
          <w:p>
            <w:pPr>
              <w:spacing w:after="0"/>
              <w:rPr>
                <w:sz w:val="24"/>
                <w:szCs w:val="24"/>
                <w:color w:val="auto"/>
              </w:rPr>
            </w:pPr>
          </w:p>
        </w:tc>
        <w:tc>
          <w:tcPr>
            <w:tcW w:w="7560" w:type="dxa"/>
            <w:vAlign w:val="bottom"/>
            <w:gridSpan w:val="6"/>
          </w:tcPr>
          <w:p>
            <w:pPr>
              <w:jc w:val="center"/>
              <w:ind w:right="90"/>
              <w:spacing w:after="0"/>
              <w:rPr>
                <w:sz w:val="20"/>
                <w:szCs w:val="20"/>
                <w:color w:val="auto"/>
              </w:rPr>
            </w:pPr>
            <w:r>
              <w:rPr>
                <w:rFonts w:ascii="Arial" w:cs="Arial" w:eastAsia="Arial" w:hAnsi="Arial"/>
                <w:sz w:val="40"/>
                <w:szCs w:val="40"/>
                <w:b w:val="1"/>
                <w:bCs w:val="1"/>
                <w:color w:val="auto"/>
                <w:w w:val="93"/>
              </w:rPr>
              <w:t>SEACOR Marine Holdings Inc.</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100" w:type="dxa"/>
            <w:vAlign w:val="bottom"/>
            <w:gridSpan w:val="5"/>
          </w:tcPr>
          <w:p>
            <w:pPr>
              <w:jc w:val="center"/>
              <w:ind w:right="155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47-2564547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80" w:type="dxa"/>
            <w:vAlign w:val="bottom"/>
            <w:gridSpan w:val="3"/>
            <w:vMerge w:val="continue"/>
          </w:tcPr>
          <w:p>
            <w:pPr>
              <w:spacing w:after="0"/>
              <w:rPr>
                <w:sz w:val="16"/>
                <w:szCs w:val="16"/>
                <w:color w:val="auto"/>
              </w:rPr>
            </w:pP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jc w:val="center"/>
              <w:ind w:right="1890"/>
              <w:spacing w:after="0"/>
              <w:rPr>
                <w:sz w:val="20"/>
                <w:szCs w:val="20"/>
                <w:color w:val="auto"/>
              </w:rPr>
            </w:pPr>
            <w:r>
              <w:rPr>
                <w:rFonts w:ascii="Arial" w:cs="Arial" w:eastAsia="Arial" w:hAnsi="Arial"/>
                <w:sz w:val="18"/>
                <w:szCs w:val="18"/>
                <w:b w:val="1"/>
                <w:bCs w:val="1"/>
                <w:color w:val="auto"/>
                <w:w w:val="91"/>
              </w:rPr>
              <w:t>(State or Other Jurisdiction of</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6560" w:type="dxa"/>
            <w:vAlign w:val="bottom"/>
            <w:gridSpan w:val="4"/>
          </w:tcPr>
          <w:p>
            <w:pPr>
              <w:jc w:val="center"/>
              <w:ind w:right="1890"/>
              <w:spacing w:after="0"/>
              <w:rPr>
                <w:sz w:val="20"/>
                <w:szCs w:val="20"/>
                <w:color w:val="auto"/>
              </w:rPr>
            </w:pPr>
            <w:r>
              <w:rPr>
                <w:rFonts w:ascii="Arial" w:cs="Arial" w:eastAsia="Arial" w:hAnsi="Arial"/>
                <w:sz w:val="18"/>
                <w:szCs w:val="18"/>
                <w:b w:val="1"/>
                <w:bCs w:val="1"/>
                <w:color w:val="auto"/>
                <w:w w:val="93"/>
              </w:rPr>
              <w:t>Incorporation or Organization)</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2"/>
              </w:rPr>
              <w:t>Identification No.)</w:t>
            </w:r>
          </w:p>
        </w:tc>
        <w:tc>
          <w:tcPr>
            <w:tcW w:w="0" w:type="dxa"/>
            <w:vAlign w:val="bottom"/>
          </w:tcPr>
          <w:p>
            <w:pPr>
              <w:spacing w:after="0"/>
              <w:rPr>
                <w:sz w:val="1"/>
                <w:szCs w:val="1"/>
                <w:color w:val="auto"/>
              </w:rPr>
            </w:pPr>
          </w:p>
        </w:tc>
      </w:tr>
      <w:tr>
        <w:trPr>
          <w:trHeight w:val="432"/>
        </w:trPr>
        <w:tc>
          <w:tcPr>
            <w:tcW w:w="6560" w:type="dxa"/>
            <w:vAlign w:val="bottom"/>
            <w:gridSpan w:val="4"/>
          </w:tcPr>
          <w:p>
            <w:pPr>
              <w:jc w:val="center"/>
              <w:ind w:right="1890"/>
              <w:spacing w:after="0"/>
              <w:rPr>
                <w:sz w:val="20"/>
                <w:szCs w:val="20"/>
                <w:color w:val="auto"/>
              </w:rPr>
            </w:pPr>
            <w:r>
              <w:rPr>
                <w:rFonts w:ascii="Arial" w:cs="Arial" w:eastAsia="Arial" w:hAnsi="Arial"/>
                <w:sz w:val="18"/>
                <w:szCs w:val="18"/>
                <w:b w:val="1"/>
                <w:bCs w:val="1"/>
                <w:color w:val="auto"/>
                <w:w w:val="91"/>
              </w:rPr>
              <w:t>12121 Wickchester Lane, Suite 500, Houston, TX</w:t>
            </w:r>
          </w:p>
        </w:tc>
        <w:tc>
          <w:tcPr>
            <w:tcW w:w="30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77079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4"/>
          </w:tcPr>
          <w:p>
            <w:pPr>
              <w:jc w:val="center"/>
              <w:ind w:right="1890"/>
              <w:spacing w:after="0"/>
              <w:rPr>
                <w:sz w:val="20"/>
                <w:szCs w:val="20"/>
                <w:color w:val="auto"/>
              </w:rPr>
            </w:pPr>
            <w:r>
              <w:rPr>
                <w:rFonts w:ascii="Arial" w:cs="Arial" w:eastAsia="Arial" w:hAnsi="Arial"/>
                <w:sz w:val="18"/>
                <w:szCs w:val="18"/>
                <w:b w:val="1"/>
                <w:bCs w:val="1"/>
                <w:color w:val="auto"/>
                <w:w w:val="90"/>
              </w:rPr>
              <w:t>(Address of Principal Executive Office)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(Zip Code)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756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(346) 980-1700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14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Title of Each Class</w:t>
            </w:r>
          </w:p>
        </w:tc>
        <w:tc>
          <w:tcPr>
            <w:tcW w:w="308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20" w:type="dxa"/>
            <w:vAlign w:val="bottom"/>
            <w:tcBorders>
              <w:bottom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7"/>
        </w:trPr>
        <w:tc>
          <w:tcPr>
            <w:tcW w:w="6560" w:type="dxa"/>
            <w:vAlign w:val="bottom"/>
            <w:gridSpan w:val="4"/>
          </w:tcPr>
          <w:p>
            <w:pPr>
              <w:jc w:val="center"/>
              <w:ind w:right="970"/>
              <w:spacing w:after="0"/>
              <w:rPr>
                <w:sz w:val="20"/>
                <w:szCs w:val="20"/>
                <w:color w:val="auto"/>
              </w:rPr>
            </w:pPr>
            <w:r>
              <w:rPr>
                <w:rFonts w:ascii="Arial" w:cs="Arial" w:eastAsia="Arial" w:hAnsi="Arial"/>
                <w:sz w:val="18"/>
                <w:szCs w:val="18"/>
                <w:b w:val="1"/>
                <w:bCs w:val="1"/>
                <w:color w:val="auto"/>
                <w:w w:val="90"/>
              </w:rPr>
              <w:t>Common Stock, par value $.01 per share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414"/>
        </w:trPr>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Securities registered pursuant to Section 12(g) of the Act: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None</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80" w:type="dxa"/>
            <w:vAlign w:val="bottom"/>
          </w:tcPr>
          <w:p>
            <w:pPr>
              <w:jc w:val="center"/>
              <w:ind w:left="210"/>
              <w:spacing w:after="0" w:line="188" w:lineRule="exact"/>
              <w:rPr>
                <w:sz w:val="20"/>
                <w:szCs w:val="20"/>
                <w:color w:val="auto"/>
              </w:rPr>
            </w:pPr>
            <w:r>
              <w:rPr>
                <w:rFonts w:ascii="Arial" w:cs="Arial" w:eastAsia="Arial" w:hAnsi="Arial"/>
                <w:sz w:val="18"/>
                <w:szCs w:val="18"/>
                <w:b w:val="1"/>
                <w:bCs w:val="1"/>
                <w:color w:val="auto"/>
                <w:w w:val="90"/>
              </w:rPr>
              <w:t>(Title of Class)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6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16"/>
        </w:trPr>
        <w:tc>
          <w:tcPr>
            <w:tcW w:w="9580" w:type="dxa"/>
            <w:vAlign w:val="bottom"/>
            <w:gridSpan w:val="7"/>
          </w:tcPr>
          <w:p>
            <w:pPr>
              <w:ind w:left="340"/>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9580" w:type="dxa"/>
            <w:vAlign w:val="bottom"/>
            <w:gridSpan w:val="7"/>
          </w:tcPr>
          <w:p>
            <w:pPr>
              <w:ind w:left="340"/>
              <w:spacing w:after="0" w:line="207" w:lineRule="exact"/>
              <w:rPr>
                <w:sz w:val="20"/>
                <w:szCs w:val="20"/>
                <w:color w:val="auto"/>
              </w:rPr>
            </w:pPr>
            <w:r>
              <w:rPr>
                <w:rFonts w:ascii="Arial" w:cs="Arial" w:eastAsia="Arial" w:hAnsi="Arial"/>
                <w:sz w:val="18"/>
                <w:szCs w:val="18"/>
                <w:color w:val="auto"/>
                <w:w w:val="92"/>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8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jc w:val="both"/>
        <w:ind w:firstLine="324"/>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ind w:firstLine="324"/>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ind w:firstLine="324"/>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92" w:right="239" w:bottom="596" w:gutter="0" w:footer="0" w:header="0"/>
        </w:sectPr>
      </w:pP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34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48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8">
            <w:col w:w="1620" w:space="140"/>
            <w:col w:w="160" w:space="720"/>
            <w:col w:w="1220" w:space="120"/>
            <w:col w:w="160" w:space="640"/>
            <w:col w:w="1520" w:space="140"/>
            <w:col w:w="200" w:space="720"/>
            <w:col w:w="1600" w:space="720"/>
            <w:col w:w="1740"/>
          </w:cols>
          <w:pgMar w:left="240" w:top="692" w:right="239" w:bottom="596" w:gutter="0" w:footer="0" w:header="0"/>
          <w:type w:val="continuous"/>
        </w:sectPr>
      </w:pPr>
    </w:p>
    <w:p>
      <w:pPr>
        <w:spacing w:after="0" w:line="11" w:lineRule="exact"/>
        <w:rPr>
          <w:sz w:val="24"/>
          <w:szCs w:val="24"/>
          <w:color w:val="auto"/>
        </w:rPr>
      </w:pPr>
    </w:p>
    <w:p>
      <w:pPr>
        <w:ind w:right="40" w:firstLine="64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340"/>
        <w:spacing w:after="0" w:line="207" w:lineRule="exact"/>
        <w:tabs>
          <w:tab w:leader="none" w:pos="93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6" w:lineRule="exact"/>
        <w:rPr>
          <w:sz w:val="24"/>
          <w:szCs w:val="24"/>
          <w:color w:val="auto"/>
        </w:rPr>
      </w:pPr>
    </w:p>
    <w:p>
      <w:pPr>
        <w:jc w:val="both"/>
        <w:ind w:firstLine="324"/>
        <w:spacing w:after="0" w:line="321" w:lineRule="auto"/>
        <w:rPr>
          <w:sz w:val="20"/>
          <w:szCs w:val="20"/>
          <w:color w:val="auto"/>
        </w:rPr>
      </w:pPr>
      <w:r>
        <w:rPr>
          <w:rFonts w:ascii="Arial" w:cs="Arial" w:eastAsia="Arial" w:hAnsi="Arial"/>
          <w:sz w:val="16"/>
          <w:szCs w:val="16"/>
          <w:color w:val="auto"/>
        </w:rPr>
        <w:t>The aggregate market value of the voting stock of the registrant held by non-affiliates as of June 29, 2018 was approximately $437,851,121 based on the closing price on the New York Stock Exchange on such date. The total number of shares of Common Stock outstanding as of March 1, 2019 was 21,043,080.</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Portions of the Registrant's definitive proxy statement for its 2019 Annual Meeting of Stockholders to be filed with the Securities and Exchange Commission (the "Commission") pursuant to Regulation 14A within 120 days after the end of the Registrant's last fiscal year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596"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2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rPr>
              <w:t>SEACOR MARINE HOLDINGS INC.</w:t>
            </w:r>
          </w:p>
        </w:tc>
        <w:tc>
          <w:tcPr>
            <w:tcW w:w="13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rPr>
              <w:t>FORM 10-K</w:t>
            </w:r>
          </w:p>
        </w:tc>
        <w:tc>
          <w:tcPr>
            <w:tcW w:w="136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80" w:type="dxa"/>
            <w:vAlign w:val="bottom"/>
            <w:gridSpan w:val="3"/>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r>
      <w:tr>
        <w:trPr>
          <w:trHeight w:val="634"/>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8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8"/>
              </w:rPr>
              <w:t>PART I</w:t>
            </w:r>
          </w:p>
        </w:tc>
        <w:tc>
          <w:tcPr>
            <w:tcW w:w="1360" w:type="dxa"/>
            <w:vAlign w:val="bottom"/>
          </w:tcPr>
          <w:p>
            <w:pPr>
              <w:spacing w:after="0"/>
              <w:rPr>
                <w:sz w:val="24"/>
                <w:szCs w:val="24"/>
                <w:color w:val="auto"/>
              </w:rPr>
            </w:pPr>
          </w:p>
        </w:tc>
      </w:tr>
      <w:tr>
        <w:trPr>
          <w:trHeight w:val="190"/>
        </w:trPr>
        <w:tc>
          <w:tcPr>
            <w:tcW w:w="82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00" w:type="dxa"/>
            <w:vAlign w:val="bottom"/>
            <w:gridSpan w:val="19"/>
          </w:tcPr>
          <w:p>
            <w:pPr>
              <w:spacing w:after="0"/>
              <w:rPr>
                <w:sz w:val="16"/>
                <w:szCs w:val="16"/>
                <w:color w:val="auto"/>
              </w:rPr>
            </w:pPr>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412"/>
        </w:trPr>
        <w:tc>
          <w:tcPr>
            <w:tcW w:w="82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00" w:type="dxa"/>
            <w:vAlign w:val="bottom"/>
            <w:gridSpan w:val="1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820" w:type="dxa"/>
            <w:vAlign w:val="bottom"/>
          </w:tcPr>
          <w:p>
            <w:pPr>
              <w:spacing w:after="0"/>
              <w:rPr>
                <w:sz w:val="24"/>
                <w:szCs w:val="24"/>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Government Regulation</w:t>
              </w:r>
            </w:hyperlink>
          </w:p>
        </w:tc>
        <w:tc>
          <w:tcPr>
            <w:tcW w:w="7500" w:type="dxa"/>
            <w:vAlign w:val="bottom"/>
            <w:gridSpan w:val="1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2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Industry Hazards and Insurance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820" w:type="dxa"/>
            <w:vAlign w:val="bottom"/>
          </w:tcPr>
          <w:p>
            <w:pPr>
              <w:spacing w:after="0"/>
              <w:rPr>
                <w:sz w:val="24"/>
                <w:szCs w:val="24"/>
                <w:color w:val="auto"/>
              </w:rPr>
            </w:pPr>
          </w:p>
        </w:tc>
        <w:tc>
          <w:tcPr>
            <w:tcW w:w="8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Employees</w:t>
              </w:r>
            </w:hyperlink>
          </w:p>
        </w:tc>
        <w:tc>
          <w:tcPr>
            <w:tcW w:w="1480" w:type="dxa"/>
            <w:vAlign w:val="bottom"/>
            <w:tcBorders>
              <w:top w:val="single" w:sz="8" w:color="0000EE"/>
            </w:tcBorders>
            <w:gridSpan w:val="8"/>
          </w:tcPr>
          <w:p>
            <w:pPr>
              <w:spacing w:after="0"/>
              <w:rPr>
                <w:sz w:val="24"/>
                <w:szCs w:val="24"/>
                <w:color w:val="auto"/>
              </w:rPr>
            </w:pPr>
          </w:p>
        </w:tc>
        <w:tc>
          <w:tcPr>
            <w:tcW w:w="6960" w:type="dxa"/>
            <w:vAlign w:val="bottom"/>
            <w:gridSpan w:val="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8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1B.</w:t>
            </w:r>
          </w:p>
        </w:tc>
        <w:tc>
          <w:tcPr>
            <w:tcW w:w="92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7200" w:type="dxa"/>
            <w:vAlign w:val="bottom"/>
            <w:gridSpan w:val="10"/>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900" w:type="dxa"/>
            <w:vAlign w:val="bottom"/>
            <w:gridSpan w:val="15"/>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Executive Officers of the Registrant</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8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8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rPr>
              <w:t>PART II</w:t>
            </w:r>
          </w:p>
        </w:tc>
        <w:tc>
          <w:tcPr>
            <w:tcW w:w="136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Market for Registrant's Common Equity, Related Stockholder Matters and Issuer Purchases of Equity Securities</w:t>
              </w:r>
            </w:hyperlink>
          </w:p>
        </w:tc>
        <w:tc>
          <w:tcPr>
            <w:tcW w:w="1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24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Management's Discussion and Analysis of Financial Condition and Results of Operations</w:t>
              </w:r>
            </w:hyperlink>
          </w:p>
        </w:tc>
        <w:tc>
          <w:tcPr>
            <w:tcW w:w="280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82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Overview</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9240" w:type="dxa"/>
            <w:vAlign w:val="bottom"/>
            <w:gridSpan w:val="21"/>
          </w:tcPr>
          <w:p>
            <w:pPr>
              <w:spacing w:after="0"/>
              <w:rPr>
                <w:sz w:val="20"/>
                <w:szCs w:val="20"/>
                <w:color w:val="auto"/>
              </w:rPr>
            </w:pPr>
            <w:r>
              <w:rPr>
                <w:rFonts w:ascii="Arial" w:cs="Arial" w:eastAsia="Arial" w:hAnsi="Arial"/>
                <w:sz w:val="18"/>
                <w:szCs w:val="18"/>
                <w:color w:val="0000EE"/>
              </w:rPr>
              <w:t>Recent Developments</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20" w:type="dxa"/>
            <w:vAlign w:val="bottom"/>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34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Trends Affecting the Offshore Marine Business</w:t>
              </w:r>
            </w:hyperlink>
          </w:p>
        </w:tc>
        <w:tc>
          <w:tcPr>
            <w:tcW w:w="58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820" w:type="dxa"/>
            <w:vAlign w:val="bottom"/>
          </w:tcPr>
          <w:p>
            <w:pPr>
              <w:spacing w:after="0"/>
              <w:rPr>
                <w:sz w:val="24"/>
                <w:szCs w:val="24"/>
                <w:color w:val="auto"/>
              </w:rPr>
            </w:pPr>
          </w:p>
        </w:tc>
        <w:tc>
          <w:tcPr>
            <w:tcW w:w="34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Certain Components of Revenues and Expenses</w:t>
              </w:r>
            </w:hyperlink>
          </w:p>
        </w:tc>
        <w:tc>
          <w:tcPr>
            <w:tcW w:w="578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820" w:type="dxa"/>
            <w:vAlign w:val="bottom"/>
          </w:tcPr>
          <w:p>
            <w:pPr>
              <w:spacing w:after="0"/>
              <w:rPr>
                <w:sz w:val="24"/>
                <w:szCs w:val="24"/>
                <w:color w:val="auto"/>
              </w:rPr>
            </w:pPr>
          </w:p>
        </w:tc>
        <w:tc>
          <w:tcPr>
            <w:tcW w:w="25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Results of Operations</w:t>
              </w:r>
            </w:hyperlink>
          </w:p>
        </w:tc>
        <w:tc>
          <w:tcPr>
            <w:tcW w:w="6680" w:type="dxa"/>
            <w:vAlign w:val="bottom"/>
            <w:gridSpan w:val="7"/>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820" w:type="dxa"/>
            <w:vAlign w:val="bottom"/>
          </w:tcPr>
          <w:p>
            <w:pPr>
              <w:spacing w:after="0"/>
              <w:rPr>
                <w:sz w:val="24"/>
                <w:szCs w:val="24"/>
                <w:color w:val="auto"/>
              </w:rPr>
            </w:pPr>
          </w:p>
        </w:tc>
        <w:tc>
          <w:tcPr>
            <w:tcW w:w="924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Liquidity and Capital Resources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820" w:type="dxa"/>
            <w:vAlign w:val="bottom"/>
          </w:tcPr>
          <w:p>
            <w:pPr>
              <w:spacing w:after="0" w:line="20" w:lineRule="exact"/>
              <w:rPr>
                <w:sz w:val="1"/>
                <w:szCs w:val="1"/>
                <w:color w:val="auto"/>
              </w:rPr>
            </w:pPr>
          </w:p>
        </w:tc>
        <w:tc>
          <w:tcPr>
            <w:tcW w:w="2320" w:type="dxa"/>
            <w:vAlign w:val="bottom"/>
            <w:gridSpan w:val="1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28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Debt Securities and Credit Agreements</w:t>
              </w:r>
            </w:hyperlink>
          </w:p>
        </w:tc>
        <w:tc>
          <w:tcPr>
            <w:tcW w:w="6420" w:type="dxa"/>
            <w:vAlign w:val="bottom"/>
            <w:gridSpan w:val="5"/>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8860" w:type="dxa"/>
            <w:vAlign w:val="bottom"/>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Effects of Inflation</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820" w:type="dxa"/>
            <w:vAlign w:val="bottom"/>
          </w:tcPr>
          <w:p>
            <w:pPr>
              <w:spacing w:after="0"/>
              <w:rPr>
                <w:sz w:val="24"/>
                <w:szCs w:val="24"/>
                <w:color w:val="auto"/>
              </w:rPr>
            </w:pPr>
          </w:p>
        </w:tc>
        <w:tc>
          <w:tcPr>
            <w:tcW w:w="1360" w:type="dxa"/>
            <w:vAlign w:val="bottom"/>
            <w:tcBorders>
              <w:top w:val="single" w:sz="8" w:color="0000EE"/>
            </w:tcBorders>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Contingencies</w:t>
              </w:r>
            </w:hyperlink>
          </w:p>
        </w:tc>
        <w:tc>
          <w:tcPr>
            <w:tcW w:w="7500" w:type="dxa"/>
            <w:vAlign w:val="bottom"/>
            <w:gridSpan w:val="1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9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Related Party Transactions</w:t>
              </w:r>
            </w:hyperlink>
          </w:p>
        </w:tc>
        <w:tc>
          <w:tcPr>
            <w:tcW w:w="692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820" w:type="dxa"/>
            <w:vAlign w:val="bottom"/>
          </w:tcPr>
          <w:p>
            <w:pPr>
              <w:spacing w:after="0"/>
              <w:rPr>
                <w:sz w:val="24"/>
                <w:szCs w:val="24"/>
                <w:color w:val="auto"/>
              </w:rPr>
            </w:pPr>
          </w:p>
        </w:tc>
        <w:tc>
          <w:tcPr>
            <w:tcW w:w="8860" w:type="dxa"/>
            <w:vAlign w:val="bottom"/>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Critical Accounting Policies and Estimates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Quantitative and Qualitative Disclosures About Market Risk</w:t>
              </w:r>
            </w:hyperlink>
          </w:p>
        </w:tc>
        <w:tc>
          <w:tcPr>
            <w:tcW w:w="450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8.</w:t>
            </w:r>
          </w:p>
        </w:tc>
        <w:tc>
          <w:tcPr>
            <w:tcW w:w="8860" w:type="dxa"/>
            <w:vAlign w:val="bottom"/>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8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9A.</w:t>
            </w:r>
          </w:p>
        </w:tc>
        <w:tc>
          <w:tcPr>
            <w:tcW w:w="8860" w:type="dxa"/>
            <w:vAlign w:val="bottom"/>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100" w:type="dxa"/>
            <w:vAlign w:val="bottom"/>
            <w:gridSpan w:val="1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3"/>
        </w:trPr>
        <w:tc>
          <w:tcPr>
            <w:tcW w:w="8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4"/>
          </w:tcPr>
          <w:p>
            <w:pPr>
              <w:ind w:left="180"/>
              <w:spacing w:after="0"/>
              <w:rPr>
                <w:sz w:val="20"/>
                <w:szCs w:val="20"/>
                <w:color w:val="auto"/>
              </w:rPr>
            </w:pPr>
            <w:r>
              <w:rPr>
                <w:rFonts w:ascii="Arial" w:cs="Arial" w:eastAsia="Arial" w:hAnsi="Arial"/>
                <w:sz w:val="18"/>
                <w:szCs w:val="18"/>
                <w:b w:val="1"/>
                <w:bCs w:val="1"/>
                <w:color w:val="auto"/>
              </w:rPr>
              <w:t>PART III</w:t>
            </w:r>
          </w:p>
        </w:tc>
        <w:tc>
          <w:tcPr>
            <w:tcW w:w="174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Directors, Executive Officers and Corporate Governance</w:t>
              </w:r>
            </w:hyperlink>
          </w:p>
        </w:tc>
        <w:tc>
          <w:tcPr>
            <w:tcW w:w="4760" w:type="dxa"/>
            <w:vAlign w:val="bottom"/>
            <w:gridSpan w:val="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11.</w:t>
            </w:r>
          </w:p>
        </w:tc>
        <w:tc>
          <w:tcPr>
            <w:tcW w:w="886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2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Security Ownership of Certain Beneficial Owners and Management and Related Stockholder Matters</w:t>
              </w:r>
            </w:hyperlink>
          </w:p>
        </w:tc>
        <w:tc>
          <w:tcPr>
            <w:tcW w:w="1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Certain Relationships and Related Transactions, and Director Independence</w:t>
              </w:r>
            </w:hyperlink>
          </w:p>
        </w:tc>
        <w:tc>
          <w:tcPr>
            <w:tcW w:w="340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14.</w:t>
            </w:r>
          </w:p>
        </w:tc>
        <w:tc>
          <w:tcPr>
            <w:tcW w:w="886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Principal Accounting Fees and Services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53"/>
        </w:trPr>
        <w:tc>
          <w:tcPr>
            <w:tcW w:w="8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4"/>
          </w:tcPr>
          <w:p>
            <w:pPr>
              <w:ind w:left="180"/>
              <w:spacing w:after="0"/>
              <w:rPr>
                <w:sz w:val="20"/>
                <w:szCs w:val="20"/>
                <w:color w:val="auto"/>
              </w:rPr>
            </w:pPr>
            <w:r>
              <w:rPr>
                <w:rFonts w:ascii="Arial" w:cs="Arial" w:eastAsia="Arial" w:hAnsi="Arial"/>
                <w:sz w:val="18"/>
                <w:szCs w:val="18"/>
                <w:b w:val="1"/>
                <w:bCs w:val="1"/>
                <w:color w:val="auto"/>
              </w:rPr>
              <w:t>PART IV</w:t>
            </w:r>
          </w:p>
        </w:tc>
        <w:tc>
          <w:tcPr>
            <w:tcW w:w="174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Exhibits, Financial Statement Schedules</w:t>
              </w:r>
            </w:hyperlink>
          </w:p>
        </w:tc>
        <w:tc>
          <w:tcPr>
            <w:tcW w:w="596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Unless the context indicates otherwise, the terms "we," "our," "ours," "us," "its" and the "Company" refer to SEACOR Marine Holdings Inc. and its consolidated subsidiaries. "SEACOR Marine" refers to SEACOR Marine Holdings Inc., incorporated in 2014 in Delaware, without its subsidiaries. "Common Stock" refers to the common stock, </w:t>
      </w:r>
      <w:r>
        <w:rPr>
          <w:rFonts w:ascii="Arial" w:cs="Arial" w:eastAsia="Arial" w:hAnsi="Arial"/>
          <w:sz w:val="16"/>
          <w:szCs w:val="16"/>
          <w:i w:val="1"/>
          <w:iCs w:val="1"/>
          <w:color w:val="auto"/>
        </w:rPr>
        <w:t>par value</w:t>
      </w:r>
      <w:r>
        <w:rPr>
          <w:rFonts w:ascii="Arial" w:cs="Arial" w:eastAsia="Arial" w:hAnsi="Arial"/>
          <w:sz w:val="16"/>
          <w:szCs w:val="16"/>
          <w:color w:val="auto"/>
        </w:rPr>
        <w:t xml:space="preserve"> $.01 per share, of SEACOR Marine. The Company's fiscal year ends on December 31 of each year.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SEACOR Marine's principal executive office is located at 12121 Wickchester Lane, Suite 500, Houston, Texas 77079, and its telephone number is</w:t>
      </w:r>
    </w:p>
    <w:p>
      <w:pPr>
        <w:spacing w:after="0" w:line="46" w:lineRule="exact"/>
        <w:rPr>
          <w:sz w:val="20"/>
          <w:szCs w:val="20"/>
          <w:color w:val="auto"/>
        </w:rPr>
      </w:pPr>
    </w:p>
    <w:p>
      <w:pPr>
        <w:ind w:firstLine="8"/>
        <w:spacing w:after="0" w:line="261"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980-1700. SEACOR Marine's website address is </w:t>
      </w:r>
      <w:r>
        <w:rPr>
          <w:rFonts w:ascii="Arial" w:cs="Arial" w:eastAsia="Arial" w:hAnsi="Arial"/>
          <w:sz w:val="18"/>
          <w:szCs w:val="18"/>
          <w:i w:val="1"/>
          <w:iCs w:val="1"/>
          <w:color w:val="auto"/>
        </w:rPr>
        <w:t>www.seacormarine.com</w:t>
      </w:r>
      <w:r>
        <w:rPr>
          <w:rFonts w:ascii="Arial" w:cs="Arial" w:eastAsia="Arial" w:hAnsi="Arial"/>
          <w:sz w:val="18"/>
          <w:szCs w:val="18"/>
          <w:color w:val="auto"/>
        </w:rPr>
        <w:t>. Any reference to SEACOR Marine's website is not intended to incorporate the information on the website into this Annual Report on Form 10-K.</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corporate governance documents, including the Board of Directors' Audit Committee, Compensation Committee and Nominating and Corporate Governance Committee charters are available, free of charge, on SEACOR Marine's website or in print for stockholders.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All of the Company's periodic reports filed with the Securities and Exchange Commission ("SEC") pursuant to Section 13(a), 14 or 15(d) of the Securities Exchange Act of 1934, as amended, are available, free of charge, on SEACOR Marine's website, including its Annual Reports on Form 10-K, Quarterly Reports on Form 10-Q, Current Reports on Form 8-K, Proxy Statements and any amendments to those reports. These reports and amendments are available on SEACOR Marine's website as soon as reasonably practicable after the Company electronically files the reports or amendments with the SEC. They are also available at the SEC's Public Reference Room at 100 F Street, N.E., Washington, D.C. 20549. Information as to the operation of the SEC's Public Reference Room can be obtained by calling the SEC at 1-800-SEC-0330. The SEC maintains a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these reports, proxy and information statements and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provides global marine and support transportation services to offshore oil, natural gas and windfarm facilities worldwide. The Company and its joint ventures operate and manage a diverse fleet of offshore support and specialty vessels that (i) deliver cargo and personnel to offshore installations, (ii) handle anchors and mooring equipment required to tether rigs to the seabed, (iii) tow rigs and assist in placing them on location and moving them between regions, (iv) provide construction, well work-over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discussion of risk and economic factors that may impact the Company's financial position and its results of operations, see "Item 1A. Risk Factors" and "Item 7. Management's Discussion and Analysis of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Equipment and Services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identify the types of vessels that comprise the Company's fleet as of December 31 for the indicated years. "Owned" are majority owned and controlled by the Company. "Joint-Ventured" are owned or operated by entities in which the Company does not have a controlling interest. "Leased-in" may either be vessels contracted from leasing companies to which the Company may have sold such vessels or vessels chartered-in from other third-party owners. "Managed" are owned by entities not affiliated with the Company but operated by the Company for a fee. A description of vessel classes follows this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Joint-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Owned Fleet</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xml:space="preserve">Owned </w:t>
            </w:r>
            <w:r>
              <w:rPr>
                <w:rFonts w:ascii="Arial" w:cs="Arial" w:eastAsia="Arial" w:hAnsi="Arial"/>
                <w:sz w:val="30"/>
                <w:szCs w:val="30"/>
                <w:b w:val="1"/>
                <w:bCs w:val="1"/>
                <w:color w:val="auto"/>
                <w:vertAlign w:val="superscript"/>
              </w:rPr>
              <w:t>(1)</w:t>
            </w:r>
          </w:p>
        </w:tc>
        <w:tc>
          <w:tcPr>
            <w:tcW w:w="1180" w:type="dxa"/>
            <w:vAlign w:val="bottom"/>
            <w:gridSpan w:val="2"/>
            <w:vMerge w:val="continue"/>
          </w:tcPr>
          <w:p>
            <w:pPr>
              <w:spacing w:after="0"/>
              <w:rPr>
                <w:sz w:val="16"/>
                <w:szCs w:val="16"/>
                <w:color w:val="auto"/>
              </w:rPr>
            </w:pPr>
          </w:p>
        </w:tc>
        <w:tc>
          <w:tcPr>
            <w:tcW w:w="11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Leased - in</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6"/>
                <w:szCs w:val="16"/>
                <w:color w:val="auto"/>
              </w:rPr>
            </w:pPr>
          </w:p>
        </w:tc>
        <w:tc>
          <w:tcPr>
            <w:tcW w:w="10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2"/>
              </w:rPr>
              <w:t>U.S.-</w:t>
            </w: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Foreign-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Ventured</w:t>
            </w:r>
          </w:p>
        </w:tc>
        <w:tc>
          <w:tcPr>
            <w:tcW w:w="920" w:type="dxa"/>
            <w:vAlign w:val="bottom"/>
          </w:tcPr>
          <w:p>
            <w:pPr>
              <w:jc w:val="right"/>
              <w:ind w:right="291"/>
              <w:spacing w:after="0"/>
              <w:rPr>
                <w:sz w:val="20"/>
                <w:szCs w:val="20"/>
                <w:color w:val="auto"/>
              </w:rPr>
            </w:pPr>
            <w:r>
              <w:rPr>
                <w:rFonts w:ascii="Arial" w:cs="Arial" w:eastAsia="Arial" w:hAnsi="Arial"/>
                <w:sz w:val="15"/>
                <w:szCs w:val="15"/>
                <w:b w:val="1"/>
                <w:bCs w:val="1"/>
                <w:color w:val="auto"/>
              </w:rPr>
              <w:t>(1)</w:t>
            </w: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Managed</w:t>
            </w: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Flag</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Flag</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auto"/>
            </w:tcBorders>
            <w:gridSpan w:val="2"/>
            <w:shd w:val="clear" w:color="auto" w:fill="CCEEFF"/>
          </w:tcPr>
          <w:p>
            <w:pPr>
              <w:jc w:val="center"/>
              <w:spacing w:after="0" w:line="250" w:lineRule="exact"/>
              <w:rPr>
                <w:sz w:val="20"/>
                <w:szCs w:val="20"/>
                <w:color w:val="auto"/>
              </w:rPr>
            </w:pPr>
            <w:r>
              <w:rPr>
                <w:rFonts w:ascii="Arial" w:cs="Arial" w:eastAsia="Arial" w:hAnsi="Arial"/>
                <w:sz w:val="17"/>
                <w:szCs w:val="17"/>
                <w:b w:val="1"/>
                <w:bCs w:val="1"/>
                <w:color w:val="auto"/>
                <w:w w:val="88"/>
              </w:rPr>
              <w:t>2018</w:t>
            </w:r>
            <w:r>
              <w:rPr>
                <w:rFonts w:ascii="Arial" w:cs="Arial" w:eastAsia="Arial" w:hAnsi="Arial"/>
                <w:sz w:val="28"/>
                <w:szCs w:val="28"/>
                <w:b w:val="1"/>
                <w:bCs w:val="1"/>
                <w:color w:val="auto"/>
                <w:w w:val="88"/>
                <w:vertAlign w:val="superscript"/>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AHTS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FSV</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Supply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Standby safety</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Specialty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Liftboats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Crew transfer</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tcBorders>
              <w:top w:val="single" w:sz="8" w:color="CCEEFF"/>
              <w:bottom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b w:val="1"/>
                <w:bCs w:val="1"/>
                <w:color w:val="auto"/>
                <w:w w:val="89"/>
              </w:rPr>
              <w:t>2017</w:t>
            </w: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AHTS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FSV</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Supply</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Standby safety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Specialty</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Liftboats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Crew transfer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tcBorders>
              <w:bottom w:val="single" w:sz="8" w:color="auto"/>
            </w:tcBorders>
            <w:gridSpan w:val="2"/>
            <w:shd w:val="clear" w:color="auto" w:fill="CCEEFF"/>
          </w:tcPr>
          <w:p>
            <w:pPr>
              <w:jc w:val="center"/>
              <w:ind w:right="20"/>
              <w:spacing w:after="0" w:line="196" w:lineRule="exact"/>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AHTS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FSV</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Supply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Standby safety</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Specialty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Liftboats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Crew transfer</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Borders>
              <w:top w:val="single" w:sz="8" w:color="CCEEFF"/>
              <w:bottom w:val="single" w:sz="8" w:color="auto"/>
            </w:tcBorders>
          </w:tcPr>
          <w:p>
            <w:pPr>
              <w:spacing w:after="0"/>
              <w:rPr>
                <w:sz w:val="3"/>
                <w:szCs w:val="3"/>
                <w:color w:val="auto"/>
              </w:rPr>
            </w:pPr>
          </w:p>
        </w:tc>
        <w:tc>
          <w:tcPr>
            <w:tcW w:w="148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40" w:type="dxa"/>
            <w:vAlign w:val="bottom"/>
            <w:tcBorders>
              <w:top w:val="single" w:sz="8" w:color="CCEEFF"/>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60" w:type="dxa"/>
            <w:vAlign w:val="bottom"/>
            <w:tcBorders>
              <w:top w:val="single" w:sz="8" w:color="CCEEFF"/>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40" w:type="dxa"/>
            <w:vAlign w:val="bottom"/>
            <w:tcBorders>
              <w:top w:val="single" w:sz="8" w:color="CCEEFF"/>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0" w:type="dxa"/>
            <w:vAlign w:val="bottom"/>
            <w:tcBorders>
              <w:top w:val="single" w:sz="8" w:color="CCEEFF"/>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0" w:type="dxa"/>
            <w:vAlign w:val="bottom"/>
            <w:tcBorders>
              <w:top w:val="single" w:sz="8" w:color="CCEEFF"/>
            </w:tcBorders>
          </w:tcPr>
          <w:p>
            <w:pPr>
              <w:spacing w:after="0"/>
              <w:rPr>
                <w:sz w:val="3"/>
                <w:szCs w:val="3"/>
                <w:color w:val="auto"/>
              </w:rPr>
            </w:pPr>
          </w:p>
        </w:tc>
        <w:tc>
          <w:tcPr>
            <w:tcW w:w="80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40" w:type="dxa"/>
            <w:vAlign w:val="bottom"/>
            <w:tcBorders>
              <w:top w:val="single" w:sz="8" w:color="CCEEFF"/>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0" w:type="dxa"/>
            <w:vAlign w:val="bottom"/>
            <w:tcBorders>
              <w:top w:val="single" w:sz="8" w:color="CCEEFF"/>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six owned and one leased-in offshore support vessels retired and removed from service as of December 31, 2018.</w:t>
      </w:r>
    </w:p>
    <w:p>
      <w:pPr>
        <w:jc w:val="both"/>
        <w:ind w:left="660" w:right="20" w:hanging="652"/>
        <w:spacing w:after="0" w:line="255"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of December 31, 2018, 53 of the Company's owned and leased-in vessels were outfitted with dynamic positioning ("DP") systems. DP systems enable vessels to maintain a fixed position in close proximity to a rig or platform. The most technologically advanced DP systems have enhanced redundancy in the vessel's power, electrical, computer and reference systems enabling vessels to maintain accurate position-keeping even in the event of failure of one of those systems ("DP-2") and, in some cases, in the event of fire and flood ("DP-3").</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Anchor handling towing supply </w:t>
      </w:r>
      <w:r>
        <w:rPr>
          <w:rFonts w:ascii="Arial" w:cs="Arial" w:eastAsia="Arial" w:hAnsi="Arial"/>
          <w:sz w:val="17"/>
          <w:szCs w:val="17"/>
          <w:color w:val="auto"/>
        </w:rPr>
        <w:t>("AHTS") vessels are used primarily to support offshore drilling activities by towing, positioning and mooring</w:t>
      </w:r>
      <w:r>
        <w:rPr>
          <w:rFonts w:ascii="Arial" w:cs="Arial" w:eastAsia="Arial" w:hAnsi="Arial"/>
          <w:sz w:val="17"/>
          <w:szCs w:val="17"/>
          <w:i w:val="1"/>
          <w:iCs w:val="1"/>
          <w:color w:val="auto"/>
        </w:rPr>
        <w:t xml:space="preserve"> </w:t>
      </w:r>
      <w:r>
        <w:rPr>
          <w:rFonts w:ascii="Arial" w:cs="Arial" w:eastAsia="Arial" w:hAnsi="Arial"/>
          <w:sz w:val="17"/>
          <w:szCs w:val="17"/>
          <w:color w:val="auto"/>
        </w:rPr>
        <w:t>drilling rigs and other marine equipment. AHTS vessels are also used to carry and launch equipment such as remote operated vehicles ("ROVs") used underwater in drilling and well installation, maintenance, and repair and transport supplies and equipment from shore bases to offshore drilling rigs, platforms and other installations, including windfarm installations. The defining characteristics of AHTS vessels are: (i) horsepower ("bhp"); (ii) bollard pull, which is the pulling capacity of the AHTS vessel and is important for towing and positioning rigs; (iii) size of winch in terms of "line pull;" and (iv) wire storage capacity. The Company's fleet of AHTS vessels has varying capabilities and supports offshore mooring activities in water depths ranging from 300 to 8,000 feet. Most modern AHTS vessels are equipped with DP systems and can also carry drilling fluids and cement below-deck. As of December 31, 2018, 10 of the 12 owned and leased-in AHTS vessels were equipped with DP-2 and two were equipped with DP-1.</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Fast support </w:t>
      </w:r>
      <w:r>
        <w:rPr>
          <w:rFonts w:ascii="Arial" w:cs="Arial" w:eastAsia="Arial" w:hAnsi="Arial"/>
          <w:sz w:val="16"/>
          <w:szCs w:val="16"/>
          <w:color w:val="auto"/>
        </w:rPr>
        <w:t>vessels ("FSVs") are lightweight, aluminum hull vessels used primarily to move cargo and personnel to and from offshore drilling rigs,</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and other installations at greater speeds than traditional steel hull support vessels. FSVs can be catamaran or mono-hull vessels ranging from 130 to 210 feet in length and capable of speeds between 20 to 45 knots with capacities to carry special cargo, support both drilling operations and production services and transport passengers. FSVs built within the last ten years are sometimes equipped with DP-2 systems, firefighting equipment and ride control systems for greater comfort and performance. As of December 31, 2018, 22 of the 33 owned and leased-in FSVs were equipped with DP-2, five were equipped with DP-1, and two were equipped with DP-3. The Company's FSV fleet includes vessels that have a passenger capacity of 36 to 150 and, on certain newer FSVs, include reclining seating, ambient lighting and other features to enhance comfort and marketability for passenger transport.</w:t>
      </w:r>
    </w:p>
    <w:p>
      <w:pPr>
        <w:sectPr>
          <w:pgSz w:w="11900" w:h="16838" w:orient="portrait"/>
          <w:cols w:equalWidth="0" w:num="1">
            <w:col w:w="11420"/>
          </w:cols>
          <w:pgMar w:left="240" w:top="118"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Supply </w:t>
      </w:r>
      <w:r>
        <w:rPr>
          <w:rFonts w:ascii="Arial" w:cs="Arial" w:eastAsia="Arial" w:hAnsi="Arial"/>
          <w:sz w:val="18"/>
          <w:szCs w:val="18"/>
          <w:color w:val="auto"/>
        </w:rPr>
        <w:t>vessels generally range from 190 to more than 300 feet in length and are primarily used to deliver cargo such as drilling fluids, liquid mud,</w:t>
      </w:r>
      <w:r>
        <w:rPr>
          <w:rFonts w:ascii="Arial" w:cs="Arial" w:eastAsia="Arial" w:hAnsi="Arial"/>
          <w:sz w:val="18"/>
          <w:szCs w:val="18"/>
          <w:i w:val="1"/>
          <w:iCs w:val="1"/>
          <w:color w:val="auto"/>
        </w:rPr>
        <w:t xml:space="preserve"> </w:t>
      </w:r>
      <w:r>
        <w:rPr>
          <w:rFonts w:ascii="Arial" w:cs="Arial" w:eastAsia="Arial" w:hAnsi="Arial"/>
          <w:sz w:val="18"/>
          <w:szCs w:val="18"/>
          <w:color w:val="auto"/>
        </w:rPr>
        <w:t>methanol, diesel fuel and water to rigs and platforms where drilling and work-over activity is underway. These vessels are capable of being modified for a wide variety of other uses and missions, including, but not limited to, construction support typically when fitted with a crane, standby, security, firefighting, accommodation, and limited towing and anchor handling when fitted with a winch. Relevant differentiating features of supply vessels are total carrying capacity (expressed as deadweight: "dwt"), available area of clear deck space, below-deck capacity for storage of mud and cement used in the drilling process, tank storage for water and fuel oil, fuel efficiency and accommodation capacity. Additional factors in the commercial marketability of supply vessels are operating draft because certain markets are limited in the size of vessel that can work safely, local flag preference, cabotage requirements and regulations. To improve station keeping ability, many modern supply vessels have DP systems capabilities. As of December 31, 2018, six of the seven owned supply vessels were equipped with DP-2.</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Standby safety </w:t>
      </w:r>
      <w:r>
        <w:rPr>
          <w:rFonts w:ascii="Arial" w:cs="Arial" w:eastAsia="Arial" w:hAnsi="Arial"/>
          <w:sz w:val="18"/>
          <w:szCs w:val="18"/>
          <w:color w:val="auto"/>
        </w:rPr>
        <w:t>vessels typically remain on location proximate to offshore rigs and production facilities to respond to emergencies. These vessels</w:t>
      </w:r>
      <w:r>
        <w:rPr>
          <w:rFonts w:ascii="Arial" w:cs="Arial" w:eastAsia="Arial" w:hAnsi="Arial"/>
          <w:sz w:val="18"/>
          <w:szCs w:val="18"/>
          <w:i w:val="1"/>
          <w:iCs w:val="1"/>
          <w:color w:val="auto"/>
        </w:rPr>
        <w:t xml:space="preserve"> </w:t>
      </w:r>
      <w:r>
        <w:rPr>
          <w:rFonts w:ascii="Arial" w:cs="Arial" w:eastAsia="Arial" w:hAnsi="Arial"/>
          <w:sz w:val="18"/>
          <w:szCs w:val="18"/>
          <w:color w:val="auto"/>
        </w:rPr>
        <w:t>carry special equipment to rescue personnel and are equipped to provide first aid and shelter. These vessels sometimes perform a dual role, also functioning as supply vessels.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Specialty </w:t>
      </w:r>
      <w:r>
        <w:rPr>
          <w:rFonts w:ascii="Arial" w:cs="Arial" w:eastAsia="Arial" w:hAnsi="Arial"/>
          <w:sz w:val="16"/>
          <w:szCs w:val="16"/>
          <w:color w:val="auto"/>
        </w:rPr>
        <w:t>vessels include anchor handling tugs, accommodation, line handling and other vessels. These vessels generally have specialized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adapting them to specific applications including offshore maintenance and construction services, freight hauling services and accommodation services.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Liftboats </w:t>
      </w:r>
      <w:r>
        <w:rPr>
          <w:rFonts w:ascii="Arial" w:cs="Arial" w:eastAsia="Arial" w:hAnsi="Arial"/>
          <w:sz w:val="18"/>
          <w:szCs w:val="18"/>
          <w:color w:val="auto"/>
        </w:rPr>
        <w:t>provide a self-propelled, stable platform to perform production platform construction, inspection, maintenance and removal, well</w:t>
      </w:r>
      <w:r>
        <w:rPr>
          <w:rFonts w:ascii="Arial" w:cs="Arial" w:eastAsia="Arial" w:hAnsi="Arial"/>
          <w:sz w:val="18"/>
          <w:szCs w:val="18"/>
          <w:i w:val="1"/>
          <w:iCs w:val="1"/>
          <w:color w:val="auto"/>
        </w:rPr>
        <w:t xml:space="preserve"> </w:t>
      </w:r>
      <w:r>
        <w:rPr>
          <w:rFonts w:ascii="Arial" w:cs="Arial" w:eastAsia="Arial" w:hAnsi="Arial"/>
          <w:sz w:val="18"/>
          <w:szCs w:val="18"/>
          <w:color w:val="auto"/>
        </w:rPr>
        <w:t>intervention and work-over, well production enhancement, well plug and abandonment, pipeline installation and maintenance and diving operations. The length of jacking legs (200 feet to 335 feet for the Company's liftboats) determines the water depth in which these vessels can work. Other differentiating features are crane lifting capacity and reach, clear deck area, electrical generating power and accommodation capacity. Liftboats are used primarily in domestic and international markets including the U.S. Gulf of Mexico, West Africa, Mexico and the Middle East. As of December 31, 2018, three of the 19 owned and leased-in liftboats were equipped with DP-2 and one liftboat with DP-1.</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Crew transfer </w:t>
      </w:r>
      <w:r>
        <w:rPr>
          <w:rFonts w:ascii="Arial" w:cs="Arial" w:eastAsia="Arial" w:hAnsi="Arial"/>
          <w:sz w:val="17"/>
          <w:szCs w:val="17"/>
          <w:color w:val="auto"/>
        </w:rPr>
        <w:t>vessels (referred to as windfarm utility vessels in the Company's prior public filings) are used primarily to move personnel and</w:t>
      </w:r>
      <w:r>
        <w:rPr>
          <w:rFonts w:ascii="Arial" w:cs="Arial" w:eastAsia="Arial" w:hAnsi="Arial"/>
          <w:sz w:val="17"/>
          <w:szCs w:val="17"/>
          <w:i w:val="1"/>
          <w:iCs w:val="1"/>
          <w:color w:val="auto"/>
        </w:rPr>
        <w:t xml:space="preserve"> </w:t>
      </w:r>
      <w:r>
        <w:rPr>
          <w:rFonts w:ascii="Arial" w:cs="Arial" w:eastAsia="Arial" w:hAnsi="Arial"/>
          <w:sz w:val="17"/>
          <w:szCs w:val="17"/>
          <w:color w:val="auto"/>
        </w:rPr>
        <w:t>supplies to offshore wind farms. There are two main types of the Company's vessels; Windcats and Windspeeds. The Windcat series feature a catamaran hull with flush foredeck, providing a stable platform from which personnel can safely transfer to turbine towers, and are capable of speeds between 25 and 31 knots. The Windspeed series are rapid response vessels with a maximum speed of 38 knots, which are used for light work during the construction and operational periods of offshore wind farms. All of the Company's crew transfer vessels have been built since 2005.</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its existing fleet, the Company has new construction projects in progress, as of December 31, 2018, for 12 offshore support vessels, including</w:t>
      </w:r>
    </w:p>
    <w:p>
      <w:pPr>
        <w:spacing w:after="0" w:line="170"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U.S.-flag, DP-2 FSVs scheduled for delivery between the first quarter of 2019 and the second quarter of 2020;</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two U.S.-flag, DP-2 FSVs with uncertain delivery dates as the Company, at its option, may defer their construction for an indefinite period of time;</w:t>
      </w:r>
    </w:p>
    <w:p>
      <w:pPr>
        <w:spacing w:after="0" w:line="248" w:lineRule="exact"/>
        <w:rPr>
          <w:rFonts w:ascii="Arial" w:cs="Arial" w:eastAsia="Arial" w:hAnsi="Arial"/>
          <w:sz w:val="16"/>
          <w:szCs w:val="16"/>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U.S.-flag, DP-2 supply vessels scheduled for delivery between the first quarter of 2019 and first quarter of 2020;</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foreign-flag, crew transfer vessels scheduled for delivery between the first and second quarters of 2019;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three foreign-flag, platform supply vessels ("PSVs") scheduled for delivery between the third quarter of 2019 and the second quarter of 2020.</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new U.S.-built equipment will meet the U.S. Environmental Protection Agency ("EPA") Tier III environmental regulations with respect to nitrous oxide ("NOx") emissions from marine diesel engines. Vessels whose keel was laid after January 1, 2016 will have to meet EPA Tier IV environmental regulations, which the Company believes will add significant expense to the new construction of offshore support vessels and may possibly be beyond current design capabilities.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its fleet in five principal geographic regions: the United States, primarily in the Gulf of Mexico; Africa, primarily in West Africa; the Middle East and Asia; Brazil, Mexico, Central and South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table below sets forth vessel types by geographic market as of December 31 for the indicated years. The Company sometimes participates in joint venture arrangements in certain geographical locations in order to enhance marketing capabilities and facilitate operations in certain foreign markets allowing for the expansion of its fleet and operations while diversifying risks and reducing capital outlays associated with such expansion.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United States, primarily U.S. Gulf of Mexico:</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AHTS</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FSV</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Supply</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Liftboats</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Africa, primarily West Africa:</w:t>
            </w: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AHTS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FSV</w:t>
            </w: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Specialty</w:t>
            </w:r>
          </w:p>
        </w:tc>
        <w:tc>
          <w:tcPr>
            <w:tcW w:w="17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Middle East and Asia:</w:t>
            </w: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AHTS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FSV</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Specialty</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Liftboats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Crew transfer</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Brazil, Mexico, Central and South America:</w:t>
            </w: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FSV</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Supply</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Liftboats</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Europe, primarily North Sea:</w:t>
            </w: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Standby safety</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Crew transfer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Foreign Fleet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Fleet</w:t>
            </w:r>
          </w:p>
        </w:tc>
        <w:tc>
          <w:tcPr>
            <w:tcW w:w="1500" w:type="dxa"/>
            <w:vAlign w:val="bottom"/>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United States, primarily U.S. Gulf of Mexico. </w:t>
      </w:r>
      <w:r>
        <w:rPr>
          <w:rFonts w:ascii="Arial" w:cs="Arial" w:eastAsia="Arial" w:hAnsi="Arial"/>
          <w:sz w:val="18"/>
          <w:szCs w:val="18"/>
          <w:color w:val="auto"/>
        </w:rPr>
        <w:t>As of December 31, 2018, 35 vessels were located in the U.S. Gulf of Mexico, including 25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leased-in, three joint-ventured and two managed. The Company's vessels in this market support deepwater anchor handling, fast cargo transport, general cargo transport, well intervention, work-over, decommissioning and diving operations.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Africa, primarily West Africa. </w:t>
      </w:r>
      <w:r>
        <w:rPr>
          <w:rFonts w:ascii="Arial" w:cs="Arial" w:eastAsia="Arial" w:hAnsi="Arial"/>
          <w:sz w:val="17"/>
          <w:szCs w:val="17"/>
          <w:color w:val="auto"/>
        </w:rPr>
        <w:t>As of December 31, 2018, 18 vessels were located in West Africa, including 13 owned, two leased-in, two joint-ventured and one managed. The Company's vessels in this area generally support projects for major oil companies, primarily in Angola.</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Middle East and Asia. </w:t>
      </w:r>
      <w:r>
        <w:rPr>
          <w:rFonts w:ascii="Arial" w:cs="Arial" w:eastAsia="Arial" w:hAnsi="Arial"/>
          <w:sz w:val="17"/>
          <w:szCs w:val="17"/>
          <w:color w:val="auto"/>
        </w:rPr>
        <w:t>As of December 31, 2018, 30 vessels were located in the Middle East and Asia, including 22 owned, four joint-ventured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four managed. The Company's vessels in this area generally support exploration, personnel transport and seasonal construction activities in Egypt, Israel, Malaysia, Vietnam, Thailand and countries along the Arabian Gulf and Arabian Sea, such as Saudi Arabia, the United Arab Emirates and Qatar.</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Brazil, Mexico, Central and South America. </w:t>
      </w:r>
      <w:r>
        <w:rPr>
          <w:rFonts w:ascii="Arial" w:cs="Arial" w:eastAsia="Arial" w:hAnsi="Arial"/>
          <w:sz w:val="18"/>
          <w:szCs w:val="18"/>
          <w:color w:val="auto"/>
        </w:rPr>
        <w:t>As of December 31, 2018, 34 vessels were located in this region, including seven owned and 27 joint-ventured through the Company's 49% noncontrolling interest in Mantenimiento Express Maritimo, S.A.P.I. de C.V. ("MexMar") and through a subsidiary of the Company's 49% noncontrolling interest in MEXMAR Offshore International LLC ("MEXMAR Offshore"). These vessels, consisting of a fleet of FSVs, supply, specialty and liftboat vessels, provide support for exploration and production activities in Mexico, Brazil and Guyana. From time to time, the Company's vessels work in Trinidad and Tobago, Colombia and Venezuela.</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Europe, primarily North Sea. </w:t>
      </w:r>
      <w:r>
        <w:rPr>
          <w:rFonts w:ascii="Arial" w:cs="Arial" w:eastAsia="Arial" w:hAnsi="Arial"/>
          <w:sz w:val="17"/>
          <w:szCs w:val="17"/>
          <w:color w:val="auto"/>
        </w:rPr>
        <w:t>As of December 31, 2018, 22 non-wind farm related vessels were located in Europe providing standby safety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supply services, including 18 owned and four joint-ventured. Demand for standby services developed in 1991 after the United Kingdom passed legislation requiring offshore operators to maintain higher specification standby safety vessels. The legislation requires a vessel to "stand by" to provide a means of evacuation and rescue for platform and rig personnel in the event of an emergency at an offshore installation. In addition, 40 vessels were located in this region supporting the construction and maintenance of offshore wind turbines, including 36 owned and four joint ventured.</w:t>
      </w:r>
    </w:p>
    <w:p>
      <w:pPr>
        <w:sectPr>
          <w:pgSz w:w="11900" w:h="16838" w:orient="portrait"/>
          <w:cols w:equalWidth="0" w:num="1">
            <w:col w:w="11420"/>
          </w:cols>
          <w:pgMar w:left="240" w:top="118" w:right="239" w:bottom="165"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65"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demand for the Company's fleet can fluctuate with weather conditions because maintenance, construction and decommissioning activities are planned during times of the year with more favorable weather conditions. Seasonality is most pronounced for the liftboat fleet in the U.S. Gulf of Mexico, offshore support vessels in the Middle East and crew transfer vessels in the North Sea, with peak demand normally occurring during the summer months. As a consequence of this seasonality, the Company typically schedules drydockings or other repair and maintenance activity during the winter months.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Customers and Contractual Arrangements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principal customers are major integrated national and international oil companies, independent oil and natural gas exploration and production companies, as well as wind farm operations and installation and maintenance companies. Consolidation of oil and natural gas companies through mergers and acquisitions over the past several years has reduced the Company's customer base. This, together with the depressed oil and gas price environment that began in 2014 has negatively affected exploration, field development and production activity as consolidated companies generally focus, at least initially, on increasing efficiency and reducing costs and delay or abandon exploration activity and facilities with less promise. During the year ended December 31, 2018, one customer, Perenco UK Limited, was responsible for 10% or more of the Company's consolidated operating revenues. The Company's ten largest customers accounted for approximately 47% of its operating revenues in 2018. The loss of one or more of these customers could have a material adverse effect on the Company's business, financial position, results of operations and cash flows.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earns revenues primarily from the time charter and bareboat charter of vessels to customers based upon daily rates of hire. Therefore,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 of operation. In the U.S. Gulf of Mexico, time charter durations and rates are typically established in the context of master service agreements that govern the terms and conditions of the charter. From time to time, the Company may also participate in pooling arrangements whereby the time charter revenues of certain of the Company's vessels are shared with the time charter revenues of certain vessels of similar type owned by non-affiliated vessel owners based upon an agreed formula.</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Contract or charter durations may range from several days to several years. Longer duration charters are more common where equipment is not as readily available or specific equipment is required. In the North Sea, multi-year charters have been more common and constitute a significant portion of that market. Time charters in Asia have historically been less common and generally contracts or charters have terms of less than two years. In the Company's other operating areas, charters vary in length from short-term to multi-year periods, many with cancellation clauses and no early termination penalty. As a result of options and frequent renewals, the stated duration of charters may have little correlation with the length of time the vessel is actually contracted to provide services to a particular customer.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Competitive Conditions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for offshore marine services is highly fragmented and competitive depending upon the region of operation. The most important competitive factors are pricing, availability and specifications of equipment to fit customer requirements. Other important factors include service, reputation, flag preference, local marine operating conditions, the ability to provide and maintain logistical support given the complexity of a project and the cost of moving equipment from one geographic region to another.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numerous competitors in each of the geographic regions in which it operates, ranging from international companies that operate in many regions to smaller local companies that typically concentrate their activities in one specific region.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of Foreign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2018, 2017, and 2016, 79%, 87% and 85%, respectively, of the Company's operating revenues and $(1.3) million, $1.9 million, and $(4.2) million, respectively, of the Company's equity in earnings (losses) from 50% or less owned companies, net of tax, were derived from its foreign operations.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Foreign operations are subject to inherent risks, which, if they materialize, could have a material adverse effect on the Company's business, financial position, results of operations, cash flows or growth prospects. See the risk factors regarding international operations in "Item 1A. Risk Factors."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ownership, operation, construction and staffing of vessels is subject to significant regulation under various international, federal, state and local laws and regulations and pursuant to international conventions, including international conventions and ship registry laws of the nations under which the Company's vessels are flagged, especially with respect to regulatory matters, health, safety and environmental protection and vessel and port security.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Domestically registered vessels are subject to the jurisdiction of the United States Coast Guard ("USCG"), the National Transportation Safety Board ("NTSB"), the U.S. Customs and Border Protection ("CBP"), EPA and the U.S. Maritime Administration, as well as in certain instances applicable state and local laws. The Company's operations may, from time to time, also fall under the jurisdiction of the U.S. Bureau of Safety and Environmental Enforcement ("BSEE") and its Safety and Environmental Management System regulations, and the Company must also periodically certify that its maritime operations adhere to those regulations. These agencies and organizations establish safety requirements and standards and are authorized to investigate vessels and accidents and to recommend improved maritime safety standards.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subject to regulation under the Jones Act and related U.S. cabotage laws, which restrict ownership and operation of vessels in the U.S. coastwise trade (i.e., trade between points in the United States), including the transportation of cargo. Subject to limited exceptions, the Jones Act requires that vessels engaged in U.S. coastwise trade be built in the United States, registered under the U.S.-flag, manned by predominantly U.S. crews, and be owned and operated by U.S. citizens within the meaning of the Jones Act. Violation of the Jones Act could prohibit operation of vessels in the U.S. coastwise trade during the period of such non-compliance, result in material fines and subject Company vessels to seizure and forfeiture.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facilitate compliance with the Jones Act, the Company's Second Amended and Restated Certificate of Incorporation and Second Amended and Restated By-Laws: (i) limit the aggregate percentage ownership by non-U.S. citizens of any class of the Company's capital stock (including Common Stock) to 22.5% of the outstanding shares of each such class to ensure that ownership by non-U.S. citizens will not exceed the maximum percentage permitted by applicable maritime law (presently 25%) but authorize the Company's Board of Directors, under certain circumstances, to increase the foregoing percentage to 24%; (ii) require institution of a dual stock certification system to help determine such ownership; (iii) provide that any issuance or transfer of shares in excess of such permitted percentage shall be ineffective as against the Company and that neither the Company nor its transfer agent shall register such purported issuance or transfer of shares or be required to recognize the purported transferee or owner as a stockholder of the Company for any purpose whatsoever except to exercise its remedies; (iv) provide that any such excess shares shall not have any voting or dividend rights; (v) permit the Company to redeem any such excess shares; and (vi) permit the Board of Directors to make such reasonable determinations as may be necessary to ascertain such ownership and implement such limitations. In addition, the Company's Second Amended and Restated By-Laws limit the number of non-U.S. citizens that may serve as directors and restrict any non-U.S. citizen officer from acting in the absence or disability of the Chairman of the Board of Directors, the Chief Executive Officer or the President. For more information, see the Company’s Second Amended and Restated Certificate of Incorporation and Second Amended and Restated By-Laws.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operates vessels that are registered in the United States as well as in a number of foreign jurisdictions. Vessels are subject to the laws of the applicable jurisdiction as to ownership, registration, manning, environmental protection and safety. Vessels operated as standby safety vessels in the North Sea are subject to the requirements of the Department of Transport of the United Kingdom pursuant to the United Kingdom Safety Act. In addition, the Company's vessels are subject to the requirements of a number of international conventions, as amended, that are applicable to vessels depending on their jurisdiction of registration. Among the more significant of these conventions are: (i) the International Convention for the Prevention of Pollution from Ships, 1973, as modified by the Protocol of 1978 relating thereto ("MARPOL"); (ii) the International Convention for the Safety of Life at Sea, 1974 and 1978 Protocols ("SOLAS"); and (iii) the International Convention on Standards of Training, Certification and Watchkeeping for Seafarers ("STCW").</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Maritime Labour Convention, 2006 (the "MLC") establishes comprehensive minimum requirements for working conditions of seafarers including, among other things, conditions of employment, hours of work and rest, grievance and complaints procedures, accommodations, recreational facilities, food and catering, health protection, medical care, welfare, and social security protection. The MLC defines seafarer to include all persons engaged in work on a vessel in addition to the vessel's crew. Under this MLC definition, the Company may be responsible for proving that customer and contractor personnel aboard its vessels have contracts of employment that comply with the MLC requirements. The Company could also be responsible for salaries and/or benefits of third-parties that may board one of its vessels. The MLC requires certain vessels that engage in international trade to maintain a valid Maritime Labour Certificate issued by their flag administration. Although the United States is not a party to the MLC, U.S.-flag vessels operating internationally must comply with the MLC when visiting a port in a country that is a party to the MLC. The Company has developed and implemented a fleetwide plan designed to comply with the MLC to the extent applicable to its vessels.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hull and machinery of most commercial vessels are classed by an international classification society authorized by its country of registry and subject to survey and inspection by shipping regulatory bodies. The international classification society certifies that a vessel is maintained in accordance with the applicable rules and regulations of the country of registry of the vessel and the United Nations Safety of Life at Sea Conventions. Certain of the Company's vessels are subject to the periodic inspection, survey, drydocking and maintenance requirements of the USCG, the American Bureau of Shipping and other marine classification societies.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Merchant Marine Act of 1936, the Company's U.S.-flagged vessels will be subject to repositioning by the U.S. Government under certain terms and conditions during a national emergency as described further in the risk factor under the heading "The Company's U.S.-flag vessels are subject to requisition for ownership or use by the United States in case of national emergency or national defense need" under Item 1A of this Annual Report on Form 10-K.</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the USCG, the EPA, the U.S. Department of Transportation's Office of Pipeline Safety, the BSEE and certain individual U.S. states regulate vessels and other structures in accordance with the requirements of the Oil Pollution Act of 1990 ("OPA 90") or analogous state law. There is currently little uniformity among the regulations issued by these agencies, which increases the Company's compliance costs and risk of non-compliance.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the Company faces some risk when responding to third-party oil spills, a responder engaged in emergency and crisis activities has immunity from liability under U.S. federal law and all U.S. coastal state laws for any spills arising from its response efforts, except in the event of death or personal injury or as a result of its gross negligence or willful misconduct. The Company may also have derivative immunity when working under the orders of a Federal On Scene Coordinator.</w:t>
      </w:r>
    </w:p>
    <w:p>
      <w:pPr>
        <w:sectPr>
          <w:pgSz w:w="11900" w:h="16838" w:orient="portrait"/>
          <w:cols w:equalWidth="0" w:num="1">
            <w:col w:w="11420"/>
          </w:cols>
          <w:pgMar w:left="240" w:top="118" w:right="239" w:bottom="0" w:gutter="0" w:footer="0" w:header="0"/>
        </w:sectPr>
      </w:pPr>
    </w:p>
    <w:bookmarkStart w:id="9" w:name="page10"/>
    <w:bookmarkEnd w:id="9"/>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subject to extensive federal, state, local and international environmental and safety laws and regulations and to comprehensive international conventions, including laws and regulations related to the discharge of oil and pollutants into waters regulated thereunder. Violations of these laws may result in civil and criminal penalties, fines, injunctions, or other sanctions.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does not expect that it will be required to make capital expenditures in the near future to comply with environmental laws and regulations that would have a material adverse effect on its financial position, results of operations, cash flows or growth prospects; however, because such laws and regulations frequently change and may impose increasingly strict requirements, the Company cannot predict the ultimate cost of complying with these laws and regulations.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OPA 90 establishes a regulatory and liability regime for the protection of the environment from oil spills. OPA 90 applies to owners and operators of facilities operating near navigable waters of the United States and owners, operators and bareboat charterers of vessels operating in U.S. waters, which include the navigable waters of the United States and the 200-mile exclusive economic zone around the United States (the "EEZ"). For purposes of its liability limits and financial responsibility and response planning requirements, OPA 90 differentiates between tank vessels (such as chemical and petroleum product vessels and liquid tank barges) and "other vessels" (such as the Company's offshore support vessels).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OPA 90, owners and operators of regulated facilities and owners and operators or bareboat charterers of vessels are "responsible parties" and may be jointly, severally and strictly liable for removal costs and damages arising from facility and vessel oil spills or threatened spills up to certain limits of liability as discussed below. Damages are defined broadly to include: (i) injury to natural resources and the costs of remediation thereof; (ii) injury to, or economic losses resulting from, the destruction of real and personal property; (iii) net loss by various governmental bodies, of taxes, royalties, rents, fees and profits; (iv) lost profits or impairment of earning capacity due to property or natural resources damage; (v) net costs of providing increased or additional public services necessitated by a spill response, such as protection from fire or other hazards or taking additional safety precautions; and (vi) loss of subsistence use of available natural resources.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OPA 90 limits liability for responsible parties for non-tank vessels, such as the Company's, to the greater of $1,100 per gross ton or $939,800. These liability limits do not apply (a) if an incident is caused by the responsible party's violation of federal safety, construction or operating regulations or by the responsible party's gross negligence or willful misconduct, (b) if the responsible party fails to report the incident or to provide reasonable cooperation and assistance in connection with oil removal activities as required by a responsible official or (c) if the responsible party fails to comply with an order issued under OPA 90.</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OPA 90 requires vessel owners and operators to establish and maintain with the USCG evidence of insurance or qualification as a self-insurer or other evidence of financial responsibility sufficient to meet their potential liabilities under OPA 90. The Company has satisfied USCG regulations by providing evidence of financial responsibility demonstrated by commercial insurance and self-insurance. OPA 90 regulations also implement the financial responsibility requirements of the Comprehensive Environmental Response, Compensation and Liability Act ("CERCLA"), which imposes liability for any discharge of hazardous substances, similar to OPA 90, and provides compensation for cleanup, removal and natural resource damages. Liability per vessel under CERCLA is limited to the greater of $300 per gross ton or $5 million, unless the incident is caused by gross negligence, willful misconduct, or a violation of certain regulations, in which case liability is unlimited.</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Nontank Vessel Response Plan Final Rule, owners and operators of nontank vessels are required to prepare Nontank Vessel Response Plans. The Company expects its current pollution liability insurance to cover spill removal costs, subject to coverage deductibles and limitations, including a cap of $1.0 billion. There could be a material adverse effect on the Company's business, financial position, results of operations, cash flows or growth prospects if the Company incurs spill liability under circumstances in which the insurance carrier fails or refuses to provide coverage or the loss exceeds the Company's coverage limitations.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MARPOL is the main international convention covering prevention of pollution of the marine environment by vessels from operational or accidental discharges. It is implemented in the United States pursuant to the Act to Prevent Pollution from Ships. Since the 1990s, the Department of Justice ("DOJ") has been aggressively enforcing U.S. criminal laws against vessel owners, operators, managers, crew members, shore side personnel, and corporate officers related to violations of MARPOL. Violations have related to pollution prevention devices, such as the oily-water separator, and include falsifying records, obstructing justice, and making false statements. In certain cases, responsible shipboard officers and shoreside officials have been sentenced to prison. In addition, the DOJ has required most defendants to implement a comprehensive environmental compliance plan ("ECP") or risk losing the ability to trade in U.S. waters. If the Company is subjected to a DOJ prosecution, it could suffer significant adverse effects, including substantial criminal penalties and defense costs, reputation damages and costs associated with the implementation of an ECP.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Clean Water Act ("CWA") prohibits the discharge of "pollutants" into the navigable waters of the United States. The CWA also prohibits the discharge of oil or hazardous substances, into navigable waters of the United States and the EEZ around the United States and imposes civil and criminal penalties for unauthorized discharges, thereby exposing the Company to liability that is in addition to liability arising under OPA 90 and CERCLA.</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CWA also established the National Pollutant Discharge Elimination System ("NPDES") permitting program, which governs discharges of pollutants into navigable waters of the United States. Pursuant to the NPDES permitting program, the EPA has issued Vessel General Permits covering discharges incidental to normal vessel operations. The EPA issued the 2013 Vessel General Permit (“2013 VGP”) on April 12, 2013 with an effective five-year period of December 19, 2013 to December 18, 2018. In light of the legislation described below, the 2013 VGP continues to apply to U.S.-flag and foreign-flag commercial vessels that are at least 79 feet in length and operate within the three-mile territorial sea of the United States. The 2013 VGP requires vessel owners and operators to adhere to "best management practices" to manage the covered discharges that occur normally in the operation of a vessel, including ballast water, and implements various training, inspection, monitoring, record keeping, and reporting requirements, as well as corrective actions upon identification of deficiencies. The Company has filed a Notice of Intent to be covered by the 2013 VGP for each of its ships that operate in U.S. waters.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4, 2018, the Vessel Incidental Discharge Act (“VIDA”) was enacted, establishing a new framework for the regulation of discharges incidental to the normal operations of vessels. VIDA requires the EPA to develop performance standards for such discharges within two years of its enactment and requires the USCG to develop implementation, compliance, and enforcement regulations within two years of EPA’s promulgation of standards. VIDA extends the 2013 VGP’s provisions, leaving them in effect until new regulations are final and enforceable. Non-military, non-recreational vessels greater than 79 feet in length must continue to comply with the requirements of the 2013 VGP, including submission of annual reports. The Company can provide no assurance as to when the new regulations and performance standards will be issued, nor can it predict what additional costs it may incur to comply with any such new regulations and performance standards.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countries have ratified and are thus subject to the liability scheme adopted by the International Maritime Organization (the "IMO") and set out in the International Convention on Civil Liability for Oil Pollution Damage of 1969 (the "1969 Convention"). Some of these countries have also adopted the 1992 Protocol to the 1969 Convention (the "1992 Protocol"). Under both the 1969 Convention and the 1992 Protocol, a vessel's registered owner is strictly liable for pollution damage caused in the territorial waters of a contracting state by discharge of persistent oil from ships carrying oil in bulk as cargo, subject to certain complete defenses. These conventions also limit the liability of the shipowner under certain circumstances, provided the discharge was not caused by the shipowner's actual fault or intentional or reckless misconduct.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Vessels trading to countries that are parties to these conventions must provide evidence of insurance covering the liability of the owner. The Company believes that its Protection and Indemnity ("P&amp;I") insurance will cover any liability under these conventions, subject to applicable policy deductibles, exclusions and limitations.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United States is not a party to the 1969 Convention or the 1992 Protocol, and thus OPA 90, CERCLA, CWA and other federal and state laws apply in the United States as discussed above. In other jurisdictions where the 1969 Convention has not been adopted, various legislative and regulatory schemes or common law govern, and liability is imposed either on the basis of fault or in a manner similar to that convention.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International Convention on Civil Liability for Bunker Oil Pollution Damage, 2001, was adopted to ensure that adequate, prompt and effective compensation is available to persons who suffer damage caused by spills of oil when used as fuel by vessels. The convention applies to damage caused to the territory, including the territorial sea, and in the EEZs, of the countries that are party to it. Although the United States has not ratified this convention, U.S.-flag vessels operating internationally would be subject to it if they sail within the territories of those countries that have implemented its provisions. The Company believes that its vessels comply with these requirements.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National Invasive Species Act ("NISA") was enacted in the United States in 1996 in response to growing reports of harmful organisms being released into U.S. waters through ballast water taken on by vessels in foreign ports. The USCG adopted regulations under NISA that impose mandatory ballast water management practices for all vessels equipped with ballast water tanks entering U.S. waters. All new vessels constructed on or after December 1, 2013, regardless of ballast water capacity, must comply with these requirements on delivery from the shipyard absent an extension from the USCG. For non-exempt vessels, ballast water treatment equipment may be required to be used on the vessel. In response to these requirements, the Company's ships operating in the United States waters currently use water from U.S. public systems. Some U.S. states have enacted legislation or regulations to address the introduction of invasive species through ballast water and hull cleaning management, and permitting requirements, which in many cases have also become part of the state's 2013 VGP certification. Other states may proceed with the enactment of similar requirements that could increase the Company's costs of operating in state waters.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IMO ratified the International Convention for the Control and Management of Ships' Ballast Water and Sediments, otherwise known as the Ballast Water Management Convention (the "BWM Convention"), which entered into force on September 8, 2017. Under the BWM Convention, all ships in international traffic are required to manage their ballast water and sediments under a ship-specific ballast water management plan. The United States is not a party to the BWM Convention, but vessels that undertake international voyages may have to install an IMO approved ballast water treatment system or use one of the other management options under the BWM Convention to achieve compliance. In response to these requirements, the Company currently uses a BWM Convention-compliant ballast water management method of chemical disinfectant on its vessels operating outside the United States.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Endangered Species Act, related regulations and comparable state laws protect species threatened with possible extinction. Protection may include restrictions on the speed of vessels in certain ocean waters and may require the Company to change the routes of vessels during particular periods.</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Clean Air Act (as amended, the "CAA") requires the EPA to promulgate standards applicable to emissions of volatile organic compounds and other air contaminants. The CAA also requires states to submit State Implementation Plans ("SIPs"), which are designed to attain national health-based air quality standards throughout the United States, including major metropolitan and/or industrial areas. Several SIPs regulate emissions resulting from vessel loading and unloading operations by requiring the installation of vapor control equipment. The EPA and some U.S. states have each proposed more stringent regulations of air emissions from propulsion and auxiliary engines on oceangoing vessels.</w:t>
      </w:r>
    </w:p>
    <w:p>
      <w:pPr>
        <w:sectPr>
          <w:pgSz w:w="11900" w:h="16838" w:orient="portrait"/>
          <w:cols w:equalWidth="0" w:num="1">
            <w:col w:w="11420"/>
          </w:cols>
          <w:pgMar w:left="240" w:top="118" w:right="239" w:bottom="80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0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MARPOL also addresses air emissions, including emissions of sulfur and nitrous oxide ("NOx"), from vessels, including a requirement to use low sulfur fuels worldwide in both auxiliary and main propulsion diesel engines on vessels. Vessels worldwide are currently required to use fuel with a sulfur content no greater than 3.5%, which the IMO decided in October 2016 to reduce to 0.5% beginning in January 2020. As a result of this reduction, fuel costs for vessel operators could rise dramatically beginning in 2020, which could have a material adverse effect on the Company's business, financial position, results of operations, cash flows and growth prospects. MARPOL also imposes NOx emissions standards on installed marine diesel engines of over 130 kW output power other than those used solely for emergency purposes irrespective of the tonnage of the vessel into which such an engine is installed. The actual NOx limit is determined by a variety of factors, including the vessel's construction date, the rated speed of the vessel's engine, and the area in which the vessel is operating.</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 stringent sulfur and NOx requirements apply in certain designated Emission Control Areas (“ECAs”). There are currently four ECAs worldwide: the Baltic Sea ECA, North Sea ECA, North American ECA, and U.S. Caribbean ECA. As of January 1, 2015, vessels operating in an ECA must burn fuel with a sulfur content no greater than 0.1%. Further, marine diesel engines on vessels constructed on or after January 1, 2016 that are operated in an ECA must meet the stringent NOx standards described above.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operations occasionally generate and require the transportation, treatment and disposal of both hazardous and non-hazardous solid wastes that are subject in the United States to the requirements of the Resource Conservation and Recovery Act ("RCRA") or comparable U.S. state, local or foreign requirements. From time to time the Company arranges for the disposal of hazardous waste or hazardous substances at offsite disposal facilities. The EPA has a longstanding policy that RCRA only applies after wastes are "purposely removed" from a vessel. As a general matter, with certain exceptions, vessel owners and operators are required to determine if their wastes are hazardous, obtain a generator identification number, comply with certain standards for the proper management of hazardous wastes, and use hazardous waste manifests for shipments to disposal facilities. Moreover, vessel owners and operators may be subject to more stringent U.S. state hazardous waste requirements. If such materials are improperly disposed of by third-parties with which the Company contracts, the Company may still be held liable for cleanup costs under applicable laws.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MARPOL also governs the discharge of garbage from ships. MARPOL defines certain sea areas, such as the "wider Caribbean region" as "special areas" requiring a higher level of protection than other areas of the sea.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Applicable MARPOL regulations provide for strict garbage management procedures and documentation requirements for all vessels and fixed and floating platforms. These regulations impose a general prohibition on the discharge of all garbage unless the discharge is expressly provided for under the regulations. The regulations have greatly reduced the amount of garbage that vessels are allowed to dispose of at sea and have increased the Company's costs of disposing garbage remaining on board vessels at their port calls.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Various international conventions and federal, state and local laws and regulations have been considered or implemented to address the environmental effects of emissions of greenhouse gases, such as carbon dioxide and methane. The U.S. Congress has considered, but not adopted, legislation designed to reduce emission of greenhouse gases. At United Nations climate change conferences over the past few decades, various countries have agreed to specific international accords or protocols to establish limitations on greenhouse gas emissions. In December 1997, the Kyoto Protocol was adopted pursuant to which member parties agreed to implement national programs to reduce emissions of greenhouse gases. At the 2015 United Nations climate change conference in Paris, various countries adopted the Paris Agreement, which seeks to reduce emissions in an effort to slow global warming. While the United States signed the Paris Agreement in 2016, it has subsequently taken steps to withdraw from the agreement. The Paris Agreement does not specifically mention shipping.</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IMO has announced its intention to develop limits on greenhouse gases from international shipping and is working on proposed mandatory technical and operational measures to achieve these limits. The first step toward this goal occurred in October 2016, when the IMO adopted a system for collecting data on ships' fuel-oil consumption, which will be mandatory and apply globally.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2013, the European Commission proposed legislation and established a strategy for progressively integrating maritime emissions into the European Union's (the "E.U.") policy for reducing domestic greenhouse emissions. As of January 1, 2015, E.U. Member States have to ensure that ships in the Baltic, the North Sea and the English Channel are using fuels with a sulfur content of no more than 0.10%. In addition, the European Parliament and E.U. Council have adopted a series of regulations beginning with Regulation 2015/757, which became effective on July 1, 2015, that establish a system for monitoring, reporting and verifying emissions from vessels of 5,000 or more gross tons calling at E.U. ports. The first reporting period began on January 1, 2018.</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United States, pursuant to an April 2007 decision of the U.S. Supreme Court, the EPA was required to consider whether carbon dioxide should be considered a pollutant that endangers public health and welfare, and thus subject to regulation under the CAA. In October 2007, the California Attorney General and a coalition of environmental groups petitioned the EPA to regulate greenhouse gas emissions from oceangoing vessels under the CAA. On December 1, 2009, the EPA issued an "endangerment finding" regarding greenhouse gases under the CAA. To date, the regulations proposed and enacted by the EPA regarding carbon dioxide have not involved oceangoing vessels. Under MARPOL, vessels operating in designated ECAs are required to meet fuel sulfur limits and NOx emission limits, including the use of engines that meet the EPA standards for NOx emissions, as discussed above.</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Any future adoption of climate control treaties, legislation or other regulatory measures by the United Nations, IMO, EU, United States or other countries where the Company operates that restrict emissions of greenhouse gases could result in financial and operational impacts on the Company's business (including potential capital expenditures to reduce such emissions) that the Company cannot predict with certainty at this time. In addition, there may be significant physical effects of climate change from such emissions that have the potential to negatively impact the Company's customers, personnel, and physical assets, any of which could adversely impact cargo levels, the demand for the Company's services, or the Company's ability to recruit personnel.</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manages exposure to losses from the above-described laws through its development of appropriate risk management programs, including compliance programs, safety management systems and insurance programs. Although the Company believes these programs mitigate its legal risk, there can be no assurance that any future regulations or requirements or any discharge or emission of pollutants by the Company will not have a material adverse effect on its business, financial position, results of operations, cash flows or growth prospects.</w:t>
      </w:r>
    </w:p>
    <w:p>
      <w:pPr>
        <w:sectPr>
          <w:pgSz w:w="11900" w:h="16838" w:orient="portrait"/>
          <w:cols w:equalWidth="0" w:num="1">
            <w:col w:w="11420"/>
          </w:cols>
          <w:pgMar w:left="240" w:top="118" w:right="239" w:bottom="584"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84"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recent years, the USCG, the IMO, states and local ports have adopted heightened security procedures related to ports and vessels.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Specifically, on November 25, 2002, the U.S. Maritime Transportation Security Act of 2002 ("MTSA") was signed into law. To implement certain portions of MTSA, in July 2003, the USCG issued regulations requiring the implementation of certain security requirements aboard vessels operating in waters subject to the jurisdiction of the United States. Similarly, in December 2002, the IMO adopted amendments to SOLAS, known as the International Ship and Port Facility Security Code (the "ISPS Code"), creating a new chapter dealing specifically with maritime security. The chapter imposes various detailed security obligations on vessels and port authorities. Included in the various requirements under MTSA and/or the ISPS Code are the following:</w:t>
      </w:r>
    </w:p>
    <w:p>
      <w:pPr>
        <w:spacing w:after="0" w:line="158"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of vessel and facility security plans;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a Transportation Worker Identification Credential program; and</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USCG regulations, which are intended to align with international maritime security standards, generally deem foreign-flag vessels to be in compliance with MTSA vessel security measures provided such vessels have onboard a valid International Ship Security Certificate that attests to the vessel's compliance with SOLAS security requirements and the ISPS Code. However, U.S.-flag vessels that are engaged in international trade must comply with all of the security measures required by MTSA, as well as SOLAS and the ISPS Code.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response to these new security programs, the Company has implemented security plans and procedures for each of its U.S.-flag vessels pursuant to rules implementing MTSA that have been issued by the USCG.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International Safety Management Code ("ISM Code"), adopted by the IMO as an amendment to SOLAS, provides international standards for the safe management and operation of ships and for the prevention of marine pollution from ships. The United States enforces the ISM Code for all U.S.-flag vessels and those foreign-flag vessels that call at U.S. ports. All of the Company's vessels that are 500 or more gross tons are required to be certified under the standards set forth in the ISM Code's safety and pollution protocols. The Company also voluntarily complies with these protocols for some vessels that are under the mandatory 500-gross ton threshold. Under the ISM Code, vessel operators are required to develop an extensive safety management system ("SMS") that includes, among other things, the adoption of a written system of safety and environmental protection policies setting forth instructions and procedures for operating their vessels subject to the ISM Code and describing procedures for responding to emergencies. The Company has developed such a safety management system. These SMS policies apply to both the vessel and shore-side personnel and are vessel specific. The ISM Code also requires a Document of Compliance ("DOC") to be obtained for the vessel manager and a Safety Management Certificate ("SMC") to be obtained for each vessel subject to the ISM Code that it operates or manages. The Company has obtained DOCs for its shore side offices that have responsibility for vessel management and SMCs for each of the vessels that such offices operate or manage.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Noncompliance with the ISM Code and other IMO regulations may subject the shipowner or charterer to increased liability, may lead to decreases in available insurance coverage for affected vessels and may result in the denial of access to, or detention in, some ports. For example, the USCG authorities have indicated that vessels not in compliance with the ISM Code will be prohibited from utilizing U.S. ports.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Hazards and Insurance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Vessel operations involve inherent risks associated with carrying large volumes of cargo and rendering services in a marine environment. Hazards include adverse weather conditions, collisions, fire and mechanical failures, which may result in death or injury to personnel, damage to equipment, loss of operating revenues, contamination of cargo, pollution and other environmental damages and increased costs. The Company maintains hull, liability and war risk, general liability, workers compensation and other customary insurance subject to various deductions, exclusions and coverage caps. The Company also conducts training and safety programs to promote a safe working environment and minimize hazards.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the Company employed 2,105 individuals directly and indirectly (through crewing or manning agreements), including 649 seafarers in the North Sea, 540 of whom are members of a union under the terms of an ongoing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relations with its employees to be satisfactory.</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Other Factors That May Affect Future Results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business, financial position, results of operations, cash flows and growth prospects may be materially adversely affected by numerous risks. Carefully consider the risks described below, which represent some of the more material risk factors that affect the Company, as well as the other information that has been provided in this Annual Report on Form 10-K. The risks described below include all known material risks faced by the Company. Additional risks not presently known may also impair the Company's business operations.</w:t>
      </w:r>
    </w:p>
    <w:p>
      <w:pPr>
        <w:spacing w:after="0" w:line="183" w:lineRule="exact"/>
        <w:rPr>
          <w:sz w:val="20"/>
          <w:szCs w:val="20"/>
          <w:color w:val="auto"/>
        </w:rPr>
      </w:pPr>
    </w:p>
    <w:p>
      <w:pPr>
        <w:jc w:val="center"/>
        <w:ind w:right="5360"/>
        <w:spacing w:after="0"/>
        <w:rPr>
          <w:sz w:val="20"/>
          <w:szCs w:val="20"/>
          <w:color w:val="auto"/>
        </w:rPr>
      </w:pPr>
      <w:r>
        <w:rPr>
          <w:rFonts w:ascii="Arial" w:cs="Arial" w:eastAsia="Arial" w:hAnsi="Arial"/>
          <w:sz w:val="18"/>
          <w:szCs w:val="18"/>
          <w:b w:val="1"/>
          <w:bCs w:val="1"/>
          <w:color w:val="auto"/>
        </w:rPr>
        <w:t>Risk Factors Related to the Company's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fluctuating prices of oil and decreased demand for oil.</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 for the Company's offshore support services is impacted by the comparative price for exploring, developing, and producing oil and natural gas and by the corresponding supply and demand for oil and natural gas, both globally and regionally. Among other factors, the increased supply of oil and natural gas from the development of new oil and natural gas supply sources and technologies to improve recovery from current sources, particularly shale, have reduced the price of oil and natural gas as well as demand and prices charged for offshore support services globally. The advent of electric cars, development of alternative sources of energy to hydrocarbons, such as solar and wind power, could also diminish the demand for oil and natural gas. Such diminution of demand could place continued or additional pressure on the price of oil and therefore demand for the Company's services, as developing offshore oil fields, particularly in deep waters, is one of the most expensive sources of hydrocarbons. Other factors that influence the supply and demand and the relative price of oil include operational issues, natural disasters, weather, political instability, conflicts, civil unrest, the worldwide political and military environment, acts of terrorism, foreign exchange rates, economic conditions and actions by major oil-producing countries. The price of oil and the relative cost to extract, proximity to market and political imperatives of countries with offshore deposits affect the willingness to commit investment for contract drilling rigs and offshore support vessels used for offshore exploration, field development and production activities, which in turn affects the Company's results of operations. Prolonged periods of low oil and natural gas prices or rising costs result in lower demand for the Company's services and can give rise to impairments of the Company's assets.</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Company's operations depend on the level of spending by oil and gas companies for exploration, development and production, maintenance and decommissioning activities. Both short-term and long-term trends in oil and natural gas prices affect these activity levels. Oil and natural gas prices, as well as the level of drilling, exploration and production activity, have been highly volatile over the past few years and are expected to continue to be volatile for the foreseeable future. For example, oil prices were as high as $107 per barrel during 2014 and reached a near ten-year low of $26 per barrel in February 2016. Oil prices began to stabilize during 2017 and steadily increased throughout much of 2018. However, during the fourth quarter of 2018, oil prices declined dramatically to a low of $44 after hitting a four-year high of $77 during October 2018. Declines in oil prices are primarily caused by, among other things, an excess of supply of crude oil in relation to demand.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As such, the Company's overall fleet utilization for the years ended December 31, 2018, 2017, and 2016, was 62%, 54% and 54%, respectively. The prolonged reduction in the overall level of exploration and development activities, whether resulting from changes in oil and natural gas prices or otherwise, has materially and adversely affected the Company by negatively impacting its fleet utilization, which in turn has negatively affected its revenues, cash flows, profitability and the fair market value of the Company's vessels. During the three years ended December 31, 2018, 2017 and 2016, the Company took an aggregate of $14.6 million, $27.5 million and $119.7 million, respectively, of impairment charges primarily as a result of the low utilization rate of its fleet, coupled with the low rates per day worked over such two years. It could also affect the collectability of the Company's receivables and its ability to retain skilled personnel. Periods of low activity intensify price competition in the industry, which erodes operating margin, and can lead to the Company's vessels being idle for long periods of time.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difficult market conditions persist and an anticipated recovery is delayed beyond the Company's expectation, further deterioration in the fair value of vessels already impaired or revisions to its forecasts may result in the Company recording additional impairment charges related to its fleet in future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many of the Company's services is impacted by the level of activity in the offshore oil and natural gas exploration, development and production industry.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level of offshore oil and natural gas exploration, development and production activity has historically been volatile. This volatility is likely to continue. The level of activity is subject to large fluctuations in response to relatively minor changes in a variety of factors that are beyond the Company's control, including:</w:t>
      </w:r>
    </w:p>
    <w:p>
      <w:pPr>
        <w:spacing w:after="0" w:line="181" w:lineRule="exact"/>
        <w:rPr>
          <w:sz w:val="20"/>
          <w:szCs w:val="20"/>
          <w:color w:val="auto"/>
        </w:rPr>
      </w:pPr>
    </w:p>
    <w:p>
      <w:pPr>
        <w:ind w:left="820" w:right="2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worldwide economic environment, trends in international trade or other economic trends, including recessions and the level of activity in energy-consuming markets;</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oil and natural gas prices and expectations about future prices and price volatility;</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assessments of offshore drilling prospects compared with land-based opportunities;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of exploring for, producing and delivering oil and natural gas offshore and the relative cost of, and success in, doing so on land;</w:t>
      </w:r>
    </w:p>
    <w:p>
      <w:pPr>
        <w:spacing w:after="0" w:line="290" w:lineRule="exact"/>
        <w:rPr>
          <w:rFonts w:ascii="Arial" w:cs="Arial" w:eastAsia="Arial" w:hAnsi="Arial"/>
          <w:sz w:val="17"/>
          <w:szCs w:val="17"/>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oil and natural gas and oil service companies operating offshore;</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supply and demand for energy, petroleum products and chemical products;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and rate of discovery of new oil and natural gas reserves in offshore areas;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state, local and international political and economic conditions, and policies including cabotage and local content laws;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advancements affecting exploration, development, energy production and consumption;</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or willingness of the Organization of Petroleum Exporting Countries ("OPEC") to set and maintain production levels and pricing;</w:t>
      </w:r>
    </w:p>
    <w:p>
      <w:pPr>
        <w:spacing w:after="0" w:line="290" w:lineRule="exact"/>
        <w:rPr>
          <w:rFonts w:ascii="Arial" w:cs="Arial" w:eastAsia="Arial" w:hAnsi="Arial"/>
          <w:sz w:val="17"/>
          <w:szCs w:val="17"/>
          <w:color w:val="auto"/>
        </w:rPr>
      </w:pPr>
    </w:p>
    <w:p>
      <w:pPr>
        <w:ind w:left="82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 and the acceptance of oil produced by Iran by other countries throughout the world;</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sanctions on oil producing countries including certain sanctions against Iran;</w:t>
      </w:r>
    </w:p>
    <w:p>
      <w:pPr>
        <w:spacing w:after="0" w:line="279" w:lineRule="exact"/>
        <w:rPr>
          <w:rFonts w:ascii="Arial" w:cs="Arial" w:eastAsia="Arial" w:hAnsi="Arial"/>
          <w:sz w:val="18"/>
          <w:szCs w:val="18"/>
          <w:color w:val="auto"/>
        </w:rPr>
      </w:pPr>
    </w:p>
    <w:p>
      <w:pPr>
        <w:jc w:val="both"/>
        <w:ind w:left="820" w:hanging="164"/>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civil unrest and the worldwide political and military environment, including uncertainty or instability resulting from an escalation or additional outbreak of armed hostilities involving the Middle East, Russia, other oil-producing regions or other geographic areas or further acts of terrorism in the United States or elsewhere;</w:t>
      </w:r>
    </w:p>
    <w:p>
      <w:pPr>
        <w:spacing w:after="0" w:line="208"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regulation;</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 of drilling activities and the availability of drilling permits and concessions;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oil and natural gas companies to generate or otherwise obtain funds for capital projects; and</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and exploitation of alternative fuel or energy sources.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prolonged material downturn in oil and natural gas prices has caused a substantial decline in expenditures for exploration, development and production activity, which has resulted in a decline in demand and lower rates for the Company's offshore energy support services and, in turn, lower utilization levels over the last four years. The continuation or worsening of such decrease in activity is likely to further reduce the Company's day rates and its utilization, which may in turn have a material adverse effect on the Company's business, financial position, results of operations, cash flows and growth prospects. In addition, an increase in commodity demand and prices will not necessarily result in an immediate increase in offshore drilling activity since project development lead and planning times, reserve replacement needs, expectations of future commodity demand, prices and supply of available competing vessels all combine to affect demand for the Company's vessels.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for the years ended December 31, 2018, 2017 and 2016, approximately 21%, 13%, and 15%, respectively, of the Company's operating revenues were earned in the U.S. Gulf of Mexico. Historically, the Company has been and continues to be dependent on levels of activity in that region, which may differ from levels of activity in other regions of the world due to more localized factors. The Company has some ability to shift the location of its assets between regions depending upon local regulation and cost of doing business, among many other factors, and, while it has repositioned some assets from the U.S. Gulf of Mexico to other regions and may continue to do so in the future, such efforts may not be sufficient to counter the localized downturn in the region.</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Unconventional crude oil and natural gas sources and improved economics of producing natural gas and oil from such sources has and will likely continue to exert downward pricing pressures on the price of crude oil and natural gas.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rise in production of crude oil and natural gas from shale in North America and the commissioning of a number of new large Liquefied Natural Gas export facilities around the world are, at least to date, the primary contributors to an over-supplied natural gas market and a similar environment for the crude oil market. While production of crude oil and natural gas from unconventional sources is still a relatively small portion of the worldwide crude oil and natural gas production, improved drilling efficiencies are lowering the costs of extraction from these sources. The rise in production of natural gas and oil from these sources not only affects the price of oil but can also result in a reduction of capital invested in offshore oil and natural gas exploration. Because the Company provides vessels servicing offshore oil and natural gas exploration, a significant reduction in investments in offshore exploration and development in favor of investments in these unconventional resources could have a material adverse effect on the Company's business, financial position, results of operations, cash flows and growth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economic conditions and volatility in the capital markets could materially adversely affect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success of the Company's business is both directly and indirectly dependent upon conditions in the global financial markets and economic conditions throughout the world that are outside the Company's control and difficult to predict. Factors such as commodity prices and demand for commodities, interest rates, availability of credit, inflation rates, changes in laws (including laws relating to taxation), trade barriers, currency exchange rates and controls, and national and international political circumstances (including wars, terrorist acts or security operations) can have a material negative impact on the Company's business and investments, which could reduce its revenues and profitability. Uncertainty about global economic conditions may lead or require businesses to postpone capital spending in response to tighter credit and reductions in income or asset values and to cancel or renegotiate existing contracts because their access to capital is impeded. This would in turn affect the Company's profitability or results of operations. These factors may also adversely affect the Company's liquidity and financial condition and the liquidity and financial conditions of its customers. Volatility in the conditions of the global economic markets can also affect the Company's ability to raise capital at attractive prices. The Company's ongoing exposure to credit risks on its accounts receivable balances are heightened during periods when economic conditions worsen. The Company has procedures that are designed to monitor and limit exposure to credit risk on its receivables; however, there can be no assurance that such procedures will effectively limit the Company's credit risk and avoid losses that could have a material adverse effect on the Company's business, financial position, results of operations, cash flows and growth prospects. Unstable economic conditions may also increase the volatility of the Company's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record additional losses or impairment charges related to sold or idle vessels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2018, 2017, and 2016, the Company recognized impairment charges of $14.6 million, $27.5 million, and $119.7 million, respectively, related to tangible assets. Prolonged periods of low utilization or low day or charter rates, the sale of assets below their then carrying value or the decline in market value of the Company's assets may cause the Company to experience further losses. If there are indications that the carrying value of any of the Company's vessels may not be recoverable or if the Company sells assets for less than their then carrying value, the Company may recognize additional impairment charges on its fleet.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 acceptable safety record may have an adverse impact on the Company's ability to retain customers.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customers consider safety and reliability a primary concern in selecting a service provider. The Company must maintain a record of safety and reliability that is acceptable to its customers. Should this not be achieved, the ability to retain current customers and attract new customers may be adversely affected, which in turn could have a material adverse effect on the Company's business, financial position, results of operations, cash flows and growth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high level of competition in the offshore marine service industry.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operates in a highly fragmented and competitive industry, and the competitive nature of its industry and excess supply of equipment is currently depressing charter and utilization rates. A prolonged period of depressed rates could adversely affect the Company's financial performance. The Company competes for business on the basis of price, reputation for excellent service, quality, suitability and technical capabilities of its vessels, availability of vessels, safety and efficiency, cost of mobilizing vessels from one market to a different market, and national flag preference. Further, competition has intensified as lower activity in the offshore oil and natural gas market has led to lower utilization and additional capacity. In addition, the Company's ability to compete in international markets may be adversely affected by regulations requiring, among other things, local construction, flagging, ownership or control of vessels, the awarding of contracts to local contractors, the employment of local citizens and/or the purchase of supplies from local vendors. Furthermore, the Company competes with companies that have undergone significant restructuring which has substantially reduced their debt levels thereby vastly improving their balance sheets.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process of obtaining new charter agreements is highly competitive and generally involves an intensive screening and a competitive bidding process, which, in certain cases, may extend for several months. The Company’s existing and potential competitors may have significantly greater financial resources than the Company. In addition, competitors with greater resources may have larger fleets, or could operate larger fleets through consolidations, acquisitions, new buildings or pooling of their vessels with other companies, and, therefore, may be able to offer a more competitive service than the Company, including better charter rates. The Company expects competition from a number of experienced companies providing contracts to potential customers, including state-sponsored entities and major energy companies affiliated with the projects requiring offshore vessel services. As a result, the Company may be unable to expand its relationships with existing customers or to obtain new customers on a profitable basis, if at all. If the Company is unable to successfully compete, it could have a materially adverse effect on the Company’s business, financial position, results of operations, cash flows and growth prospects.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increase in the supply of vessels or equipment that serve offshore oil and natural gas operations could have an adverse impact on the charter rates earned by the Company's vessels and equipment.</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industry is highly competitive, with oversupply of vessel capacity and intense price competition. Expansion of the supply of vessels and equipment that serve offshore oil and natural gas operations has increased competition in the markets in which the Company operates and affected prices charged by operators. Further, the refurbishment of disused or "mothballed" vessels, conversion of vessels from uses other than oil and natural gas exploration and production support and related activities or construction of new vessels and equipment have all added vessel and equipment capacity to current worldwide levels. The current oversupply of vessels and equipment capacity in the offshore marine market could lower charter rates and result in lower</w:t>
      </w:r>
    </w:p>
    <w:p>
      <w:pPr>
        <w:sectPr>
          <w:pgSz w:w="11900" w:h="16838" w:orient="portrait"/>
          <w:cols w:equalWidth="0" w:num="1">
            <w:col w:w="11420"/>
          </w:cols>
          <w:pgMar w:left="240" w:top="118" w:right="23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operating revenues, which in turn could have a material adverse effect on the Company's business, financial position, results of operations, cash flows and growth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part of the Company's ongoing management of its fleet and personnel, the Company may need to improve its operations and financial systems and recruit additional staff and crew; if the Company cannot improve these systems or recruit suitable employees, the Company’s business and results of operations may be adversely affected.</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The Company has and may continue to need to invest in upgrading its operating and financial systems. In addition, the Company may have to recruit additional well</w:t>
      </w:r>
      <w:r>
        <w:rPr>
          <w:rFonts w:ascii="MS PGothic" w:cs="MS PGothic" w:eastAsia="MS PGothic" w:hAnsi="MS PGothic"/>
          <w:sz w:val="16"/>
          <w:szCs w:val="16"/>
          <w:color w:val="auto"/>
        </w:rPr>
        <w:t>‑</w:t>
      </w:r>
      <w:r>
        <w:rPr>
          <w:rFonts w:ascii="Arial" w:cs="Arial" w:eastAsia="Arial" w:hAnsi="Arial"/>
          <w:sz w:val="16"/>
          <w:szCs w:val="16"/>
          <w:color w:val="auto"/>
        </w:rPr>
        <w:t>qualified seafarers and shoreside administrative and management personnel. The Company may not be able to hire suitable employees. For example, the Company’s vessels require technically skilled staff with specialized training. If the Company is unable to employ such technically skilled staff, they may not be able to adequately staff the Company’s vessels. If the Company is unable to operate its financial and operations systems effectively or is unable to recruit suitable employees, the Company’s results of operation and its ability to manage and expand its fleet may be adversely affected.</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relies on several customers for a significant share of its revenues, the loss of any of which could adversely affect the Company's business and operating results.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derives a significant portion of its revenues from a limited number of oil and natural gas exploration, development and production companies. During the years ended December 31, 2018, 2017, and 2016, the Company's ten largest customers accounted for approximately 47%, 59%, and 58% of its operating revenues. During the year ended December 31, 2018, one customer, Perenco, was responsible for 10% or more of the Company's operating revenues. In addition, one or more of the Company's joint ventures rely primarily on a single customer for their revenues. The portion of the Company's revenues or any of its joint ventures' revenues attributable to any single customer may change over time, depending on the level of activity by any such customer, the Company's ability to meet the customer's needs and other factors, many of which are beyond the Company's control. In addition, most of the Company's contracts with its oil and natural gas customers can be canceled on relatively short notice and do not commit its customers to acquire specific amounts of services or require the payment of significant liquidated damages upon cancellation. The loss of business from any of the Company's significant customers could have a material adverse effect on the Company's business, financial condition, liquidity and results of operations. Further, to the extent any of the Company's customers experience an extended period of operating difficulty, it may have a material adverse effect on the Company's business, financial position, results of operation, cash flows and growth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the Company's customer base could adversely affect demand for its services and reduce its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recent years, oil and natural gas companies, energy companies, drilling contractors and other offshore service providers have undergone substantial consolidation and additional consolidation is possible, especially as the depressed oil price environment has caused many of these companies to restructure their operations and capital structure, including substantially reducing their debt levels. Consolidation results in fewer companies to charter or contract for the Company's services. Also, merger activity among both major and independent oil and natural gas companies affects exploration, development and production activity as the consolidated companies integrate operations to increase efficiency and reduce costs. Less promising exploration and development projects of a combined company may be dropped or delayed. Such activity may result in an exploration and development budget for a combined company that is lower than the total budget of both companies before consolidation, which could adversely affect demand for the Company's vessels thereby reducing its revenues.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maintain or replace its offshore support vessels as they age.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2018, the average age of the Company's owned vessels, excluding its standby safety and crew transfer vessels, was approximately 11 years. The Company believes that after a vessel has been in service for approximately 20 years, the expense (which typically increases with age) necessary to satisfy required marine certification standards may not be economically justifiable. In addition, the Company must maintain its vessels to remain attractive to its customers and comply with regulations; however, the Company may be unable to carry out drydockings of its vessels or may be limited by insufficient shipyard capacity, which could adversely affect its ability to maintain its vessels. In addition, market conditions may not justify these expenditures or enable the Company to operate its older vessels profitably during the remainder of their economic lives. There can be no assurance that the Company will be able to maintain its fleet by extending the economic life of existing vessels, or that its financial resources will be sufficient to enable it to make expenditures necessary for these purposes or to acquire or build replacement vessels, all of which could have a material adverse effect on the Company's business, financial position, results of operations, cash flows and growth prospects.</w:t>
      </w:r>
    </w:p>
    <w:p>
      <w:pPr>
        <w:spacing w:after="0" w:line="18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failure to successfully complete construction or conversion of the Company's vessels, repairs, maintenance or routine drydockings on schedule and on budget could have a material adverse effect on the Company's business, financial position, results of operations, cash flows and growth prospects.</w:t>
      </w:r>
    </w:p>
    <w:p>
      <w:pPr>
        <w:spacing w:after="0" w:line="1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the Company may have a number of vessels under conversion and may plan to construct or convert other vessels in response to current and future market conditions. The Company also routinely engages shipyards to drydock vessels for regulatory compliance and to provide repair and maintenance. Construction and conversion projects and drydockings are subject to risks of delay and cost overruns, resulting from shortages of equipment, lack of shipyard availability, unforeseen engineering problems, work stoppages, weather interference, unanticipated cost increases, inability to obtain necessary certifications and approvals and shortages of materials or skilled labor. A significant delay in either construction or drydockings could have a material adverse effect on contract commitments and revenues with respect to vessels under construction, conversion or undergoing drydockings. Significant cost overruns or delays for vessels under construction, conversion or retrofit could have a material adverse effect on the Company's business, financial position, results of operations, cash flows and growth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the Company's fleet may be subject to seasonal factors.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Demand for the Company's offshore support services is directly affected by the levels of offshore drilling and production activity of its oil and gas customers, and construction and maintenance activity for its windfarm customers. Budgets of many of the Company's customers are based upon a calendar year, and demand for the Company's services has historically been stronger in the second and third calendar quarters when allocated budgets are expended by its customers and weather conditions are more favorable for offshore activities. In particular, the demand for the Company's liftboat fleet in the U.S. Gulf of Mexico and offshore support vessels in the Middle East are seasonal with peak demand normally occurring during the summer months. Adverse events relating to the Company's vessels or business operations during peak demand periods could have a significant adverse effect on the Company's financial position and results of operations. In addition, the Company's crew transfer vessels are dependent on the activity levels of wind farms which rely upon weather conditions that fluctuate over time. As a result, the demand for the Company's crew transfer vessels may vary throughout the year. Furthermore, seasonal volatility can create unpredictability in activity and utilization rates, which could have a material adverse effect on the Company's business, financial position, results of operations, cash flows and growth prospects.</w:t>
      </w:r>
    </w:p>
    <w:p>
      <w:pPr>
        <w:sectPr>
          <w:pgSz w:w="11900" w:h="16838" w:orient="portrait"/>
          <w:cols w:equalWidth="0" w:num="1">
            <w:col w:w="11420"/>
          </w:cols>
          <w:pgMar w:left="240" w:top="118"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p>
    <w:p>
      <w:pPr>
        <w:sectPr>
          <w:pgSz w:w="11900" w:h="16838" w:orient="portrait"/>
          <w:cols w:equalWidth="0" w:num="1">
            <w:col w:w="11420"/>
          </w:cols>
          <w:pgMar w:left="240" w:top="118" w:right="239" w:bottom="0" w:gutter="0" w:footer="0" w:header="0"/>
          <w:type w:val="continuous"/>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high levels of fixed costs that will be incurred regardless of its level of business activity.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business has high fixed costs. Downtime or low productivity due to reduced demand, as is currently being experienced, can have a significant negative effect on the Company's operating results and financial condition. Some of the Company's fixed costs will not decline during periods of reduced revenue or activity. During times of reduced utilization, the Company may not be able to reduce its costs immediately as it may incur additional costs associated with preparing vessels for cold stacking. Moreover, the Company may not be able to fully reduce the cost of its support operations in a particular geographic region due to the need to support the remaining vessels in that region. A decline in revenue due to lower day rates and/or utilization may not be offset by a corresponding decrease in the Company's fixed costs and could have a material adverse effect on the Company's business, financial position, results of operations, cash flows and growth prospects.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the markets recover or the Company changes its marketing strategies or for other reasons, the Company may be required to incur higher than expected costs to return previously cold-stacked vessels to class.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response to the decrease in demand stemming from lower oil and natural gas prices, the Company has cold-stacked a number of offshore support vessels. As of December 31, 2018, 21 of its 128 owned and leased-in offshore support vessels were cold-stacked worldwide. No assurance can be given that the Company will be able to quickly bring these cold-stacked offshore support vessels back into service or that the cost of doing so would not be significant. Cold-stacked vessels do not receive the same level of maintenance as active vessels. As a result and depending on the length of time the vessels are cold-stacked, the Company could incur deferred drydocking costs for regulatory recertification to return these vessels to active service and may incur costs to hire and train mariners to operate such vessels. These costs are difficult to estimate and could be substantial. Delay in reactivating cold stacked offshore support vessels and the costs and other expenses related to the reactivation of cold-stacked offshore support vessels could have a material adverse effect on the Company's business, financial position, results of operations, cash flows and growth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renew or replace expiring contracts for its vessels.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ability to renew or replace expiring contracts or obtain new contracts, and the terms of any such contracts, will depend on various factors, including market conditions and the specific needs of its customers. Given the highly competitive and historically cyclical nature of the industry, the Company may not be able to renew or replace expiring contracts or it may be required to renew or replace expiring contracts or obtain new contracts at rates that are below, and potentially substantially below, existing day rates, or that have terms that are less favorable to the Company than its existing contracts, or it may be unable to secure contracts for these vessels. This could have a material adverse effect on the Company's business, financial position, results of operations, cash flows and growth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early termination of contracts on the Company's vessels could have a material adverse effect on its operations.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Most of the long-term contracts for the Company's vessels contain early termination options in favor of the customer. Although some of such contracts have early termination remedies or other provisions designed to discourage the customer from exercising such options, the Company cannot assure investors that its customers would not choose to exercise their termination rights in spite of such remedies or the threat of litigation with the Company. Until replacement of such business with other customers, any termination could temporarily disrupt the Company's business or otherwise adversely affect its financial condition and results of operations. The Company might not be able to replace such business on economically equivalent terms. In addition, during the current and prior downturns, the Company has experienced customers requesting contractual concessions even though such concessions were contrary to existing contractual terms. While the Company may not be legally required to give concessions, commercial considerations may dictate that it do so. If the Company is unable to collect amounts owed to it or long-term contracts for its vessels are terminated and its vessels are not sufficiently utilized, this could have a material adverse effect on the Company's business, financial position, results of operations, cash flows and growth prospects.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Increased domestic and international laws and regulations may materially adversely impact the Company, and the Company may become subject to additional international laws and regulations in the event of high-profile incidents, such as the Deepwater Horizon drilling rig incident and resulting oil spill.</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Changes in laws or regulations regarding offshore oil and natural gas exploration and development activities and technical and operational measures, whether or not in connection with specific incidents, may increase the Company's costs and the costs of its customers' operations. For instance, in response to fatalities and environmental damages caused by a 2010 explosion on the Deepwater Horizon, a drilling rig operating in the Gulf of Mexico, the regulatory agencies with jurisdiction over oil and natural gas exploration, including the U.S. Department of the Interior and its relevant sub-agencies, imposed temporary moratoria on drilling operations, by requiring operators to reapply for exploration plans and drilling permits that had previously been approved, and by adopting numerous new regulations and new interpretations of existing regulations regarding offshore operations that are applicable to the Company's customers and with which their new applications for exploration plans and drilling permits must prove compliant. Compliance with these new regulations and new interpretations of existing regulations have materially increased the cost of drilling operations in the U.S. Gulf of Mexico. New or additional government regulations or laws concerning drilling operations in the U.S. Gulf of Mexico and other regions have in the past and could in the future materially increase the cost of drilling operations in the U.S. Gulf of Mexico and/or cause additional moratoria on drilling activities. These changes may influence decisions by customers or other industry participants that could reduce the demand for the Company's services, which could have a material adverse effect on the Company's business, financial position, results of operations, cash flows and growth prospects.</w:t>
      </w:r>
    </w:p>
    <w:p>
      <w:pPr>
        <w:sectPr>
          <w:pgSz w:w="11900" w:h="16838" w:orient="portrait"/>
          <w:cols w:equalWidth="0" w:num="1">
            <w:col w:w="11420"/>
          </w:cols>
          <w:pgMar w:left="240" w:top="118"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Outer Continental Shelf Lands Act, as amended, provides the federal government with broad discretion in regulating the leasing of offshore resources for the production of oil and natural gas.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Outer Continental Shelf Lands Act provides the federal government with broad discretion in regulating the release or continued use of offshore resources for oil and natural gas production. The current extent of permitted offshore leasing is uncertain. The President issued an Executive order in April 2017 encouraging offshore drilling. In addition, the Interior Department announced in January 2018 that it would lift a moratorium to allow new offshore oil and gas drilling in nearly all U.S. coastal waters. However, the decision to lift the moratorium is subject to pending legal challenge, the scope and timing of future offshore lease sales is unclear, several states have taken action to oppose offshore exploration and production in state waters and further legal challenge is likely. Because the Company's operations rely on offshore oil and gas exploration and production, the government's exercise of authority under the provisions of the Outer Continental Shelf Lands Act to restrict the availability of offshore oil and natural gas leases (for example, due to a serious incident of pollution) could have a material adverse effect on the Company's business, financial position, results of operations, cash flows and growth prospects.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complex laws and regulations, including environmental laws and regulations that can adversely affect the cost, manner or feasibility of doing business.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Increasingly stringent federal, state, local and international laws and regulations governing worker safety and health and the staffing, construction and operation of vessels significantly affect the Company's operations. Many aspects of the marine industry are subject to extensive governmental regulation and oversight, including by the USCG, Occupational Safety and Health Administration ("OSHA"), the NTSB, the EPA, the IMO, the U.S. Department of Homeland Security, the U.S. Maritime Administration, the UCBP, the BSEE, and state environmental protection agencies for those jurisdictions in which the Company operates, and to regulation by states and classification societies (such as the American Bureau of Shipping). The Company is also subject to regulation under international treaties, such as (i) MARPOL; (ii) SOLAS, (iii) Maritime Labour Convention, (iv) International Ballast Water Convention, and</w:t>
      </w:r>
    </w:p>
    <w:p>
      <w:pPr>
        <w:spacing w:after="0" w:line="5" w:lineRule="exact"/>
        <w:rPr>
          <w:sz w:val="20"/>
          <w:szCs w:val="20"/>
          <w:color w:val="auto"/>
        </w:rPr>
      </w:pPr>
    </w:p>
    <w:p>
      <w:pPr>
        <w:jc w:val="both"/>
        <w:ind w:firstLine="8"/>
        <w:spacing w:after="0" w:line="292" w:lineRule="auto"/>
        <w:tabs>
          <w:tab w:leader="none" w:pos="268"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International Convention on Standards of Training, Certification and Watchkeeping for Seafarers (“STCW”). These agencies, organizations, regulations and treaties establish safety requirements and standards and are authorized to investigate vessels and accidents and to recommend improved safety standards. The CBP and USCG are authorized to inspect vessels at will. The Company has and will continue to spend significant funds to comply with these regulations and treaties. Failure to comply with these regulations and treaties may cause the Company to incur significant liabilities or restrictions on its operations, any of which could have a material adverse effect on the Company's business, financial position, results of operations, cash flows and growth prospects.</w:t>
      </w:r>
    </w:p>
    <w:p>
      <w:pPr>
        <w:spacing w:after="0" w:line="16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Company's business and operations are also subject to federal, state, local and international laws and regulations relating to environmental protection and occupational safety and health, including laws and regulations that govern the discharge of oil and pollutants into waters regulated thereunder. Violations of these laws may result in civil and criminal penalties, fines, injunctions, or other sanctions, or the suspension or termination of the Company's operations. Compliance with such laws and regulations frequently require installation of costly equipment, increased staffing, increased fuel costs, specific training, or operational changes. Some environmental laws impose strict and, under certain circumstances, joint and several liability for remediation of spills and releases of oil and hazardous materials and damage to natural resources, which could subject the Company to liability without regard to whether it is negligent or at fault. Under the OPA 90, owners, operators and bareboat charterers are jointly and severally strictly liable for the removal costs and damages resulting from the discharge of oil within the navigable waters of the United States and the EEZ. In addition, an oil spill could result in significant liability, including fines, penalties, criminal liability and costs for natural resource and other damages under other federal and state laws and civil actions. Liability for a catastrophic spill could exceed the Company's available insurance coverage and result in it having to liquidate assets to pay claims. These laws and regulations may expose the Company to liability for the conduct of or conditions caused by others, including charterers. Because such laws and regulations frequently change and may impose increasingly strict requirements, the Company cannot predict the ongoing cost of complying with these laws and regulations. Additionally, reduced enforcement of existing safety and other laws or regulations may result in a decline in the demand for the Company's offshore support services that are provided in connection with compliance with such laws or regulations. The Company cannot be certain that existing laws, regulations or standards (and the enforcement thereof), as currently interpreted or reinterpreted in the future, or future laws and regulations and standards will not have a material adverse effect on the Company's business, financial position, results of operations, cash flows and growth prospects. Regulation of the offshore marine services industry will likely continue to become more stringent and more expensive for the Company. In addition, a serious marine incident that results in significant pollution or injury could result in additional regulation and lead to strict governmental enforcement or other legal challenges. The variability and uncertainty of current and future shipping regulations could hamper the ability of the Company and its customers to plan for the future or establish long-term strategies. Additional environmental and other requirements, as well as more stringent enforcement policies, may be adopted that could limit the Company's ability to operate, require the Company to incur substantial additional costs or otherwise have a material adverse effect on the Company's business, financial position, results of operations, cash flows and growth prospects. For more information, see "Business-Governmental Regulations-Environmental Compliance."</w:t>
      </w:r>
    </w:p>
    <w:p>
      <w:pPr>
        <w:spacing w:after="0" w:line="39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is required by various governmental and quasi-governmental agencies to obtain, maintain and periodically renew certain permits, licenses and certificates with respect to its operations or vessels. In certain instances, the failure to obtain, maintain or renew these authorizations could have a material adverse effect on the Company's business, financial position, results of operations, cash flows and growth prospects.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climate change and environmental regulations.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Governments and supranational groups around the world have, in recent years, placed increasing attention on matters affecting the environment and this could lead to new laws or regulations pertaining to climate change, carbon emissions or energy use that in turn could result in a reduction in demand for hydrocarbon-based fuel. In fact, a number of countries and organizations have adopted, or are considering the adoption of, regulatory frameworks to reduce greenhouse gas emissions. These regulatory measures or international treaties may include, among others, adoption of cap and trade regimes, carbon taxes, increased efficiency standards, and incentives or mandates for renewable energy and could include specific restrictions on shipping emissions.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Governments could also pass laws or regulations encouraging or mandating the use of alternative energy sources such as wind power and solar energy. These requirements could reduce demand for oil and natural gas and therefore the services provided by the Company. Alternatively, changes in U.S. law permitting additional drilling on federal lands could divert capital from offshore exploration. In addition, new environmental or emissions control laws or regulations may require an increase in the Company's operating costs and/or in its capital spending for additional equipment or personnel to comply with such requirements and could also result in a reduction in revenues due to downtime required for the installation of such equipment. Such initiatives could have a material adverse effect on the Company's business, financial position, results of operations, cash flows and growth prospects.</w:t>
      </w:r>
    </w:p>
    <w:p>
      <w:pPr>
        <w:sectPr>
          <w:pgSz w:w="11900" w:h="16838" w:orient="portrait"/>
          <w:cols w:equalWidth="0" w:num="1">
            <w:col w:w="11420"/>
          </w:cols>
          <w:pgMar w:left="240" w:top="118" w:right="239" w:bottom="379"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79"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violation of the Foreign Corrupt Practices Act of 1977 ("FCPA") or similar worldwide anti-bribery laws may adversely affect the Company's business and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order to effectively compete in certain foreign jurisdictions, the Company seeks to establish joint ventures with local operators or strategic partners. As a U.S. corporation, the Company is subject to the regulations imposed by the FCPA, which generally prohibits U.S. companies and their intermediaries from making improper payments to foreign officials for the purpose of obtaining or maintaining business. The Company has stringent policies and procedures in place to enforce compliance with the FCPA. Nevertheless, the Company does business and may do additional business in the future in countries and regions where strict compliance with anti-bribery laws may not be customary and the Company may be held liable for actions taken by its strategic or local partners even though these partners may not be subject to the FCPA. The Company's personnel and intermediaries, including its local operators and strategic partners, may face, directly or indirectly, corrupt demands by government officials, political parties and officials, tribal or insurgent organizations, or private entities in the countries in which it operates or may operate in the future.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growth prospects.</w:t>
      </w:r>
    </w:p>
    <w:p>
      <w:pPr>
        <w:spacing w:after="0" w:line="16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Company has significant international operations, which subjects it to risks. Unstable political, military and economic conditions in foreign countries where a significant proportion of the Company's operations is conducted could materially adversely impact its business.</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operates vessels and transacts other business worldwide. For the years ended December 31, 2018, 2017 and 2016, 79%, 87%, and 85%, respectively, of the Company's operating revenues and $(1.3) million, $1.9 million, and $(4.2) million respectively, of its equity in earnings (losses) from 50% or less owned companies, net of tax, were derived from its foreign operations. These operations are subject to risks, including potential vessel seizure, terrorist acts, piracy, kidnapping, nationalization of assets, currency restrictions, import or export quotas, tariffs and other forms of public and government regulation, all of which are beyond the Company's control. Economic sanctions or an oil embargo, for example, could have significant impact on activity in the oil and natural gas industry and, correspondingly, on the Company should it operate vessels in a country subject to any sanctions or embargo, or in the surrounding region to the extent any sanctions or embargo disrupts its operations.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Company's ability to compete in international markets may be adversely affected by foreign government regulations that favor or require the awarding of contracts to local competitors, or that require foreign persons to employ citizens of, or purchase supplies from, a particular jurisdiction. Further, the Company's foreign subsidiaries may face governmentally imposed restrictions on their ability to transfer funds to their parent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outside the United States involves additional risks, including the possibility of:</w:t>
      </w:r>
    </w:p>
    <w:p>
      <w:pPr>
        <w:spacing w:after="0" w:line="225" w:lineRule="exact"/>
        <w:rPr>
          <w:sz w:val="20"/>
          <w:szCs w:val="20"/>
          <w:color w:val="auto"/>
        </w:rPr>
      </w:pPr>
    </w:p>
    <w:p>
      <w:pPr>
        <w:ind w:left="820" w:hanging="164"/>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United States embargoes or restrictive actions by United States and foreign governments that could limit the Company's ability to provide services in foreign countries or cause retaliatory actions by such governments;</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change in, or the imposition of, withholding or other taxes on foreign income, tariffs or restrictions on foreign trade and investment;</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repatriation of earnings or currency exchange controls and import/export quotas;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unwaivable, burdensome local cabotage and local ownership laws and requirements;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nationalization, expropriation, asset seizure, blockades and blacklisting;</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in the availability, amount or terms of insurance coverage;</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contract rights and inability to enforce contracts;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political instability, war and civil disturbances or other risks that may limit or disrupt markets, such as terrorist acts, piracy and kidnapping;</w:t>
      </w:r>
    </w:p>
    <w:p>
      <w:pPr>
        <w:spacing w:after="0" w:line="236" w:lineRule="exact"/>
        <w:rPr>
          <w:rFonts w:ascii="Arial" w:cs="Arial" w:eastAsia="Arial" w:hAnsi="Arial"/>
          <w:sz w:val="17"/>
          <w:szCs w:val="17"/>
          <w:color w:val="auto"/>
        </w:rPr>
      </w:pPr>
    </w:p>
    <w:p>
      <w:pPr>
        <w:ind w:left="820" w:hanging="164"/>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hard currency shortages and controls on currency exchange that affect demand for the Company's services and its profitability;</w:t>
      </w:r>
    </w:p>
    <w:p>
      <w:pPr>
        <w:spacing w:after="0" w:line="170"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noncompliance with a wide variety of laws and regulations, such as the FCPA, and similar non-U.S. laws and regulations, including the U.K. Bribery Act 2010;</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strikes;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or export quotas and other forms of public and government regulation;</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inadequate or delayed response to natural disasters on other major incidents or events in less developed countries.</w:t>
      </w:r>
    </w:p>
    <w:p>
      <w:pPr>
        <w:sectPr>
          <w:pgSz w:w="11900" w:h="16838" w:orient="portrait"/>
          <w:cols w:equalWidth="0" w:num="1">
            <w:col w:w="11420"/>
          </w:cols>
          <w:pgMar w:left="240" w:top="118" w:right="239" w:bottom="102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28"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June 23, 2016, the citizens of the United Kingdom voted to leave the European Union. In March 2017, the British government invoked Article 50 of the Treaty on European Union, which formally triggered a negotiation process with the European Union. In March 2018, the parties agreed to a transition period of 21 months - from March 29, 2019 until the end of 2020 - before the United Kingdom leaves the European Union completely, assuming approval of the negotiated withdrawal agreement. Withdrawal from the European Union is politically controversial in the United Kingdom notwithstanding the 2016 vote. The British government and the European Union have now negotiated a withdrawal agreement and the European Union has approved that agreement, but the British Parliament has not yet approved it. As a result, there remains considerable uncertainty around the withdrawal. Failure to obtain British parliamentary approval of the negotiated withdrawal agreement would mean that the United Kingdom would leave the European Union on March 29, 2019, likely without any agreement with the European Union (a so-called “hard Brexit”). The consequences for the economies of the European Union members of the United Kingdom exiting the European Union are unknown and unpredictable, especially in the case of a hard Brexit. These uncertainties could increase volatility in the market and could have a material adverse effect on the Company’s business, financial condition, results of operations and cash flows.</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uncertainty surrounding the results of the Brexit referendum may cause disruptions to and create uncertainty surrounding the Company’s business, including affecting the Company’s relationships with its existing and future customers, suppliers and employees in its North Sea fleet and crew transfer operations. The effects of Brexit will depend on any agreements the U.K. makes to retain access to European Union markets either during a transitional period or more permanently. In addition, the exit of the U.K. from the E.U. could lead to legal and regulatory uncertainty and potentially divergent treaties, laws and regulations as the U.K. determines which E.U. treaties, laws and regulations to replace or replicate, including those governing maritime, labor, environmental, competition and other matters applicable to the provision of support vessel services. These developments may have a material adverse effect on global economic conditions and the stability of global financial markets and may significantly reduce global market liquidity and restrict the ability of key market participants to operate in certain financial markets. The impact on the Company's business of any treaties, laws and regulations with and in the U.K. that replace the existing E.U. counterparts cannot be predicted. Any of these effects, and others the Company cannot anticipate, could have a material adverse effect on the Company's business, financial position, results of operations, cash flows and growth prospects.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results could be impacted by U.S. social, political, regulatory and economic conditions as well as by changes in tariffs, trade agreements or other trade restrictions imposed by the U.S. government.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Changes in U.S. political, regulatory and economic conditions or in laws and policies governing foreign trade (including the U.S. trade agreements and U.S. tariff policies), travel to and from the United States, immigration, manufacturing, development and investment in the territories and countries in which the Company operates, and any negative sentiments or retaliatory actions towards the United States as a result of such changes, could adversely affect the global marine and support transportation services industry. Recent changes in U.S. foreign policy have created significant uncertainty about the future relationship between the United States and China, as well as with other countries, including with respect to the trade policies, treaties, government regulations and tariffs that could apply to trade between the United States and other nations. Changes in these policies may have a material adverse effect on the Company's business, financial position, results of operations, cash flows and growth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results of legal proceedings could materially adversely affect the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subject to and may in the future be subject to a variety of legal proceedings and claims that arise out of the ordinary conduct of its business. Results of legal proceedings cannot be predicted with certainty. Irrespective of its merits, litigation may be both lengthy and disruptive to the Company's operations and may cause significant expenditure and diversion of management attention. The Company may be faced with significant monetary damages or injunctive relief against it that which could have a material adverse effect on the Company's business, financial position, results of operations, cash flows and growth prospects should it fail to prevail in certain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the Company's debt structure.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2018, the Company has $404.7 million of outstanding indebtedness, including the Convertible Senior Notes and obligations under secured notes and credit facilities secured by mortgages on various vessels. This includes the $130.0 million loan facility Seacor Marine Foreign Holdings Inc. (“SMFH”), a wholly owned subsidiary of the Company, entered into with a syndicate of lenders on September 26, 2018.</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Company's ability to meet its debt service obligations and refinance its current indebtedness, as well as any future debt that it may incur, will depend upon its ability to generate cash in the future from operations, financings or asset sales, which are subject to general economic conditions, the Company's results of operations, industry cycles, seasonality and financial, business, the general state of the capital markets at the time it seeks to refinance its debt and other factors, some of which may be beyond the Company's control. If the Company cannot repay or refinance its debt as it becomes due, the Company may be forced to sell assets or take other disadvantageous actions, including undertaking alternative financing plans, which may have onerous terms or may be unavailable, dedicating an unsustainable level of the Company's cash flow from operations to the payment of principal and interest on its indebtedness and/or reducing the amount of liquidity available for working capital, capital expenditures and general corporate purposes. The Company's failure to pay or refinance its current or future debt under a credit facility when it becomes due could lead to the acceleration of all amounts due under such facility and potentially trigger a default or acceleration of the Company's other debt facilities. In addition, certain of the Company's debt facilities contain, and its future debt facilities may contain, restrictive and/or financial maintenance covenants, including requirements to maintain a minimum level of liquidity which could also affect cash available for working capital, capital expenditures and general corporate purposes. Failure to comply with these covenants could result in the lenders accelerating all amounts due under the facility and potentially trigger a default or acceleration of the Company's other debt facilities. The Company's obligations to repay indebtedness and comply with restrictive and/or financial maintenance covenants could also impair its ability to rapidly respond to changes in its business or industry and withstand competitive pressures. See "Management's Discussion and Analysis of Results of Operations and Financial Condition - Liquidity and Capital Resources" for additional information. The Company's overall debt level and/or market conditions could limit its ability to issue additional debt in amounts and/or on terms that it considers reasonable.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hazards customary for the operation of vessels that could disrupt operations and expose it to liability.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operation of offshore support and related vessels is subject to various risks, including catastrophic disaster, adverse weather, mechanical failure and collision. For instance, the Company's operations in the U.S. Gulf of Mexico may be adversely affected by weather. The Atlantic hurricane season runs from June through November. Tropical storms and hurricanes may limit the Company's ability to operate vessels in the proximity of storms, reduce oil and natural gas exploration, development and production activity, and could result in the Company incurring additional expenses to secure equipment and facilities. They may also require the Company to evacuate its vessels, personnel and equipment out of the path of a storm. Additional risks to vessels include adverse sea conditions, capsizing, grounding, oil and hazardous substance spills and navigation errors. These risks could endanger the safety of the Company's personnel, equipment, cargo and other property, as well as the environment. If any of these events were to occur, the Company could be held liable for resulting damages, including loss of revenues from or termination of charter contracts, higher insurance rates, increased operating costs, increased</w:t>
      </w:r>
    </w:p>
    <w:p>
      <w:pPr>
        <w:sectPr>
          <w:pgSz w:w="11900" w:h="16838" w:orient="portrait"/>
          <w:cols w:equalWidth="0" w:num="1">
            <w:col w:w="11420"/>
          </w:cols>
          <w:pgMar w:left="240" w:top="118" w:right="239" w:bottom="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governmental regulation and reporting and damage to the Company's reputation and customer relationships. Any such events would likely result in negative publicity for the Company and adversely affect its safety record, which would affect demand for its services in a competitive industry. In addition, the affected vessels could be removed from service and would then not be available to generate revenues.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protect it from the liabilities that could arise in its business.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the Company maintains insurance coverage against the risks related to its business, risks may arise for which it may not be insured. Claims covered by insurance are subject to deductibles, the aggregate amount of which could be material, and certain policies impose caps on coverage. Insurance policies are also subject to compliance with certain conditions, the failure of which could lead to a denial of coverage as to a particular claim or the voiding of a particular insurance policy. There also can be no assurance that existing insurance coverage can be renewed at commercially reasonable rates or that available coverage will be adequate to cover future claims. If a loss occurs that is partially or completely uninsured, or the carrier is unable or unwilling to cover the claim, the Company could be exposed to substantial liability. Further, to the extent the proceeds from insurance are not sufficient to repair or replace a damaged asset, the Company would be required to expend funds to supplement the insurance and in certain circumstances may decide that such expenditures are not justified, which, in either case, could adversely affect the Company's liquidity and ability to grow.</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undertake one or more significant corporate transactions that may not achieve their intended results, may adversely affect its financial condition and its results of operations, and may result in additional risks to its business.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continuously evaluates the acquisition and disposition of assets relevant to participants in the offshore energy industry and may in the future undertake significant transactions. Any such transaction could be material to the Company's business and could take any number of forms, including mergers, joint ventures, investments in new lines of business and the purchase of equity interests or assets. The form of consideration associated with such transactions may include, among other things, cash, Common Stock, securities convertible into Common Stock or other securities (privately or through a public offering), equity interests in the Company's subsidiaries, or other assets of the Company. The Company also evaluates the disposition of its assets, in whole or in part, which could take the form of asset sales, mergers or sales of equity interests in its subsidiaries (privately or through a public offering).</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types of significant transactions may present material risks and uncertainties, including distraction of management from current operations, insufficient revenue to offset liabilities assumed, potential loss of significant revenue and income streams, unexpected expenses, inadequate return of capital, potential acceleration of taxes currently deferred, regulatory or compliance issues, the triggering of certain covenants in the Company's debt instruments (including accelerated repayment) and other unidentified issues not discovered in due diligence. If the Company was to complete such an acquisition, disposition, investment or other strategic transaction, it may require additional debt or equity financing that could result in a significant increase in the amount of debt the Company has or the number of outstanding shares of its Common Stock. As a result of the risks inherent in such transactions, the Company cannot guarantee that any such transaction will ultimately result in the realization of the anticipated benefits of the transaction or that significant transactions will not have a material adverse impact on the Company's business, financial positions, results of operations, cash flows and growth prospects.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the Company does not restrict the amount of ownership of its Common Stock by non-U.S. citizens, it could be prohibited from operating offshore support vessels in the United States, which would adversely impact the Company's business and operating results.</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 subject to the Jones Act, which governs, among other things, the ownership and operation of vessels used to carry passengers and cargo between points in the United States. Subject to limited exceptions, the Jones Act requires that vessels engaged in the U.S. coastwise trade be built in the United States, registered under the U.S. flag, manned by predominantly U.S. crews and be owned and operated by "U.S. citizens" within the meaning of the Jones Act. Compliance with the Jones Act requires that non-U.S. citizens own no more than 25% in the entities that directly or indirectly own or operate the vessels that the Company operates in U.S. coastwise trade. Although the Company's second amended and restated certificate of incorporation and second amended and restated by-laws contain provisions intended to assure compliance with these provisions of the Jones Act, a failure to maintain compliance could have a material adverse effect on the Company's business, financial position, results of operations, cash flows and growth prospects and could temporarily or permanently prohibit the Company from operating vessels in the U.S. coastwise trade. In addition, the Company could be subject to fines and its vessels could be subject to seizure and forfeiture for violations of the Jones Act and the related U. S. vessel documentation laws.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Repeal, amendment, suspension or non-enforcement of the Jones Act would result in additional competition for the Company and could have a material adverse effect on the Company's business.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Substantial portions of the Company's operations are conducted in the U.S. coastwise trade and thus subject to the provisions of the Jones Act (discussed above). For years, there have been attempts to repeal or amend such provisions, and such attempts are expected to continue in the future.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in a 2017 congressional review of Puerto Rico's financial situation following Hurricane Maria, several proponents of repealing the Jones Act offered bills to exempt the island from the Jones Act. Although the proposals were limited in scope and failed, there is a risk that similar legislation could be reintroduced whether or not related to the occurrence of similar future events, which could lead to broader legislation affecting other aspects of the Jones Act.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Repeal, substantial amendment or waiver of provisions of the Jones Act could significantly adversely affect the Company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In addition, the Company's advantage as a U.S.-citizen operator of Jones Act vessels could be eroded by periodic efforts and attempts by foreign interests to circumvent certain aspects of the Jones Act. If maritime cabotage services were included in the General Agreement on Trade in Services, the United States-Mexico-Canada Agreement (“USMCA”) or other international trade agreements, or if the restrictions contained in the Jones Act were otherwise altered, the shipping of maritime cargo between covered U.S. points could be opened to foreign-flag or foreign-built vessels. Because foreign vessels may have lower construction costs and operate at significantly lower costs than companies operating in the U.S. coastwise trade, such a change could significantly increase competition in the U.S. coastwise trade, which could have a material adverse effect on the Company's business, financial position, results of operations, cash flows and growth prospects.</w:t>
      </w:r>
    </w:p>
    <w:p>
      <w:pPr>
        <w:sectPr>
          <w:pgSz w:w="11900" w:h="16838" w:orient="portrait"/>
          <w:cols w:equalWidth="0" w:num="1">
            <w:col w:w="11420"/>
          </w:cols>
          <w:pgMar w:left="240" w:top="118"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non-U.S. citizen ownership of the Company's vessels could limit its ability to sell off any portion of its business or result in the forfeiture of its vessels.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noted above, compliance with the Jones Act requires that non-U.S. citizens own no more than 25% in the entities that directly or indirectly own or operate the vessels that the Company operates in the U.S. coastwise trade. If the Company was to seek to sell any portion of its business that owns any of these vessels, it would have fewer potential purchasers, since some potential purchasers might be unable or unwilling to satisfy the U.S. citizenship restrictions described above. As a result, the sales price for that portion of the Company's business may not attain the amount that could be obtained through unconstrained bidding. Furthermore, if at any point the Company or any of the entities that directly or indirectly own its vessels cease to satisfy the requirements to be a U.S. citizen within the meaning of the Jones Act, the Company would become ineligible to operate in the U.S. coastwise trade and may become subject to penalties and risk forfeiture of its vessels.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Company's second amended and restated certificate of incorporation and its second amended and restated by-laws limit the ownership of Common Stock by individuals and entities that are not U.S. citizens within the meaning of the Jones Act. These restrictions may affect the liquidity of the Company's Common Stock and may result in non-U.S. citizens being required to sell their shares at a loss or relinquish their voting, dividend and distribution rights.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Jones Act, at least 75% of the outstanding shares of each class or series of the Company's capital stock must be owned and controlled by U.S. citizens within the meaning of the Jones Act. Certain provisions of the Company's second amended and restated certificate of incorporation and its second amended and restated by-laws are intended to facilitate compliance with this requirement and may have an adverse effect on holders of shares of the Company's Common Stock.</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provisions of the Company's second amended and restated certificate of incorporation, the aggregate percentage of ownership by non-U.S. citizens of any class or series of the Company's capital stock is limited to 22.5% of the outstanding shares of each such class or series to ensure that such ownership by non-U.S. citizens will not exceed the maximum percentage permitted by the Jones Act, which is presently 25%. The Company's second amended and restated certificate of incorporation also restricts ownership of shares of any class or series of its capital stock by a single non-U.S. citizen (and any other non-U.S. citizen whose ownership position would be aggregated with such non-U.S. citizen for purposes of the Jones Act) to not more than 4.9% of the outstanding shares of each such class or series. The Company refers to such percentage limitations on ownership by persons who are not U.S. citizens within the meaning of the Jones Act as the "applicable permitted percentage."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second amended and restated certificate of incorporation provides that any transfer or purported transfer of any shares of any class or series of its capital stock that would otherwise result in ownership (of record or beneficially) by non-U.S. citizens of shares of such class or series in excess of the applicable permitted percentage will be void and ineffective, and neither the Company nor its transfer agent will register any such transfer or purported transfer in the Company records or recognize any such transferee or purported transferee as a stockholder of the Company for any purpose (including for purposes of voting and dividends) except to the extent necessary to effect the remedies available to the Company under its second amended and restated certificate of incorporation.</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such transfer restriction would be ineffective for any reason, the Company's second amended and restated certificate of incorporation provides that if any transfer would otherwise result in ownership (of record or beneficially) by non-U.S. citizens of shares of such class or series in excess of the applicable permitted percentage, such transfer will cause such excess shares to be automatically transferred to a trust for the exclusive benefit of one or more charitable beneficiaries that are U.S. citizens within the meaning of the Jones Act. The proposed transferee will have no rights in the shares transferred to the trust, and the trustee, who will be a U.S. citizen chosen by the Company and unaffiliated with the Company or the proposed transferee, will have all voting, dividend and distribution rights associated with the shares held in the trust. The trustee will sell such excess shares to a U.S. citizen within 20 days of receiving notice from the Company (or as soon thereafter as a sale may be effected in compliance with all applicable securities laws) and distribute to the proposed transferee the lesser of the price that the proposed transferee paid for such shares and the amount received from the sale, and any gain from the sale will be paid to the charitable beneficiary of the trust.</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trust transfer provisions also apply to situations where ownership of a class or series of the Company's capital stock by non-U.S. citizens in excess of the applicable permitted percentage would result from a change in the status of a record or beneficial owner thereof from a U.S. citizen to a non-U.S. citizen or from a repurchase or redemption by the Company of shares of its capital stock, in which case such person will receive the lesser of the market price of the shares on the date of such status change or such share repurchase or redemption and the amount received from the sale. As part of the foregoing trust transfer provisions, the trustee will be deemed to have offered the excess shares in the trust to the Company at a price per share equal to the lesser of (i) the market price on the date the Company accepts the offer and (ii) the price per share in the purported transfer or original issuance of shares, as described in the preceding paragraph, or the market price per share on the date of the status change or share repurchase or redemption, that resulted in the transfer to the trust.</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a result of the above trust transfer provisions, a proposed transferee that is a non-U.S. citizen, or a record or beneficial owner whose citizenship status change results in excess shares, or whose shares become excess shares as a result of a repurchase or redemption by the Company of its capital stock may not receive any return on its investment in shares it purportedly purchases or owns, as the case may be, and it may sustain a loss.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the extent that the above trust transfer provisions would be ineffective for any reason to prevent ownership (of record or beneficially) by non-U.S. citizens of the shares of any class or series of the Company's capital stock in excess of the applicable permitted percentage, the Company's second amended and restated certificate of incorporation provides that the Company, in its sole discretion, shall be entitled to redeem all or any portion of such excess shares most recently acquired (as determined by the Company in accordance with guidelines that are set forth in its second amended and restated certificate of incorporation), by non-U.S. citizens, or owned (of record or beneficially) by non-U.S. citizens as a result of a change in citizenship status or a repurchase or redemption by the Company of shares of its capital stock, at a redemption price based on a fair market value formula that is set forth in the Company's second amended and restated certificate of incorporation. The per share redemption price may be paid, as determined by the Company's Board of Directors, by cash, promissory notes, warrants or a combination thereof. Such excess shares shall not be accorded any voting, dividend or distribution rights until they have ceased to be excess shares, provided that they have not been already redeemed by the Company. As a result of the above provisions, a proposed transferee or owner of the Company's Common Stock that is a non-U.S. citizen may not receive any return on its investment in shares it purportedly purchases or owns, as the case may be, and it may sustain a loss. Further, the Company may have to incur additional indebtedness, or use available cash (if any), to fund all or a portion of such redemption, in which case its financial condition may be materially weakened.</w:t>
      </w:r>
    </w:p>
    <w:p>
      <w:pPr>
        <w:sectPr>
          <w:pgSz w:w="11900" w:h="16838" w:orient="portrait"/>
          <w:cols w:equalWidth="0" w:num="1">
            <w:col w:w="11420"/>
          </w:cols>
          <w:pgMar w:left="240" w:top="118"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 that the Company may ensure its compliance with the Jones Act, its second amended and restated certificate of incorporation permits the Company to require that any record or beneficial owner of any shares of its capital stock provide the Company with certain documentation concerning such owner's citizenship. These provisions include a requirement that every person acquiring, directly or indirectly, five percent (5%) or more of the shares of any class or series of the Company's capital stock must provide the Company with specified citizenship documentation. In the event that any person does not submit such requested or required documentation to the Company, the Company's second amended and restated certificate of incorporation provides it with certain remedies, including the suspension of the voting rights of such person's shares of the Company's capital stock and the payment of dividends and distributions with respect to those shares into an escrow account. As a result of non-compliance with these provisions, a record or beneficial owner of the shares of Common Stock may lose significant rights associated with those shares.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the risks described above, the foregoing restrictions on ownership by non-U.S. citizens could delay, defer or prevent a transaction or change in control that might involve a premium price for the Company's Common Stock or otherwise be in the best interest of its stockholders.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non-U.S. citizens own more than 22.5% of the Company's Common Stock, the Company may not have the funds or the ability to redeem any excess shares and it could be forced to suspend its operations in the U.S. coastwise trade.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Company's second amended and restated certificate of incorporation and its second amended and restated by-laws contain provisions prohibiting ownership of its Common Stock by persons who are not U.S. citizens within the meaning of the Jones Act, in the aggregate, in excess of 22.5% of such shares, in order to ensure that such ownership by non-U.S. citizens will not exceed the maximum percentage permitted by the Jones Act, which is presently 25%. The Company's second amended and restated certificate of incorporation and its second amended and restated by-laws permit the Company to redeem such excess shares in the event that the transfer of such excess shares to a trust for sale would be ineffective. The per share redemption price may be paid, as determined by the Company's board of directors, by cash, promissory notes or warrants. However, the Company may not be able to redeem such excess shares for cash because its operations may not have generated sufficient excess cash flow to fund such redemption. If, for any reason, the Company is unable to effect such a redemption when such ownership of shares by non-U.S. citizens is in excess of 25% of the Common Stock, or otherwise prevent non-U.S. citizens in the aggregate from owning shares in excess of 25% of any such class or series of its capital stock, or fail to exercise its redemption rights because it is unaware that such ownership exceeds such percentage, the Company will likely be unable to comply with the Jones Act and will likely be required by the applicable governmental authorities to suspend its operations in the U.S. coastwise trade. Any such actions by governmental authorities would likely have a material adverse effect on the Company's business, financial position, results of operations, cash flows and growth prospects.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U.S.-flag vessels are subject to requisition for ownership or use by the United States in case of national emergency or national defense need.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Merchant Marine Act of 1936 provides that, during a national emergency declared by presidential proclamation or a period for which the President has proclaimed that the security of the national defense makes it advisable, the Secretary of Transportation may requisition the ownership or use of any vessel owned by U.S. citizens (which includes the Company) and any vessel under construction in the United States. If any of the Company's vessels were purchased or chartered by the federal government under this law, the Company would be entitled to just compensation, which is generally the fair market value of the vessel in the case of a purchase or, in the case of a charter, the fair market value of charter hire, but the Company would not be entitled to compensation for any consequential damages it may suffer. The purchase or charter for an extended period of time by the federal government of one or more of the Company's vessels under this law could have a material adverse effect on the Company's business, financial position, results of operations, cash flows and growth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fully indemnified by its customers for damage to their property or the property of their other contractors.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Company's contracts are individually negotiated, and the levels of indemnity and allocation of liabilities in them can vary from contract to contract depending on market conditions, particular customer requirements and other factors existing at the time a contract is negotiated. Additionally, the enforceability of indemnification provisions in the Company's contracts may be limited or prohibited by applicable law or may not be enforced by courts having jurisdiction, and the Company could be held liable for substantial losses or damages and for fines and penalties imposed by regulatory authorities. The indemnification provisions of the Company's contracts may be subject to differing interpretations, and the laws or courts of certain jurisdictions may enforce such provisions while other laws or courts may find them to be unenforceable, void or limited by public policy considerations, including when the cause of the underlying loss or damage is the Company's gross negligence or willful misconduct, when punitive damages are attributable to the Company or when fines or penalties are imposed directly against the Company. The law with respect to the enforceability of indemnities varies from jurisdiction to jurisdiction. Current or future litigation in particular jurisdictions, whether or not the Company is a party, may impact the interpretation and enforceability of indemnification provisions in the Company's contracts. There can be no assurance that the Company's contracts with its customers, suppliers and subcontractors will fully protect the Company against all hazards and risks inherent in its operations. There can also be no assurance that those parties with contractual obligations to indemnify the Company will be financially able to do so or will otherwise honor their contractual obligations.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sell vessels to improve its cash flow and liquidity because it may be unable to locate buyers with access to financing or to complete any sales on acceptable terms or within a reasonable time frame.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may seek to sell some of its vessels to provide liquidity and cash flow. However, given the current downturn in the oil and natural gas industry, there may not be sufficient activity in the market to sell the Company's vessels and the Company may not be able to identify buyers with access to financing or to complete any such sales. Even if the Company is able to locate appropriate buyers for its vessels, any sales may occur on less favorable terms than the terms that might be available in a more liquid market or at other times in the business cycle. In addition, the terms of the Company's current and future indebtedness may limit its ability to sell assets, including vessels, or require that it use the proceeds from any such sale in specified manner.</w:t>
      </w:r>
    </w:p>
    <w:p>
      <w:pPr>
        <w:sectPr>
          <w:pgSz w:w="11900" w:h="16838" w:orient="portrait"/>
          <w:cols w:equalWidth="0" w:num="1">
            <w:col w:w="11420"/>
          </w:cols>
          <w:pgMar w:left="240" w:top="118"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collect amounts owed to it by its customers.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typically grants its customers credit on a short-term basis. Related credit risks are inherent as the Company does not typically collateralize receivables due from customers. In addition, many of its international customers are state controlled and, as a result, the Company's receivables may be subject to local political priorities, which are out of the Company's control. The Company provides estimates for uncollectible accounts based primarily on its judgment using historical losses, current economic conditions and individual evaluations of each customer as evidence supporting the receivables valuations stated on the Company's financial statements. However, the Company's receivables valuation estimates may not be accurate and receivables due from customers reflected in its financial statements may not be collectible. The Company's inability to perform under its contractual obligations, or its customers' inability or unwillingness to fulfill their contractual commitments to the Company, may have a material adverse effect on the Company's business, financial position, results of operations, cash flows and growth prospects.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participates in joint ventures, and its investments in joint ventures could be adversely affected by its lack of sole decision-making authority and disputes between its partners and itself.</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participates in domestic and international joint ventures to further expand its capabilities, share risks and gain access to local markets. Due to the nature of joint venture arrangements, the Company does not unilaterally control the operating, strategic and financial policies of these business ventures. Decisions are often made on a collective basis, including the purchase and sale of assets, charter arrangements with customers and cash distributions to partners. In addition, joint ventures can often require unanimous approval of the parties to the joint venture or their representatives for certain fundamental decisions, which means that each joint venture party may have a veto right with respect to such decisions, which could lead to deadlock in the operations of the joint venture or partnership. Decisions made by the managers or the boards of these entities may not always be the decision that is most beneficial to the Company as one of the equity holders of the entity and may be contrary to the Company's objectives and may limit the Company's ability to transfer its interests. Investments in joint ventures involve risks that would not be present were a third-party not involved, including the possibility that the Company's co-ventures might become bankrupt or fail to fund their share of required capital contributions. Any failure of such other companies to meet their obligations to the Company or to third-parties, or any disputes with respect to the parties' respective rights and obligations, could have a material adverse effect on the joint ventures or their properties and, in turn, could have a material adverse effect on the Company's business, financial position, results of operations, cash flows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participation in industry-wide, multi-employer, defined benefit pension plans expose it to potential future losses.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of the Company's subsidiaries are participating employers in two industry-wide, multi-employer defined benefit pension plans in the U.K., the U.K. Merchant Navy Officers Pension Fund ("MNOPF") and the U.K. Merchant Navy Ratings Pension Fund ("MNRPF"). Among other risks associated with multi-employer plans, contributions and unfunded obligations of the multi-employer plan are shared by the plan participants. As a result, the Company may inherit unfunded obligations if other plan participants withdraw from the plan or cease to participate, and in the event that the Company withdraws from participation in one or both of these plans, it may be required to pay the plan an amount based on its allocable share of the underfunded status of the plan. Depending on the results of future actuarial valuations, it is possible that the plans could experience further deficits that will require funding from the Company, which would negatively impact its financial position,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may adversely impact the Company.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Media coverage and public statements that insinuate improper actions by the Company, regardless of their factual accuracy or truthfulness, may result in negative publicity, litigation or governmental investigations by regulators. Addressing negative publicity and any resulting litigation or investigations may distract management, increase costs and divert resources. Negative publicity may have an adverse impact on the Company's reputation and the morale of its employees, which could materially adversely affect its business, financial position, results of operations, cash flows and growth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operations are subject to certain foreign currency, interest rate, fixed-income, equity and commodity price risks.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is exposed to certain foreign currency, interest rate, fixed-income, equity and commodity price risks and, although some of these risks may be hedged, fluctuations could impact its financial position and its results of operations. The Company has, and anticipates that it will continue to have, contracts denominated in foreign currencies. It is often not practicable for the Company to effectively hedge the entire risk of significant changes in currency rates during a contract period. The Company's financial position, results of operations and cash flows have been negatively impacted for certain periods and positively impacted for other periods, and may continue to be affected to a material extent by the impact of foreign currency exchange rate fluctuations. For example, strengthening of the U.S. dollar could give rise to reduced prices from shipyards and incentivize additional investment in new equipment notwithstanding the current state of such market. The Company's financial position, results of operations and cash flows may also be affected by the cost of hedging activities that it undertakes. Volatility in the financial markets and overall economic uncertainty also increase the risk that the actual amounts realized in the future on the Company's debt and equity instruments could differ significantly from the fair values currently assigned to them. In addition, changes in interest rates may have a material adverse effect on the Company's business, financial position, results of operations, cash flows and growth prospects. Specifically, rising interest rates, including a potential rapid rise in interest rates, could increase the Company's cost of capital.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customers that operate wind farms rely on tax and other government incentives, the loss of which could adversely affect their business and liquidity, and in turn the Company's operations that support these customers.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customers in the North Sea and elsewhere that operate wind farms may rely on government policies that support renewable energy and enhance the economic feasibility of wind farms, as well as other renewable energy projects. These policies may provide tax and other incentives to owners and operators of these projects. These tax incentives may have a significant impact on various customers' revenues and budgets each year, and therefore on their ability to operate their business, expand their operations or hire offshore service providers. Should any such tax or other incentives be modified, amended or repealed to minimize or eliminate the current levels of benefits offered, it may decrease the need for offshore service providers, which could adversely affect the Company's business, financial position, results of operations, cash flows and growth prospects.</w:t>
      </w:r>
    </w:p>
    <w:p>
      <w:pPr>
        <w:sectPr>
          <w:pgSz w:w="11900" w:h="16838" w:orient="portrait"/>
          <w:cols w:equalWidth="0" w:num="1">
            <w:col w:w="11420"/>
          </w:cols>
          <w:pgMar w:left="240" w:top="118" w:right="239" w:bottom="811"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11"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engages in hedging activities which exposes it to risks.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corporate purposes and also as part of its trading activities, the Company has in the past and may in the future use futures and swaps to hedge risks, such as escalation in fuel costs and movements in foreign exchange rates and interest rates. Such activities can themselves result in losses when a position is purchased in a declining market or a position is sold in a rising market. The Company may also purchase inventory in larger than usual levels to lock in costs when it believes there may be large increases in the price of raw materials or other material used in its business. Such purchases expose the Company to risks of meeting margin calls and drawing on its capital, counter-party risk due to failure of an exchange or institution with which it has entered into a swap, incurring higher costs than competitors or similar businesses that do not engage in such strategies, and losses on its investment portfolio. Such strategies can also cause earnings to be volatile. If the Company fails to offset such volatility, this could have a material adverse effect on the Company's business, financial position, results of operations, cash flows and growth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final impacts of the Tax Cuts and Jobs Act could be materially different from the Company's current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2017, the Tax Cuts and Jobs Act was signed into law (the "Tax Act"). The Tax Act introduced significant changes to the Internal Revenue Code of 1986, as amended. The Company continues to examine the impact the Tax Act may have on its business. Notwithstanding the reduction in the federal corporate income tax rate from 35% to 21% as a result of Tax Act, the estimated impact of the new law is based on management's current knowledge and assumptions and recognized impacts could be materially different from current estimates based upon the Company's further analysis of the new law.</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the Company’s net operating loss carryforwards excluded potential tax benefits of $3.9 million as a result of uncertainty regarding interpretation of the Tax Act. Subsequent guidance has confirmed that the Company should recognize the tax benefits of $3.9 million and therefore, for the year ending December 31, 2018, the Company removed the valuation allowance previously established against the net operating loss carryforwards.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preparation of the 2017 federal income tax return, the Company’s management had overestimated the available foreign taxes that could be credited against the 2017 transition tax. This resulted in an additional tax liability of $3.4 million on its 2017 federal income tax return. This additional liability was recorded as a return-to-provision adjustment to tax expense during the year ended December 31, 2018.</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Company's inability to attract and retain qualified personnel and crew its vessels could have an adverse effect on its business.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Attracting and retaining skilled personnel is an important factor in the Company's future success. In addition, the success of the Company is dependent upon its ability to adequately crew its vessels. The market for qualified personnel is highly competitive and the Company cannot be certain that it will be successful in attracting and retaining qualified personnel and crewing its vessels in the future. If the Company fails to retain key personnel and hire, train and retain qualified employees, the Company may not be able to compete effectively, which could have a material adverse effect on the Company's business, financial position, results of operations, cash flows and growth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success depends on key members of its management, the loss of whom could disrupt its business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depends to a large extent on the efforts and continued employment of its executive officers and key management personnel. It does not maintain key-man insurance. The loss of services of one or more of its executive officers or key management personnel could have a material adverse effect on the Company's business, financial position, results of operations, cash flows and growth prospects.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employees are covered by federal laws that may subject it to job-related claims in addition to those provided by state laws.</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the Company's employees are covered by provisions of the Jones Act, the Death on the High Seas Act and general maritime law. These laws preempt state workers' compensation laws and permit these employees and their representatives to pursue actions against employers for job-related incidents in federal courts based on tort theories. Because the Company is not generally protected by the damage limits imposed by state workers' compensation statutes for these types of claims, it may have greater exposure for any claims made by these employees.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relies on information technology, and if it is unable to protect against service interruptions, data corruption, cyber-based attacks or network security breaches, its operations could be disrupted and its business could be negatively affected.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relies on information technology networks and systems, including the Internet and cloud services, to process, transmit and store electronic and financial information, manage a variety of business processes and activities, and comply with regulatory, legal and tax requirements. The Company also depends on its information technology infrastructure to capture knowledge of its business including its vessel operation systems containing information about vessel positioning and scheduling; to monitor its vessel maintenance and engine systems; to coordinate its business across its bases of operation including cargo delivery and equipment tracking; and to communicate within its organization and with customers, suppliers, partners and other third-parties. The Company's ability to service customers and operate vessels is dependent on the continued operation of these systems. While the company takes various precautions and has enhanced controls around its systems, its technology systems are susceptible to damage, disruptions or shutdowns, hardware or software failures, power outages, computer viruses, telecommunication failures, user errors, catastrophic events, or cyber-attacks including malware, other malicious software, phishing email attacks, attempts to gain unauthorized access to its data, the unauthorized release, corruption or loss of its data, loss or damage to its data delivery systems and other electronic security breaches.</w:t>
      </w:r>
    </w:p>
    <w:p>
      <w:pPr>
        <w:sectPr>
          <w:pgSz w:w="11900" w:h="16838" w:orient="portrait"/>
          <w:cols w:equalWidth="0" w:num="1">
            <w:col w:w="11420"/>
          </w:cols>
          <w:pgMar w:left="240" w:top="118"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information technology systems are in some cases integrated, so damage, disruption or shutdown to the system could result in a more widespread impact. If the Company's information technology systems suffer severe damage, disruption or shutdown, and its business continuity plans do not effectively resolve the issues in a timely manner, the Company's operations could be disrupted and its business could be negatively affected. In addition, cyber-attacks could lead to potential unauthorized access and disclosure of confidential information, data loss and corruption. There is no assurance that the Company will not experience these service interruptions or cyber-attacks in the future. Recent action by the IMO's Maritime Safety Committee and United States agencies indicate that cybersecurity regulations for the maritime industry are likely to be further developed in the near future in an attempt to combat cybersecurity threats. The Company is unable to predict the impact of such regulations at this time. Further, as the methods of cyber-attacks continue to evolve, the Company may be required to expend additional resources to continue to modify or enhance its protective measures or to investigate and remediate any vulnerabilities to cyber-attacks.</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 data protection laws apply to the Company in certain countries in which the Company does business. Specifically, the EU General Data Protection Regulation, or GDPR, which is applicable beginning May 2018, increases penalties up to a maximum of 4% of global annual turnover for breach of the regulation. The GDPR requires mandatory breach notification, the standard for which is also followed outside the EU (particularly in Asia). Non-compliance with data protection laws could expose the Company to regulatory investigations, which could result in fines and penalties. In addition to imposing fines, regulators may also issue orders to stop processing personal data, which could disrupt operations. The Company could also be subject to litigation from persons or corporations allegedly affected by data protection violations. Violation of data protection laws is a criminal offence in some countries, and individuals can be imprisoned or fined. Any violation of these laws or harm to the Company’s reputation could have a material adverse effect on the Company’s business, financial condition, results of operations and cash flows.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comply with new ballast water treatment requirements, the Company will have to install expensive ballast water treatment systems and modify its vessels to accommodate such systems.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International Convention for the Control and Management of Ships’ Ballast Water and Sediments (the “BWM Convention”), adopted by the UN International Maritime Organization in February 2004, calls for the prevention, reduction or elimination of the transfer of harmful aquatic organisms and pathogens through the control and management of ships' ballast water and sediments. The BWM Convention entered into force on September 8, 2017, with all vessels having to comply by 2024. In order to comply with these living organism limits, vessel owners will have to install expensive ballast water treatment systems and modify existing vessels to accommodate those systems or make port facility disposal arrangements, which may have a material impact on the Company’s business, financial condition and results of operations, depending on the cost of available ballast water treatment systems and the extent to which existing vessels or vessels under construction must be modified to accommodate such systems.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Factors Related to the Company's Spin-off</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SEACOR Marine was previously a subsidiary of SEACOR Holdings Inc. (along with its consolidated subsidiaries, other than 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Company relies on SEACOR Holdings' performance under various agreements and the Company will continue to be dependent on SEACOR Holdings to provide it with support services for its business. In addition, SEACOR Holdings will rely on the Company's performance under various agreements.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various agreements with SEACOR Holdings in connection with the Spin-off, including two Transition Services Agreements, a Distribution Agreement, a Tax Matters Agreement and an Employee Matters Agreement. These agreements govern the Company's relationship with SEACOR Holdings subsequent to the Spin-off including administrative and similar services that each company will provide to the other under the Transition Services Agreements. It is possible that if SEACOR Holdings were to fail to fulfill its obligations under these agreements the Company could suffer operational difficulties or significant losses.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Company is required to indemnify SEACOR Holdings for certain liabilities and related losses arising in connection with any of these agreements, the Company may be subject to substantial liabilities, which could materially adversely affect its financial position. Specifically, pursuant to the Distribution Agreement, the Company and SEACOR Holdings are required to use their commercially reasonable efforts to cause SEACOR Holdings to be released from any guarantees it has given to third-parties on the Company's behalf or on behalf of the Company's 50% or less owned companies. If SEACOR Holdings is not released under any of these guarantees, the Company is required to indemnify SEACOR Holdings for any liabilities incurred as a guarantor. As of December 31, 2018, the aggregate amount of obligations that SEACOR Holdings has guaranteed on the Company's behalf was $40.6 million. Under the Distribution Agreement, the Company must pay SEACOR Holdings a fee of 0.5% per annum of the aggregate amount of guaranteed by SEACOR Holdings.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terms of the Transition Services Agreements, the Company and SEACOR Holdings provide each other with certain support services on an interim basis following the Spin-off. The Company expects these services to be provided for varying durations but no greater than two years following the Spin-off.</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SEACOR Holdings is contractually obligated to provide the Company with services during the term of the agreement, the Company cannot assure investors that the services will be performed as efficiently or proficiently after the expiration of the agreement, or that the Company will be able to replace these services in a timely manner or on comparable terms. They also contain provisions that may be more favorable than terms and provisions the Company might have obtained in arms-length negotiations with unaffiliated third-parties. When SEACOR Holdings ceases to provide services pursuant to the agreement, the Company's costs of procuring those services from third-parties may increase. In addition, the Company may not be able to replace these services or enter into appropriate third-party agreements on terms and conditions, including cost, comparable to those under the SEACOR Holdings Transition Services Agreement. Although the Company intends to replace some of the services provided by SEACOR Holdings under the SEACOR Holdings Transition Services Agreement, the Company may encounter difficulties replacing certain services or be unable to negotiate pricing or other terms as favorable as those it currently has in effect. To the extent that the Company may require additional support from SEACOR Holdings not addressed in the SEACOR Holdings Transition Services Agreement, the Company would need to negotiate the terms of receiving such support in future agreements. Further, if the Company fails to perform under the SEACOR Marine Transition Services Agreement, depending upon the circumstance surrounding the failure, it may become liable to SEACOR Holdings for damages.</w:t>
      </w:r>
    </w:p>
    <w:p>
      <w:pPr>
        <w:sectPr>
          <w:pgSz w:w="11900" w:h="16838" w:orient="portrait"/>
          <w:cols w:equalWidth="0" w:num="1">
            <w:col w:w="11420"/>
          </w:cols>
          <w:pgMar w:left="240" w:top="118" w:right="239" w:bottom="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p>
    <w:p>
      <w:pPr>
        <w:sectPr>
          <w:pgSz w:w="11900" w:h="16838" w:orient="portrait"/>
          <w:cols w:equalWidth="0" w:num="1">
            <w:col w:w="11420"/>
          </w:cols>
          <w:pgMar w:left="240" w:top="118" w:right="239" w:bottom="0" w:gutter="0" w:footer="0" w:header="0"/>
          <w:type w:val="continuous"/>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there is a determination that the Spin-off was taxable for U.S. federal income tax purposes because the facts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assumptions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representations or undertakings underlying the tax opinion were incorrect or for any other reason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then SEACOR Holdings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its stockholders that are subject to U.S. federal income tax and SEACOR Marine could incur significant U.S. federal income tax liabilities.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connection with the Spin-off, SEACOR Holdings received an opinion of its counsel, Milbank LLP (f/k/a Milbank, Tweed, Hadley &amp; McCloy LLP), substantially to the effect that the Spin-off qualifies as a transaction that is described in Section 355 of the Code. The opinion relied on certain facts, assumptions, representations and undertakings from SEACOR Holdings and the Company regarding the past and future conduct of the companies' respective businesses and other matters. If any of these facts, assumptions, representations or undertakings were incorrect, SEACOR Holdings and its stockholders may not be able to rely on the opinion of counsel and could be subject to significant tax liabilities. Notwithstanding the opinion of counsel, the IRS could determine on audit that the Spin-off was taxable if it determines that any of these facts, assumptions, representations or undertakings were not correct or had been violated or if it disagrees with the conclusions in the opinion, or for other reasons, including as a result of certain significant changes in the stock ownership of SEACOR Holdings or SEACOR Marine after the Spin-off. If the Spin-off is determined to be taxable, SEACOR Holdings, its stockholders that are subject to U.S. federal income tax and the Company could incur significant U.S. federal income tax liabilities.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Spin-off, the Company and SEACOR Holdings entered into the Tax Matters Agreement that governs the parties' respective rights, responsibilities and obligations with respect to taxes, tax attributes, the preparation and filing of tax returns, the control of audits and other tax proceedings and assistance and cooperation in respect of tax matters. Taxes relating to or arising out of the failure of the Spin-off to qualify as a tax-free transaction for U.S. federal income tax purposes are the responsibility of SEACOR Holdings, except, in general, if such failure is attributable to the Company's action or inaction or SEACOR Holdings' action or inaction.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obligations under a Tax Matters Agreement are not limited in amount or subject to any cap. Further, even if the Company is not responsible for tax liabilities of SEACOR Holdings and its subsidiaries under the Tax Matters Agreement, the Company nonetheless could be liable under applicable tax law for such liabilities if SEACOR Holdings were to fail to pay them. If the Company is required to pay any liabilities under the circumstances set forth in the Tax Matters Agreement or pursuant to applicable tax law, the amounts may be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engage in certain corporate transactions for a period of time after the Spin-off.</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 preserve the tax-free treatment to SEACOR Holdings of the Spin-off, under the Tax Matters Agreement with SEACOR Holdings, the Company may not take any action that would jeopardize the favorable tax treatment of the distribution. These restrictions may limit the Company's ability to pursue certain strategic transactions or engage in other transactions that might increase the value of its business for the two-year period following the Spin-off.</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Spin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off may expose the Company to potential liabilities arising out of state and federal fraudulent conveyance laws and legal dividend requirements.</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Spin-off is subject to review under various state and federal fraudulent conveyance laws. Fraudulent conveyance laws generally provide that an entity engages in a constructive fraudulent conveyance when (i) the entity transfers assets and does not receive fair consideration or reasonably equivalent value in return, and (ii) the entity (a) is insolvent at the time of the transfer or is rendered insolvent by the transfer, (b) has unreasonably small capital with which to carry on the Company's business, or (c) intends to incur or believes it will incur debts beyond its ability to repay its debts as they mature. An unpaid creditor or an entity acting on behalf of a creditor (including without limitation a trustee or debtor-in-possession in a bankruptcy by the Company or SEACOR Holdings or any of the Company's respective subsidiaries) may bring an action alleging that the distribution or any of the related transactions constituted a constructive fraudulent conveyance. If a court accepts these allegations, it could impose a number of remedies, including without limitation, voiding the Company's claims against SEACOR Holdings, requiring the Company's shareholders to return to SEACOR Holdings some or all of the shares of the Company's Common Stock issued in the distribution, or providing SEACOR Holdings with a claim for money damages against the Company in an amount equal to the difference between the consideration received by SEACOR Holdings and the fair market value of the Company at the time of the distribution.</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measure of insolvency for purposes of the fraudulent conveyance laws will vary depending on which jurisdiction's law is applied. Generally, an entity would be considered insolvent if (i) the present fair saleable value of its assets is less than the amount of its liabilities (including contingent liabilities);</w:t>
      </w:r>
    </w:p>
    <w:p>
      <w:pPr>
        <w:jc w:val="both"/>
        <w:ind w:firstLine="8"/>
        <w:spacing w:after="0" w:line="295" w:lineRule="auto"/>
        <w:tabs>
          <w:tab w:leader="none" w:pos="2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present fair saleable value of its assets is less than its probable liabilities on its debts as such debts become absolute and matured; (iii) it cannot pay its debts and other liabilities (including contingent liabilities and other commitments) as they mature; or (iv) it has unreasonably small capital for the business in which it is engaged. The Company cannot assure investors what standard a court would apply to determine insolvency or that a court would determine that the Company, SEACOR Holdings or any of the Company's respective subsidiaries were solvent at the time of or after giving effect to the distribution.</w:t>
      </w:r>
    </w:p>
    <w:p>
      <w:pPr>
        <w:spacing w:after="0" w:line="162"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The distribution of SEACOR Marine Common Stock is also subject to review under state corporate distribution statutes. Under the Delaware General Corporation Law (the "DGCL"), a corporation may only pay dividends to its shareholders either (i) out of its surplus (net assets minus capital) or</w:t>
      </w:r>
    </w:p>
    <w:p>
      <w:pPr>
        <w:jc w:val="both"/>
        <w:ind w:firstLine="8"/>
        <w:spacing w:after="0" w:line="255" w:lineRule="auto"/>
        <w:tabs>
          <w:tab w:leader="none" w:pos="2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there is no such surplus, out of its net profits for the fiscal year in which the dividend is declared and/or the preceding fiscal year. Although SEACOR Holdings intended to make the distribution of SEACOR Marine Common Stock entirely from surplus, the Company cannot assure investors that a court will not later determine that some or all of the distribution to SEACOR Holdings shareholders was unlawful.</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condition to the distribution, the SEACOR Holdings board of directors obtained, prior to the distribution, an opinion from a nationally recognized provider of such opinions that SEACOR Holdings and the Company would each be solvent and adequately capitalized immediately after the Spin-off. The Company cannot assure investors, however, that a court would reach the same conclusions set forth in the opinion in determining whether SEACOR Holdings or the Company were insolvent at the time of, or whether lawful funds were available for the Spin-off and the distribution to SEACOR Holdings shareholders.</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Factors Related to the Company's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stock price may fluctuate significantly, and investors may not be able to sell their shares at an attractive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trading price of the Company's Common Stock may be volatile and subject to wide price fluctuations in response to various factors including:</w:t>
      </w:r>
    </w:p>
    <w:p>
      <w:pPr>
        <w:spacing w:after="0" w:line="248" w:lineRule="exact"/>
        <w:rPr>
          <w:sz w:val="20"/>
          <w:szCs w:val="20"/>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capital structure and liquidity;</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commodity prices and in particular prices of oil and natural gas;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the Company's quarterly financial condition and results of operations;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new equipment or services by the Company or its competitors;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79"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and sales of large blocks of the Company's Common Stock and the frequency with which the Common Stock trades on the New York Stock Exchange;</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for oil;</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oil and natural gas production levels by non-OPEC countries;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These and other factors may cause the market price and demand for the Company's Common Stock to fluctuate substantially, which may limit or prevent investors from readily selling their shares of the Company's Common Stock and may otherwise negatively affect the liquidity of the Company's Common Stock. In addition, in the past, when the market price of a stock has been volatile, holders of that stock have sometimes instituted securities class action litigation against the company that issued the stock. If any of the Company's stockholders were to bring a lawsuit against it, the Company could incur substantial costs defending the lawsuit. Such a lawsuit could also divert the time and attention of the Company's management from its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investor's percentage of ownership in the Company may be diluted in the future.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with any publicly traded company, an investor's percentage ownership in the Company may be diluted in the future because of equity issuances for acquisitions, capital market transactions or otherwise, including equity awards that the Company has and will continue to grant to its directors, officers and employees. For instance, in April 2018, the Company issued 2,168,586 shares of common stock, and warrants to purchase 674,164 shares of common stock at a purchase price of $0.01 per share, in a private placement for cash. In addition, an investor's percentage ownership in the Company will be diluted if any of the holders of the Convertible Senior Notes exercise their right to convert the principal amount of their outstanding notes, in whole or in part, into shares of the Company's Common Stock. Holders of the Convertible Senior Notes are entitled to convert the principal amount of their outstanding notes into shares of the Company's Common Stock at an initial conversion rate of 23.26 shares of the Company's Common Stock per $1,000 principal amount of the Convertible Senior Notes through November 29, 2022. The Company has granted the holders of the Convertible Senior Notes certain registration rights to assist them with the sale of Common Stock issuable upon conversion of such notes. Any substantial issuance of the Company's Common Stock, including Common Stock issuable upon the conversion of the Convertible Senior Notes, could significantly affect the trading price of the Company's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the Company's business, if they adversely change their recommendations regarding the Company's stock or if the Company's results of operations do not meet their expectations, the Company's stock price and trading volume could decline.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trading market for the Company's Common Stock is influenced by the research and reports that industry or securities analysts publish about the Company or its business. If one or more of these analysts cease coverage of the Company or fail to publish reports on the Company regularly, the Company could lose visibility in the financial markets, which in turn could cause its stock price or trading volume to decline. Moreover, if one or more of the analysts who cover the Company downgrade recommendations regarding the Company's stock, or if the Company's results of operations do not meet their expectations, the Company's stock price could decline and such decline could be material.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 as long as the Company is an "Emerging Growth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it will be exempt from certain reporting requirements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those relating to accounting standards and disclosure about its executive compensation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that apply to other public companies.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April 2012, the JOBS Act was signed into law. The JOBS Act contains provisions that, among other things, relax certain reporting requirements for "Emerging Growth Companies," including certain requirements relating to accounting standards and compensation disclosure. The Company is classified as an "Emerging Growth Company," which is defined as a company with annual gross revenues of less than $1 billion, that has been a public reporting company for a period of less than five years, and that does not have a public float of $700 million or more in securities held by non-affiliated holders. For as long as the Company is an "Emerging Growth Company," which may be up to five full fiscal years, unlike other public companies, unless the Company elects not to take advantage of applicable JOBS Act provisions, it will not be required to (i) provide an auditor's attestation report on management's assessment of the effectiveness of its system of internal control over financial reporting pursuant to Section 404 of the Sarbanes-Oxley Act, (ii) comply with any new or revised financial accounting standards applicable to public companies until such standards are also applicable to private companies under Section 102(b)(1) of the JOBS Act, (iii) comply with any new requirements adopted by the Public Company Accounting Oversight Board (the "PCAOB"), such as requiring mandatory audit firm rotation or a supplement to the auditor's report in which the auditor would be required to provide additional information about the audit and the financial statements of the issuer, (iv) comply with any new audit rules adopted by the PCAOB after April 5, 2012 unless the SEC determines otherwise, (v) provide certain disclosure regarding executive compensation required of larger public companies or (vi) hold stockholder advisory and other votes on executive compensation. The Company cannot predict if investors will find its Common Stock less attractive if it chooses to rely on these exemptions. If some investors find the Company's Common Stock less attractive as a result of any choices to reduce future disclosure, there may be a less active trading market for the Company's Common Stock and its stock price may be more volatile.</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noted above, under the JOBS Act, "Emerging Growth Companies" can delay adopting new or revised accounting standards that have different effective dates for public and private companies until such time as those standards apply to private companies. The Company elected not to take advantage of such extended transition period, which election is irrevocable pursuant to Section 107 of the JOBS Act.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is obligated to develop and maintain proper and effective internal control over financial reporting and is subject to other requirements that will be burdensome and costly.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historically operated its business as a segment of a public company. As a separate company, it is required to file with the SEC annual and quarterly information and other reports that are specified in Section 13 of the Exchange Act. The Company is also required to ensure that it has the ability to prepare financial statements that are fully compliant with all SEC reporting requirements on a timely basis. In addition, the Company is subject to other reporting and corporate governance requirements, including the requirements of the NYSE, and certain provisions of the Sarbanes-Oxley Act and the regulations promulgated thereunder, which impose significant compliance obligations upon the Company. As a public company, the Company is required to:</w:t>
      </w:r>
    </w:p>
    <w:p>
      <w:pPr>
        <w:spacing w:after="0" w:line="158" w:lineRule="exact"/>
        <w:rPr>
          <w:sz w:val="20"/>
          <w:szCs w:val="20"/>
          <w:color w:val="auto"/>
        </w:rPr>
      </w:pPr>
    </w:p>
    <w:p>
      <w:pPr>
        <w:ind w:left="820" w:hanging="164"/>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its obligations under the federal securities laws and NYSE rules;</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expand the roles and duties of its board of directors and committees of the board of directors;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279"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supplement its internal accounting and auditing function, including hiring additional staff with expertise in accounting and financial reporting for a public company;</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and formalize closing procedures at the end of the Company's accounting periods;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the Company's internal audit function;</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the Company's investor relations function;</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These changes require a significant commitment of additional resources, including increased auditing and legal fees and costs associated with hiring additional accounting and administrative staff. The Company may not be successful in fully and efficiently implementing these requirements and implementing them could materially adversely affect its business, financial position, results of operations, cash flows and growth prospects.</w:t>
      </w:r>
    </w:p>
    <w:p>
      <w:pPr>
        <w:sectPr>
          <w:pgSz w:w="11900" w:h="16838" w:orient="portrait"/>
          <w:cols w:equalWidth="0" w:num="1">
            <w:col w:w="11420"/>
          </w:cols>
          <w:pgMar w:left="240" w:top="118" w:right="239" w:bottom="838"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38"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over financial reporting in accordance with Section 404 could have a material adverse effect on the Company.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internal controls were initially developed when it was a subsidiary of SEACOR Holdings; however, Section 404 of the Sarbanes-Oxley Act ("Section 404") requires the Company to establish effective internal controls over financial reporting and disclosure controls and procedures pursuant to Section 404 and to assess the effectiveness of such controls beginning with the fiscal year ended December 31, 2018.</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Provisions in the Company's second amended and restated certificate of incorporation, second amended and restated by-laws, and Delaware law may discourage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delay or prevent a change of control of the Company or changes in the Company's management and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therefore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may depress the trading price of its Common Stock.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second amended and restated certificate of incorporation and second amended and restated by-laws include certain provisions that could have the effect of discouraging, delaying or preventing a change of control of the Company or changes in its management, including, among other things:</w:t>
      </w:r>
    </w:p>
    <w:p>
      <w:pPr>
        <w:spacing w:after="0" w:line="181" w:lineRule="exact"/>
        <w:rPr>
          <w:sz w:val="20"/>
          <w:szCs w:val="20"/>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ability of the Company's stockholders to fill a vacancy on the board of directors;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related to the ability of non-U.S. citizens owning the Company's Common Stock;</w:t>
      </w:r>
    </w:p>
    <w:p>
      <w:pPr>
        <w:spacing w:after="0" w:line="279"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issue preferred stock with terms that the board of directors may determine, without stockholder approval, which could be used to significantly dilute the ownership of a hostile acquirer;</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cumulative voting in the election of directors which may limit the ability of minority stockholders to elect directors; and</w:t>
      </w:r>
    </w:p>
    <w:p>
      <w:pPr>
        <w:spacing w:after="0" w:line="279"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in the Company's second amended and restated certificate of incorporation and second amended and restated by-laws may discourage, delay or prevent a transaction involving a change in control of the Company that is in the best interest of its stockholders. Even in the absence of a takeover attempt, the existence of these provisions may adversely affect the prevailing market price of the Company's Common Stock if they are viewed as discouraging future takeover attempts.</w:t>
      </w:r>
    </w:p>
    <w:p>
      <w:pPr>
        <w:spacing w:after="0" w:line="187"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Company's second amended and restated by-laws provide that, unless the Company otherwise consents in writing to an alternative forum, the Court of Chancery located in the State of Delaware is the sole and exclusive forum for any derivative action or proceeding brought on behalf of the Company, any action asserting a claim of breach of a fiduciary duty owed by any director, officer or employee of the Company to itself or to its stockholders, any action asserting a claim arising pursuant to any provision of the DGCL, or any action asserting a claim governed by the internal affairs doctrine.</w:t>
      </w:r>
    </w:p>
    <w:p>
      <w:pPr>
        <w:spacing w:after="0" w:line="14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second amended and restated by-laws provide that, unless the Company otherwise consents in writing to an alternative forum, the Court of Chancery located in the State of Delaware is the sole and exclusive forum for any derivative action or proceeding brought on behalf of the Company, any action asserting a claim of breach of a fiduciary duty owed by any director, officer or employee of the Company to itself or to its stockholders, any action asserting a claim arising pursuant to any provision of the DGCL, or any action asserting a claim governed by the internal affairs doctrine. This provision may limit a stockholder's ability to bring a claim in a judicial forum that it finds favorable for disputes with the Company or its directors, officers, employees or other stockholders, which may discourage such lawsuits against the Company and its directors, officers, employees or other stockholders. Alternatively, if a court were to find this provision in the Company's second amended and restated by-laws to be inapplicable or unenforceable in an action, the Company may incur additional costs associated with resolving such action in other jurisdictions, which could adversely affect its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does not expect to pay dividends to holders of its Common Stock.</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currently intends to retain its future earnings, if any, for the foreseeable future, to repay indebtedness and to fund the development and growth of its business. The Company does not intend to pay any dividends to holders of its Common Stock. As a result, capital appreciation in the price of the Company's Common Stock, if any, will be investor's only source of gain or income on an investment in the Company's Common Stock.</w:t>
      </w:r>
    </w:p>
    <w:p>
      <w:pPr>
        <w:sectPr>
          <w:pgSz w:w="11900" w:h="16838" w:orient="portrait"/>
          <w:cols w:equalWidth="0" w:num="1">
            <w:col w:w="11420"/>
          </w:cols>
          <w:pgMar w:left="240" w:top="118"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Offshore support vessels are the principal physical properties owned by the Company as more fully described in "Item 1. Business."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 things, claims by third-parties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growth prospects.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Officers of SEACOR Marine serve at the pleasure of the Board of Directors. The name, age and offices held by each of SEACOR Marine's current executive officers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20"/>
                <w:szCs w:val="20"/>
                <w:color w:val="auto"/>
              </w:rPr>
            </w:pPr>
          </w:p>
        </w:tc>
        <w:tc>
          <w:tcPr>
            <w:tcW w:w="8400" w:type="dxa"/>
            <w:vAlign w:val="bottom"/>
            <w:gridSpan w:val="2"/>
          </w:tcPr>
          <w:p>
            <w:pPr>
              <w:ind w:left="388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John Gellert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48</w:t>
            </w:r>
          </w:p>
        </w:tc>
        <w:tc>
          <w:tcPr>
            <w:tcW w:w="852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w w:val="97"/>
              </w:rPr>
              <w:t>President and Chief Executive Officer since June 1, 2017. Prior to the Spin-off, Mr. Gellert was the Co-Chief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Operating Officer of SEACOR Holdings since February 23, 2015 and from May 2004 to February 2015, Senior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Vice President of SEACOR Holdings. In July 2005, Mr. Gellert was appointed President of SEACOR Holdings'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Offshore Marine Services' segment, a capacity in which he served until the Spin-off. Since June 1992, when Mr.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Gellert joined SEACOR Holdings, until July 2005, he had various financial, analytical, chartering and marketing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roles within SEACOR Holdings.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Jesus Llorca</w:t>
            </w:r>
          </w:p>
        </w:tc>
        <w:tc>
          <w:tcPr>
            <w:tcW w:w="820" w:type="dxa"/>
            <w:vAlign w:val="bottom"/>
            <w:gridSpan w:val="2"/>
          </w:tcPr>
          <w:p>
            <w:pPr>
              <w:jc w:val="center"/>
              <w:ind w:left="70"/>
              <w:spacing w:after="0" w:line="201" w:lineRule="exact"/>
              <w:rPr>
                <w:sz w:val="20"/>
                <w:szCs w:val="20"/>
                <w:color w:val="auto"/>
              </w:rPr>
            </w:pPr>
            <w:r>
              <w:rPr>
                <w:rFonts w:ascii="Arial" w:cs="Arial" w:eastAsia="Arial" w:hAnsi="Arial"/>
                <w:sz w:val="18"/>
                <w:szCs w:val="18"/>
                <w:color w:val="auto"/>
                <w:w w:val="89"/>
              </w:rPr>
              <w:t>43</w:t>
            </w:r>
          </w:p>
        </w:tc>
        <w:tc>
          <w:tcPr>
            <w:tcW w:w="85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3"/>
              </w:rPr>
              <w:t>Executive Vice President and Chief Financial Officer since April 1, 2018. Prior to his appointment, Mr. Llorca was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w w:val="91"/>
              </w:rPr>
              <w:t>Executive Vice President of Corporate Development since June 1, 2017. Prior to the Spin-off, Mr. Llorca was a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w w:val="97"/>
              </w:rPr>
              <w:t>President of SEACOR Holdings since 2007. From 2004 to 2007, Mr. Llorca worked in the corporate group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w w:val="93"/>
              </w:rPr>
              <w:t>SEACOR Holdings assisting the General Counsel. From 2000 to 2004, Mr. Llorca worked for Nabors Drilling. Mr.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Llorca graduated from ICADE with degrees in business and law.</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Clemons</w:t>
            </w:r>
          </w:p>
        </w:tc>
        <w:tc>
          <w:tcPr>
            <w:tcW w:w="820" w:type="dxa"/>
            <w:vAlign w:val="bottom"/>
            <w:gridSpan w:val="2"/>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89"/>
              </w:rPr>
              <w:t>47</w:t>
            </w:r>
          </w:p>
        </w:tc>
        <w:tc>
          <w:tcPr>
            <w:tcW w:w="85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Executive Vice President and Chief Operating Officer since June 1, 2017. Prior to the Spin-off, Mr. Clemons served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as Vice President and Chief Operating Officer of SEACOR Holdings' Americas division since 2007. Prior to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Mr. Clemons was General Manager of SEACOR Holdings' Offshore Marine Services' West Africa region. Mr.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Clemons has over 15 years of industry experience and holds degrees in business and law.</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Anthony Weller</w:t>
            </w:r>
          </w:p>
        </w:tc>
        <w:tc>
          <w:tcPr>
            <w:tcW w:w="820" w:type="dxa"/>
            <w:vAlign w:val="bottom"/>
            <w:gridSpan w:val="2"/>
          </w:tcPr>
          <w:p>
            <w:pPr>
              <w:jc w:val="center"/>
              <w:ind w:left="70"/>
              <w:spacing w:after="0" w:line="201" w:lineRule="exact"/>
              <w:rPr>
                <w:sz w:val="20"/>
                <w:szCs w:val="20"/>
                <w:color w:val="auto"/>
              </w:rPr>
            </w:pPr>
            <w:r>
              <w:rPr>
                <w:rFonts w:ascii="Arial" w:cs="Arial" w:eastAsia="Arial" w:hAnsi="Arial"/>
                <w:sz w:val="18"/>
                <w:szCs w:val="18"/>
                <w:color w:val="auto"/>
                <w:w w:val="89"/>
              </w:rPr>
              <w:t>67</w:t>
            </w:r>
          </w:p>
        </w:tc>
        <w:tc>
          <w:tcPr>
            <w:tcW w:w="85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2"/>
              </w:rPr>
              <w:t>Senior Vice President and Managing Director of the International Division since June 1, 2017. Prior to the Spin-off,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w w:val="95"/>
              </w:rPr>
              <w:t>Mr. Weller served as Managing Director of SEACOR Holdings' Offshore Marine Services' International Division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since 2009. Mr. Weller has over 40 years of industry experience and is a Master Mariner.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Gregory Rossmiller</w:t>
            </w:r>
          </w:p>
        </w:tc>
        <w:tc>
          <w:tcPr>
            <w:tcW w:w="820" w:type="dxa"/>
            <w:vAlign w:val="bottom"/>
            <w:gridSpan w:val="2"/>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89"/>
              </w:rPr>
              <w:t>49</w:t>
            </w:r>
          </w:p>
        </w:tc>
        <w:tc>
          <w:tcPr>
            <w:tcW w:w="85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Senior Vice President and Chief Accounting Officer since April 17, 2018. Prior to his appointment, Mr. Rossmiller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was the Chief Financial Officer - North America for Applus Energy and Industry (a division of Applus Services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S.A.) since June 2009.  Mr. Rossmiller was Corporate Controller of Pride International from 2005 to 2009,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Controller of Nabors Drilling International Limited (a subsidiary of Nabors Industries, Ltd.) from 2000 to 2005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Assistant Controller from 1997 to 2000. Prior to 1997, Mr. Rossmiller held audit positions with Cooper Industries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with the accounting firm of Deloitte &amp; Touche.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Andrew H. Everett II</w:t>
            </w:r>
          </w:p>
        </w:tc>
        <w:tc>
          <w:tcPr>
            <w:tcW w:w="820" w:type="dxa"/>
            <w:vAlign w:val="bottom"/>
            <w:gridSpan w:val="2"/>
          </w:tcPr>
          <w:p>
            <w:pPr>
              <w:jc w:val="center"/>
              <w:ind w:left="70"/>
              <w:spacing w:after="0" w:line="201" w:lineRule="exact"/>
              <w:rPr>
                <w:sz w:val="20"/>
                <w:szCs w:val="20"/>
                <w:color w:val="auto"/>
              </w:rPr>
            </w:pPr>
            <w:r>
              <w:rPr>
                <w:rFonts w:ascii="Arial" w:cs="Arial" w:eastAsia="Arial" w:hAnsi="Arial"/>
                <w:sz w:val="18"/>
                <w:szCs w:val="18"/>
                <w:color w:val="auto"/>
                <w:w w:val="89"/>
              </w:rPr>
              <w:t>36</w:t>
            </w:r>
          </w:p>
        </w:tc>
        <w:tc>
          <w:tcPr>
            <w:tcW w:w="85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0"/>
              </w:rPr>
              <w:t>Senior Vice President, General Counsel and Secretary since January 22, 2018. Prior to his appointment, Mr. Everett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w w:val="95"/>
              </w:rPr>
              <w:t>was an associate in the Global Corporate Group of Milbank LLP (f/k/a Milbank, Tweed, Hadley &amp; McCloy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w w:val="99"/>
              </w:rPr>
              <w:t>from 2008 until 2018. Mr. Everett received his J.D. from Boston College Law School and B.S. from Bentley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20" w:type="dxa"/>
            <w:vAlign w:val="bottom"/>
            <w:gridSpan w:val="2"/>
          </w:tcPr>
          <w:p>
            <w:pPr>
              <w:ind w:left="27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SEACOR Marine's Common Stock began trading on the New York Stock Exchange ("NYSE") on June 2, 2017 under the trading symbol "SMHI." The last reported sales price on the Company's Common Stock on March 1, 2019 was $14.27.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1, 2019, there were 177 holders of record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currently does not intend on paying any such dividend for the foreseeable future. Any payment of future dividends will be at the discretion of SEACOR Marine's Board of Directors and will depend upon, among other factors, the Company's earnings, financial condition, current and anticipated capital requirements, plans for expansion, level of indebtedness and contractual restrictions, including the provisions of the Company's other then-existing indebtedness. The payment of future cash dividends, if any, would be made only from assets legally available.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approximate 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shared (or</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(or units)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9"/>
              </w:rPr>
              <w:t>Total number of shares (or</w:t>
            </w: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units) purchased as part of</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may yet be purchased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2"/>
          </w:tcPr>
          <w:p>
            <w:pPr>
              <w:jc w:val="center"/>
              <w:ind w:right="400"/>
              <w:spacing w:after="0" w:line="181" w:lineRule="exact"/>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8"/>
              </w:rPr>
              <w:t>publicly announced plans</w:t>
            </w:r>
          </w:p>
        </w:tc>
        <w:tc>
          <w:tcPr>
            <w:tcW w:w="226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0"/>
              </w:rPr>
              <w:t>under the plans or</w:t>
            </w:r>
          </w:p>
        </w:tc>
        <w:tc>
          <w:tcPr>
            <w:tcW w:w="0" w:type="dxa"/>
            <w:vAlign w:val="bottom"/>
          </w:tcPr>
          <w:p>
            <w:pPr>
              <w:spacing w:after="0"/>
              <w:rPr>
                <w:sz w:val="1"/>
                <w:szCs w:val="1"/>
                <w:color w:val="auto"/>
              </w:rPr>
            </w:pPr>
          </w:p>
        </w:tc>
      </w:tr>
      <w:tr>
        <w:trPr>
          <w:trHeight w:val="270"/>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3"/>
                <w:szCs w:val="23"/>
                <w:color w:val="auto"/>
              </w:rPr>
            </w:pPr>
          </w:p>
        </w:tc>
        <w:tc>
          <w:tcPr>
            <w:tcW w:w="2300" w:type="dxa"/>
            <w:vAlign w:val="bottom"/>
            <w:gridSpan w:val="2"/>
          </w:tcPr>
          <w:p>
            <w:pPr>
              <w:jc w:val="right"/>
              <w:ind w:right="540"/>
              <w:spacing w:after="0" w:line="269" w:lineRule="exact"/>
              <w:rPr>
                <w:sz w:val="20"/>
                <w:szCs w:val="20"/>
                <w:color w:val="auto"/>
              </w:rPr>
            </w:pPr>
            <w:r>
              <w:rPr>
                <w:rFonts w:ascii="Arial" w:cs="Arial" w:eastAsia="Arial" w:hAnsi="Arial"/>
                <w:sz w:val="18"/>
                <w:szCs w:val="18"/>
                <w:b w:val="1"/>
                <w:bCs w:val="1"/>
                <w:color w:val="auto"/>
              </w:rPr>
              <w:t>units) purchased</w:t>
            </w:r>
            <w:r>
              <w:rPr>
                <w:rFonts w:ascii="Arial" w:cs="Arial" w:eastAsia="Arial" w:hAnsi="Arial"/>
                <w:sz w:val="30"/>
                <w:szCs w:val="30"/>
                <w:b w:val="1"/>
                <w:bCs w:val="1"/>
                <w:color w:val="auto"/>
                <w:vertAlign w:val="superscript"/>
              </w:rPr>
              <w:t>(1)</w:t>
            </w:r>
          </w:p>
        </w:tc>
        <w:tc>
          <w:tcPr>
            <w:tcW w:w="160" w:type="dxa"/>
            <w:vAlign w:val="bottom"/>
          </w:tcPr>
          <w:p>
            <w:pPr>
              <w:spacing w:after="0"/>
              <w:rPr>
                <w:sz w:val="23"/>
                <w:szCs w:val="23"/>
                <w:color w:val="auto"/>
              </w:rPr>
            </w:pPr>
          </w:p>
        </w:tc>
        <w:tc>
          <w:tcPr>
            <w:tcW w:w="2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share (or unit)</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or programs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May 2018</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w:t>
            </w:r>
          </w:p>
        </w:tc>
        <w:tc>
          <w:tcPr>
            <w:tcW w:w="23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November 2018</w:t>
            </w:r>
          </w:p>
        </w:tc>
        <w:tc>
          <w:tcPr>
            <w:tcW w:w="1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19.71</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22.74</w:t>
            </w:r>
          </w:p>
        </w:tc>
        <w:tc>
          <w:tcPr>
            <w:tcW w:w="23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9" w:lineRule="exact"/>
        <w:rPr>
          <w:sz w:val="20"/>
          <w:szCs w:val="20"/>
          <w:color w:val="auto"/>
        </w:rPr>
      </w:pPr>
    </w:p>
    <w:p>
      <w:pPr>
        <w:ind w:left="660" w:hanging="616"/>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shares of Common Stock withheld for taxes on restricted stock units that vested and shares of Common Stock withheld in exchange for the exercise of outstanding warrants.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Set forth in the graph below is a comparison of the cumulative total return that a hypothetical investor would have earned assuming the investment of $100 over the period commencing on June 2, 2017 in (i) the Common Stock of the Company, (ii) the Standard &amp; Poor's 500 Stock Index ("S&amp;P 500") and</w:t>
      </w:r>
    </w:p>
    <w:p>
      <w:pPr>
        <w:ind w:firstLine="8"/>
        <w:spacing w:after="0" w:line="261"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peer issuer group comprised of publicly-traded companies participating in the offshore marine industry. The information set forth in the graph below shall be considered "furnished" but not "filed" for purposes of the Securities Act of 1933 and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280035</wp:posOffset>
            </wp:positionV>
            <wp:extent cx="5196840" cy="3439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96840" cy="343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4"/>
              </w:rPr>
              <w:t xml:space="preserve">Total Return Since, </w:t>
            </w:r>
            <w:r>
              <w:rPr>
                <w:rFonts w:ascii="Arial" w:cs="Arial" w:eastAsia="Arial" w:hAnsi="Arial"/>
                <w:sz w:val="30"/>
                <w:szCs w:val="30"/>
                <w:b w:val="1"/>
                <w:bCs w:val="1"/>
                <w:color w:val="auto"/>
                <w:w w:val="94"/>
                <w:vertAlign w:val="superscript"/>
              </w:rPr>
              <w:t>(1)</w:t>
            </w: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Jun 2,</w:t>
            </w: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Jun 30,</w:t>
            </w:r>
          </w:p>
        </w:tc>
        <w:tc>
          <w:tcPr>
            <w:tcW w:w="220" w:type="dxa"/>
            <w:vAlign w:val="bottom"/>
          </w:tcPr>
          <w:p>
            <w:pPr>
              <w:spacing w:after="0"/>
              <w:rPr>
                <w:sz w:val="16"/>
                <w:szCs w:val="16"/>
                <w:color w:val="auto"/>
              </w:rPr>
            </w:pPr>
          </w:p>
        </w:tc>
        <w:tc>
          <w:tcPr>
            <w:tcW w:w="10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Sep 30,</w:t>
            </w:r>
          </w:p>
        </w:tc>
        <w:tc>
          <w:tcPr>
            <w:tcW w:w="10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Dec 31,</w:t>
            </w:r>
          </w:p>
        </w:tc>
        <w:tc>
          <w:tcPr>
            <w:tcW w:w="108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Mar 31,</w:t>
            </w:r>
          </w:p>
        </w:tc>
        <w:tc>
          <w:tcPr>
            <w:tcW w:w="108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Jun 30,</w:t>
            </w:r>
          </w:p>
        </w:tc>
        <w:tc>
          <w:tcPr>
            <w:tcW w:w="108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Sep 30,</w:t>
            </w: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6"/>
                <w:szCs w:val="16"/>
                <w:color w:val="auto"/>
              </w:rPr>
            </w:pPr>
          </w:p>
        </w:tc>
      </w:tr>
      <w:tr>
        <w:trPr>
          <w:trHeight w:val="234"/>
        </w:trPr>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104</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57"/>
        </w:trPr>
        <w:tc>
          <w:tcPr>
            <w:tcW w:w="2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Peer Issuers </w:t>
            </w:r>
            <w:r>
              <w:rPr>
                <w:rFonts w:ascii="Arial" w:cs="Arial" w:eastAsia="Arial" w:hAnsi="Arial"/>
                <w:sz w:val="29"/>
                <w:szCs w:val="29"/>
                <w:color w:val="auto"/>
                <w:vertAlign w:val="superscript"/>
              </w:rPr>
              <w:t>(2)</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54"/>
        </w:trPr>
        <w:tc>
          <w:tcPr>
            <w:tcW w:w="1160" w:type="dxa"/>
            <w:vAlign w:val="bottom"/>
            <w:tcBorders>
              <w:bottom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3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returns assume the reinvestment of dividends.</w:t>
      </w:r>
    </w:p>
    <w:p>
      <w:pPr>
        <w:jc w:val="both"/>
        <w:ind w:left="660" w:hanging="652"/>
        <w:spacing w:after="0" w:line="227"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Peer Issuer group is comprised of publicly-traded companies selected on an industry basis. The Peer Issuer group data is calculated using the share prices for the following companies participating in the offshore marine industry: Bourbon Corp., Soldstad Farstad ASA, and DO ASA. While the Company considers Hornbeck Offshore Services, Inc. and Tidewater Inc. to also participate in the offshore marine industry and in the future will consider including them in its Peer Issuer group, each of these companies was excluded from the Peer Issuer group due to the significant effect of the refinancing of indebtedness and other financial restructurings (including Chapter 11 restructurings) on their respective share prices during the relevant time period.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for the periods indicated (in thousands, except share data and statistics), selected historical consolidated and combined financial data and certain operating data for the Company. Such financial and operating data should be read in conjunction with "Item 7. Management's Discussion and Analysis of Financial Condition and Results of Operations" and "Item 8. Financial Statements and Supplementary Data" included in Parts II and IV, respectively, of this Annual Report on Form 10-K.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8"/>
                <w:szCs w:val="18"/>
                <w:b w:val="1"/>
                <w:bCs w:val="1"/>
                <w:color w:val="auto"/>
                <w:w w:val="89"/>
              </w:rPr>
              <w:t>For the years ended 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253,609</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173,783</w:t>
            </w: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215,636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368,868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529,944</w:t>
            </w: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5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(Loss)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(66,763)</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(128,359)</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(174,888)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(38,935)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68,429</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(Expenses) Income: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Net interest 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(27,869)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(14,727)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(2,589)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(5,782)</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SEACOR Holdings management fees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(3,208)</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(16,219)</w:t>
            </w: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Derivative gains (losses),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20,256</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2,995</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(2,766)</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9,015</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13,296</w:t>
            </w: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(25,221)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11,336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(15,417)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(8,876)</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6"/>
              </w:rPr>
              <w:t>Net Loss attributable to SEACOR Marine Holdings Inc.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(77,608)</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(32,901)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(132,047)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(27,249)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48,076</w:t>
            </w:r>
          </w:p>
        </w:tc>
      </w:tr>
      <w:tr>
        <w:trPr>
          <w:trHeight w:val="178"/>
        </w:trPr>
        <w:tc>
          <w:tcPr>
            <w:tcW w:w="20" w:type="dxa"/>
            <w:vAlign w:val="bottom"/>
          </w:tcPr>
          <w:p>
            <w:pPr>
              <w:spacing w:after="0"/>
              <w:rPr>
                <w:sz w:val="15"/>
                <w:szCs w:val="15"/>
                <w:color w:val="auto"/>
              </w:rPr>
            </w:pPr>
          </w:p>
        </w:tc>
        <w:tc>
          <w:tcPr>
            <w:tcW w:w="4500" w:type="dxa"/>
            <w:vAlign w:val="bottom"/>
            <w:tcBorders>
              <w:top w:val="single" w:sz="8" w:color="CCEEFF"/>
            </w:tcBorders>
          </w:tcPr>
          <w:p>
            <w:pPr>
              <w:spacing w:after="0" w:line="178" w:lineRule="exact"/>
              <w:rPr>
                <w:sz w:val="20"/>
                <w:szCs w:val="20"/>
                <w:color w:val="auto"/>
              </w:rPr>
            </w:pPr>
            <w:r>
              <w:rPr>
                <w:rFonts w:ascii="Arial" w:cs="Arial" w:eastAsia="Arial" w:hAnsi="Arial"/>
                <w:sz w:val="18"/>
                <w:szCs w:val="18"/>
                <w:b w:val="1"/>
                <w:bCs w:val="1"/>
                <w:color w:val="auto"/>
                <w:w w:val="94"/>
              </w:rPr>
              <w:t>Basic and Diluted Loss Per Common Share of SEACOR</w:t>
            </w: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Marine Holdings Inc.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Basic and Diluted Weighted Average Shares Outstanding</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20,926,307</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17,601,244</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17,671,356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17,671,356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w w:val="96"/>
              </w:rPr>
              <w:t>Statement of Cash Flows Data - provided by (used in):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68,909</w:t>
            </w: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(31,149)</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(32,262)</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(16,858)</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(88,203)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93,036</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69,250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(11,730)</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15,590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(87,748)</w:t>
            </w:r>
          </w:p>
        </w:tc>
      </w:tr>
      <w:tr>
        <w:trPr>
          <w:trHeight w:val="216"/>
        </w:trPr>
        <w:tc>
          <w:tcPr>
            <w:tcW w:w="2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w w:val="93"/>
              </w:rPr>
              <w:t>Effects of exchange rates on cash and cash equivalents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2,178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Capital expenditures (included in investing activities)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(51,980)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(69,021)</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(100,884)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(83,513)</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Other Operating Data:</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50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Average Rate Per Day Worked </w:t>
            </w:r>
            <w:r>
              <w:rPr>
                <w:rFonts w:ascii="Arial" w:cs="Arial" w:eastAsia="Arial" w:hAnsi="Arial"/>
                <w:sz w:val="29"/>
                <w:szCs w:val="29"/>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12,011</w:t>
            </w:r>
          </w:p>
        </w:tc>
      </w:tr>
      <w:tr>
        <w:trPr>
          <w:trHeight w:val="257"/>
        </w:trPr>
        <w:tc>
          <w:tcPr>
            <w:tcW w:w="20" w:type="dxa"/>
            <w:vAlign w:val="bottom"/>
          </w:tcPr>
          <w:p>
            <w:pPr>
              <w:spacing w:after="0"/>
              <w:rPr>
                <w:sz w:val="22"/>
                <w:szCs w:val="22"/>
                <w:color w:val="auto"/>
              </w:rPr>
            </w:pPr>
          </w:p>
        </w:tc>
        <w:tc>
          <w:tcPr>
            <w:tcW w:w="4500" w:type="dxa"/>
            <w:vAlign w:val="bottom"/>
          </w:tcPr>
          <w:p>
            <w:pPr>
              <w:ind w:left="320"/>
              <w:spacing w:after="0" w:line="256" w:lineRule="exact"/>
              <w:rPr>
                <w:sz w:val="20"/>
                <w:szCs w:val="20"/>
                <w:color w:val="auto"/>
              </w:rPr>
            </w:pPr>
            <w:r>
              <w:rPr>
                <w:rFonts w:ascii="Arial" w:cs="Arial" w:eastAsia="Arial" w:hAnsi="Arial"/>
                <w:sz w:val="18"/>
                <w:szCs w:val="18"/>
                <w:color w:val="auto"/>
              </w:rPr>
              <w:t xml:space="preserve">Utilization </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57"/>
        </w:trPr>
        <w:tc>
          <w:tcPr>
            <w:tcW w:w="20" w:type="dxa"/>
            <w:vAlign w:val="bottom"/>
          </w:tcPr>
          <w:p>
            <w:pPr>
              <w:spacing w:after="0"/>
              <w:rPr>
                <w:sz w:val="22"/>
                <w:szCs w:val="22"/>
                <w:color w:val="auto"/>
              </w:rPr>
            </w:pPr>
          </w:p>
        </w:tc>
        <w:tc>
          <w:tcPr>
            <w:tcW w:w="450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Days Available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49,553</w:t>
            </w:r>
          </w:p>
        </w:tc>
        <w:tc>
          <w:tcPr>
            <w:tcW w:w="22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49,338</w:t>
            </w:r>
          </w:p>
        </w:tc>
        <w:tc>
          <w:tcPr>
            <w:tcW w:w="2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48,161</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47,661</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51,047</w:t>
            </w:r>
          </w:p>
        </w:tc>
      </w:tr>
      <w:tr>
        <w:trPr>
          <w:trHeight w:val="371"/>
        </w:trPr>
        <w:tc>
          <w:tcPr>
            <w:tcW w:w="20" w:type="dxa"/>
            <w:vAlign w:val="bottom"/>
          </w:tcPr>
          <w:p>
            <w:pPr>
              <w:spacing w:after="0"/>
              <w:rPr>
                <w:sz w:val="24"/>
                <w:szCs w:val="24"/>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 xml:space="preserve">Fleet Count </w:t>
            </w:r>
            <w:r>
              <w:rPr>
                <w:rFonts w:ascii="Arial" w:cs="Arial" w:eastAsia="Arial" w:hAnsi="Arial"/>
                <w:sz w:val="30"/>
                <w:szCs w:val="30"/>
                <w:color w:val="auto"/>
                <w:vertAlign w:val="superscript"/>
              </w:rPr>
              <w:t>(2)</w:t>
            </w:r>
          </w:p>
        </w:tc>
        <w:tc>
          <w:tcPr>
            <w:tcW w:w="2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660" w:hanging="652"/>
        <w:spacing w:after="0" w:line="22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a description of average rate per day worked, utilization and days available, see "Management's Discussion and Analysis of Financial Condition" included in Item 7 of this Annual Report on Form 10-K.</w:t>
      </w: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period end.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tcPr>
          <w:p>
            <w:pPr>
              <w:ind w:left="340"/>
              <w:spacing w:after="0" w:line="201" w:lineRule="exact"/>
              <w:rPr>
                <w:sz w:val="20"/>
                <w:szCs w:val="20"/>
                <w:color w:val="auto"/>
              </w:rPr>
            </w:pPr>
            <w:r>
              <w:rPr>
                <w:rFonts w:ascii="Arial" w:cs="Arial" w:eastAsia="Arial" w:hAnsi="Arial"/>
                <w:sz w:val="18"/>
                <w:szCs w:val="18"/>
                <w:color w:val="auto"/>
                <w:w w:val="96"/>
              </w:rPr>
              <w:t>Cash and cash equivalents, restricted cash, marketable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securities and construction reserve funds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124,913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157,912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237,119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318,363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250,201</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1,102,935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1,015,119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1,167,537</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387,854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292,041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217,805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29,238</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Total SEACOR Marine Holdings Inc. stockholders' equity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525,531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544,611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681,900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701,012</w:t>
            </w:r>
          </w:p>
        </w:tc>
      </w:tr>
      <w:tr>
        <w:trPr>
          <w:trHeight w:val="432"/>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below presents the Company's operating results for each of the three years in the period ended December 31, 2018, and its financial condition as of December 31, 2018. Certain statements in this Management's Discussion and Analysis of Financial Condition and Results of Operations constitute forward looking statements. See "Forward Looking Statements" included elsewhere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provides global marine and support transportation services to offshore oil, natural gas exploration and windfarm development and production facilities worldwide. As of December 31, 2018, the Company and its joint ventures operated a diverse fleet of 179 support and specialty vessels, of which 128 were owned or leased-in, 44 were joint-ventured, and seven were managed on behalf of unaffiliated third-parties.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carry and launch equipment used underwater in drilling and well installation, maintenance and repair; and provide windfarm installation, maintenance and repair support. Additionally, the Company's vessels provide accommodations for technicians and specialists, safety support and emergency response services. The Company's fleet also features crew transfer vessels used primarily in windfarm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26, 2018, SMFH, entered into a $130.0 million loan facility with a syndicate of lenders administered by DNB Bank ASA (the “SMFH Loan Facility”). SMFH's obligations pursuant to the SMFH Loan Facility were secured by mortgages on 20 vessels owned by the Company's subsidiaries as well as by an assignment of earnings from such subsidiaries. The obligations of SMFH under the SMFH Loan Facility are guaranteed by SEACOR Marine. The SMFH Loan Facility matures in 2023 and bears interest at a variable rate based on LIBOR (currently 6.5625%). The proceeds from the SMFH Loan Facility were used to pay off other credit facilities of the Company’s subsidiaries (totaling $101.3 million), resulting in a net increase of term debt of $30.1 million. In October 2018, the Company entered into two interest rate swap agreements with an initial notional value of $65.0 million related to the debt incurred under the SMFH Loan Facility, effectively fixing the interest rate on this portion of the debt at 6.9%.</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20, 2018, the Company announced the acquisition of UP Offshore (Bahamas) Ltd. (“UP Offshore”), a leading provider of offshore support vessel services to the energy industry in Brazil, by MEXMAR Offshore, a new joint venture company that is 49% owned by SEACOR Marine International LLC (“SMI”), a wholly-owned subsidiary of SEACOR Marine, and 51% owned by a subsidiary of Proyectos Globales de Energía y Servicios CME, S.A. de C.V. (“CME”). Of UP Offshore's 14 vessel fleet, 12 vessels are located and registered in Brazil and two are located and registered in the United Kingdom. 11 of UP Offshore’s vessels are platform supply vessels ("PSVs"), two are remotely operated vehicle ("ROV") support vessels and one is an offshore terminal vessel. MEXMAR Offshore acquired UP Offshore for nominal consideration, and UP Offshore’s existing debt was refinanced with $95.0 million of new indebtedness composed of (i) a $70.0 million six-year debt facility provided by UP Offshore’s existing lenders that is non-recourse to SEACOR Marine, CME or any of their respective subsidiaries, (ii) a $15.0 million loan from MexMar to fund capital expenditures on two vessels in the UP Offshore fleet that have been awarded firm contract of employment in Brazil and, except under limited circumstances, such loan is senior to the new $70.0 million debt facility in right of payment, and (iii) a $10.0 million loan from MEXMAR Offshore to fund working capital requirements that is subordinate to the new $70.0 million debt facility and funded by an approximate $5.0 million capital contribution to MEXMAR Offshore by each of SMI and CME.</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28, 2018, the Company entered into an agreement to acquire three foreign-flag PSVs from COSCO Shipping Heavy Industry (Zhoushan) Co., Ltd. ("COSCO Zhoushan"), an affiliate of COSCO Shipping Group, the world's largest ship owner, scheduled for expected delivery between the third quarter of 2019 and the second quarter of 2020. Aggregate consideration for the vessels is approximately $45.5 million, of which 30% will be paid in cash and 70% under a four-year deferred payment agreement between the Company and COSCO Zhoushan. Half of the cash payment will be funded in the first quarter of 2019 with the balance per vessel to be paid upon physical delivery of each vessel.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the Offshore Marine Business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market for offshore oil and natural gas drilling has historically been cyclical. Demand for offshore support vessels tends to be linked to the price of oil and natural gas as those prices significantly impact the Company's customers' exploration and drilling activity levels. Oil and natural gas prices tend to fluctuate based on many factors, including global economic activity, levels of reserves and production activity. Price levels for oil and natural gas have and will continue to in and of themselves influence demand for offshore marine services. In addition to the price of oil and natural gas, the availability of acreage, local tax incentives or disincentives, drilling moratoriums and other regulatory actions, and requirements for maintaining interests in leases affect activity in the offshore oil and natural gas industry. Factors that influence the level of offshore exploration and drilling activities include:</w:t>
      </w:r>
    </w:p>
    <w:p>
      <w:pPr>
        <w:spacing w:after="0" w:line="165" w:lineRule="exact"/>
        <w:rPr>
          <w:sz w:val="20"/>
          <w:szCs w:val="20"/>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as to future oil and natural gas commodity prices;</w:t>
      </w:r>
    </w:p>
    <w:p>
      <w:pPr>
        <w:spacing w:after="0" w:line="279"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assessments of offshore drilling prospects compared with land-based opportunities, including newer or unconventional opportunities such as shale;</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assessments of cost, geological opportunity and political stability in host countries;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worldwide demand for oil and natural gas;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and pricing;</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exchange rates for the U.S. dollar; and</w:t>
      </w:r>
    </w:p>
    <w:p>
      <w:pPr>
        <w:sectPr>
          <w:pgSz w:w="11900" w:h="16838" w:orient="portrait"/>
          <w:cols w:equalWidth="0" w:num="1">
            <w:col w:w="11420"/>
          </w:cols>
          <w:pgMar w:left="240" w:top="118" w:right="239" w:bottom="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 various United States and international government policies regarding exploration and development of oil and natural gas reserves.</w:t>
      </w:r>
    </w:p>
    <w:p>
      <w:pPr>
        <w:sectPr>
          <w:pgSz w:w="11900" w:h="16838" w:orient="portrait"/>
          <w:cols w:equalWidth="0" w:num="1">
            <w:col w:w="9600"/>
          </w:cols>
          <w:pgMar w:left="900" w:top="368" w:right="1399" w:bottom="1440" w:gutter="0" w:footer="0" w:header="0"/>
        </w:sectPr>
      </w:pPr>
    </w:p>
    <w:p>
      <w:pPr>
        <w:spacing w:after="0" w:line="27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00"/>
          </w:cols>
          <w:pgMar w:left="900" w:top="368" w:right="139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Offshore oil and natural gas market conditions deteriorated beginning in the second half of 2014 and continued to deteriorate when oil prices hit a thirteen-year low of less than $27 per barrel (on the New York Mercantile Exchange) in February 2016. While oil prices increased steadily throughout the beginning of 2018 reaching a high of $77 per barrel, they retreated in the fourth quarter and, as of December 31, 2018, the price was $44 per barrel. The Company has continued to experience difficult market conditions as these declines and continued volatility in oil and natural gas prices have led to a general decrease in exploration and production activities, and a particular decrease in offshore drilling associated activity. The Company's operating results have been negatively impacted as oil and gas producing companies focused on cost reduction and cut capital spending budgets.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macro drivers somewhat independent of oil and natural gas prices have the ability to continue to support the Company's business, including:</w:t>
      </w:r>
    </w:p>
    <w:p>
      <w:pPr>
        <w:spacing w:after="0" w:line="46" w:lineRule="exact"/>
        <w:rPr>
          <w:sz w:val="20"/>
          <w:szCs w:val="20"/>
          <w:color w:val="auto"/>
        </w:rPr>
      </w:pPr>
    </w:p>
    <w:p>
      <w:pPr>
        <w:jc w:val="both"/>
        <w:ind w:right="20" w:firstLine="8"/>
        <w:spacing w:after="0" w:line="255"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underspending by oil and gas producers during the current industry downturn leading to pent up demand for maintenance and growth capital expenditures; and (ii) improved extraction technologies. While alternative forms of energy may gain a foothold in the long term, for the foreseeable future, the Company believes demand for gasoline and oil will be sustained, as well as demand for electricity from natural gas.</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December 31, 2018, 21 of the Company's 128 owned and leased-in in-service vessels were cold-stacked worldwide, and an additional six owned vessels and one leased-in vessel were retired and removed from service.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Components of Revenues and Expenses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operates its fleet in five principal geographic regions: the United States, primarily in the Gulf of Mexico; Africa, primarily in West Africa; the Middle East and Asia; Brazil, Mexico, Central and South America; and Europe, primarily in the North Sea. The Company's vessels are highly mobile and regularly and routinely move between countries within a geographic region. In addition, the Company's vessels are also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and, consequently, operating margins are most sensitive to changes in rates per day worked and utilization. The Company manages its fleet by utilizing a global network of shore side support, administrative and finance personnel.</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Time charter statistics are the key performance indicators for the Company's time charter revenues. The rate per day worked is the ratio of total time charter revenues to the aggregate number of days worked. Utilization is the ratio of aggregate number of days worked to total available days for all vessels available for time charter. Unless vessels have been retired and removed from service, available days represents the total calendar days for which vessels available for time charter were owned or leased-in by the Company, whether marketed, under repair, cold-stacked or otherwise out-of-service.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Revenues. </w:t>
      </w:r>
      <w:r>
        <w:rPr>
          <w:rFonts w:ascii="Arial" w:cs="Arial" w:eastAsia="Arial" w:hAnsi="Arial"/>
          <w:sz w:val="17"/>
          <w:szCs w:val="17"/>
          <w:color w:val="auto"/>
        </w:rPr>
        <w:t>The Company generates revenues by providing services to customers primarily pursuant to two different types of contractual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time charters and bareboat charters.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risks of operation. Vessel charters may range from several days to several years.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Direct Operating Expenses. </w:t>
      </w:r>
      <w:r>
        <w:rPr>
          <w:rFonts w:ascii="Arial" w:cs="Arial" w:eastAsia="Arial" w:hAnsi="Arial"/>
          <w:sz w:val="18"/>
          <w:szCs w:val="18"/>
          <w:color w:val="auto"/>
        </w:rPr>
        <w:t>The aggregate cost of operating the Company's fleet depends primarily on the size and asset mix of the fleet.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direct operating costs and expenses, other than leased-in equipment expense, are grouped into the following categories:</w:t>
      </w:r>
    </w:p>
    <w:p>
      <w:pPr>
        <w:spacing w:after="0" w:line="170" w:lineRule="exact"/>
        <w:rPr>
          <w:sz w:val="20"/>
          <w:szCs w:val="20"/>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personnel (primarily wages, benefits, payroll taxes, savings plans and travel for marine personnel);</w:t>
      </w:r>
    </w:p>
    <w:p>
      <w:pPr>
        <w:spacing w:after="0" w:line="279"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repairs and maintenance (primarily routine repairs and maintenance and main engine overhauls that are performed in accordance with planned maintenance programs);</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drydocking (primarily the cost of regulatory drydockings performed in accordance with applicable regulations);</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insurance and loss reserves (primarily the cost of Hull and Machinery and Protection and Indemnity insurance premiums and loss deductibles);</w:t>
      </w:r>
    </w:p>
    <w:p>
      <w:pPr>
        <w:spacing w:after="0" w:line="302" w:lineRule="exact"/>
        <w:rPr>
          <w:rFonts w:ascii="Arial" w:cs="Arial" w:eastAsia="Arial" w:hAnsi="Arial"/>
          <w:sz w:val="16"/>
          <w:szCs w:val="16"/>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fuel, lubes and supplies; and</w:t>
      </w:r>
    </w:p>
    <w:p>
      <w:pPr>
        <w:spacing w:after="0" w:line="279"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(communication costs, expenses incurred in mobilizing vessels between geographic regions, third-party ship management fees, freight expenses, customs and importation duties and other).</w:t>
      </w:r>
    </w:p>
    <w:p>
      <w:pPr>
        <w:sectPr>
          <w:pgSz w:w="11900" w:h="16838" w:orient="portrait"/>
          <w:cols w:equalWidth="0" w:num="1">
            <w:col w:w="11420"/>
          </w:cols>
          <w:pgMar w:left="240" w:top="118" w:right="239" w:bottom="784"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84" w:gutter="0" w:footer="0" w:header="0"/>
          <w:type w:val="continuous"/>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expenses drydocking, engine overhaul and vessel mobilization costs as incurred. If a disproportionate number of drydockings, overhauls or mobilizations are undertaken in a particular fiscal year or quarter, operating expenses may vary significantly when compared with the prior year or prior quarter.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Direct Vessel Profit. </w:t>
      </w:r>
      <w:r>
        <w:rPr>
          <w:rFonts w:ascii="Arial" w:cs="Arial" w:eastAsia="Arial" w:hAnsi="Arial"/>
          <w:sz w:val="18"/>
          <w:szCs w:val="18"/>
          <w:color w:val="auto"/>
        </w:rPr>
        <w:t>Direct vessel profit (defined as operating revenues less operating expenses excluding leased-in equipment, "DVP")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vessels vs. leased-in expense for leased-in vessels). DVP is also useful when comparing the Company's fleet's performance against those of its competitors who may have differing fleet financing structures. DVP has some limitations in that it does not take into account all expenses related to the operation of the fleet and, more significantly, the Company.</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Leased-in Equipment. </w:t>
      </w:r>
      <w:r>
        <w:rPr>
          <w:rFonts w:ascii="Arial" w:cs="Arial" w:eastAsia="Arial" w:hAnsi="Arial"/>
          <w:sz w:val="16"/>
          <w:szCs w:val="16"/>
          <w:color w:val="auto"/>
        </w:rPr>
        <w:t>In addition to the Company's owned fleet, it operates leased-in vessels from lessors under bareboat charter arrangements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expire between 2019 and 2021. Certain of these vessels were previously owned and subject to sale and leaseback transactions with their lessors.</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Impairments. </w:t>
      </w:r>
      <w:r>
        <w:rPr>
          <w:rFonts w:ascii="Arial" w:cs="Arial" w:eastAsia="Arial" w:hAnsi="Arial"/>
          <w:sz w:val="16"/>
          <w:szCs w:val="16"/>
          <w:color w:val="auto"/>
        </w:rPr>
        <w:t>As a result of the difficult conditions experienced in the offshore oil and natural gas markets beginning in the second half of 2014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corresponding reductions in utilization and rates per day worked of its fleet, the Company identified indicators of impairment and recognized impairment charges primarily associated with its AHTS fleet, its liftboat fleet, certain specialty vessels and vessels removed from service.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2018, the Company recorded impairment charges of $14.6 million primarily associated with its AHTS fleet (four owned and three leased vessels) and one specialty vessel. During 2017, the Company recorded impairment charges of $27.5 million primarily associated with its AHTS vessels, one leased-in supply vessel removed from service, one owned FSV removed from service and two owned in-service specialty vessels. During 2016, the Company recorded impairment charges of $119.7 million primarily associated with its AHTS fleet, its liftboat fleet and one specialty vessel. Estimated fair values for the Company's owned vessels were established by independent appraisers and other market data such as recent sales of similar vessels. For information regarding the Company's vessel fair value measurement determinations, see "Note 10. Fair Value Measurements" in the audited consolidated financial statements included elsewhere in this Annual Report on Form 10-K. If market conditions continue to decline from the presently depressed utilization and rates per day worked experienced over the last three years, fair values based on future appraisals could decline significantly.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FSVs), vessels required for customers to meet regulatory mandates and operating under multiple year contracts (e.g., standby safety vessels) or vessels that service customers outside of the offshore oil and natural gas market (e.g., crew transfer vessels).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vessel classes and individual vessels with indicators of impairment, but which were not impaired as of December 31, 2018, the Company has estimated that their future undiscounted cash flows exceed their current carrying values by more than 40%.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the Company's consolidated results of operations were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ind w:left="320"/>
              <w:spacing w:after="0" w:line="201" w:lineRule="exact"/>
              <w:rPr>
                <w:sz w:val="20"/>
                <w:szCs w:val="20"/>
                <w:color w:val="auto"/>
              </w:rPr>
            </w:pPr>
            <w:r>
              <w:rPr>
                <w:rFonts w:ascii="Arial" w:cs="Arial" w:eastAsia="Arial" w:hAnsi="Arial"/>
                <w:sz w:val="18"/>
                <w:szCs w:val="18"/>
                <w:color w:val="auto"/>
              </w:rPr>
              <w:t>Average Rates Per Day Worked (excluding wind</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farm)</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9,735</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8,481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10,059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5,972</w:t>
            </w: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Fleet Utilization (excluding wind farm)</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Fleet Utilization</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Fleet Available Days (excluding wind farm)</w:t>
            </w: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35,772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35,833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34,891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49,553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49,338</w:t>
            </w:r>
          </w:p>
        </w:tc>
        <w:tc>
          <w:tcPr>
            <w:tcW w:w="3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48,161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revenues: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222,252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160,545</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4,635</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4,636</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8,833</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26,722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8,602</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20,476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253,609</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173,783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215,636</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95,028</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81,500</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Repairs and maintenance</w:t>
            </w: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33,279</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27,655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21,282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9,035</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Insurance and loss reserves</w:t>
            </w: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7,074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6,524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5,682</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16,975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12,032</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12,088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11,148</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9,905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7,331</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11,475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12,948</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17,577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186,566</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159,599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166,925</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Administrative and general</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52,813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56,217</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49,308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72,246</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62,779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58,069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311,625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278,595</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274,302</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Losses on Asset Dispositions and Impairments, Net</w:t>
            </w:r>
          </w:p>
        </w:tc>
        <w:tc>
          <w:tcPr>
            <w:tcW w:w="4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(23,547)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(116,222)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(66,763)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(128,359)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4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(25,221)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11,336</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(15,417)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Loss Before Income Tax Benefit and Equity in Earnings</w:t>
            </w:r>
          </w:p>
        </w:tc>
        <w:tc>
          <w:tcPr>
            <w:tcW w:w="4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(Losses) of 50% or Less Owned Companies</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(91,984)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(117,023)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(190,305)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Benefit</w:t>
            </w:r>
          </w:p>
        </w:tc>
        <w:tc>
          <w:tcPr>
            <w:tcW w:w="4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(74,406)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(63,469)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Loss Before Equity in Earnings (Losses) of 50% or Less</w:t>
            </w:r>
          </w:p>
        </w:tc>
        <w:tc>
          <w:tcPr>
            <w:tcW w:w="4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Owned Companies</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(78,637)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(42,617)</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Equity in (Losses) Earnings of 50% or Less Owned</w:t>
            </w:r>
          </w:p>
        </w:tc>
        <w:tc>
          <w:tcPr>
            <w:tcW w:w="48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(3,415)</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7"/>
                <w:szCs w:val="17"/>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4,077</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(6,314)</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4320" w:type="dxa"/>
            <w:vAlign w:val="bottom"/>
            <w:gridSpan w:val="2"/>
          </w:tcPr>
          <w:p>
            <w:pPr>
              <w:spacing w:after="0"/>
              <w:rPr>
                <w:sz w:val="20"/>
                <w:szCs w:val="20"/>
                <w:color w:val="auto"/>
              </w:rPr>
            </w:pPr>
            <w:r>
              <w:rPr>
                <w:rFonts w:ascii="Arial" w:cs="Arial" w:eastAsia="Arial" w:hAnsi="Arial"/>
                <w:sz w:val="18"/>
                <w:szCs w:val="18"/>
                <w:color w:val="auto"/>
              </w:rPr>
              <w:t>Companies</w:t>
            </w:r>
          </w:p>
        </w:tc>
        <w:tc>
          <w:tcPr>
            <w:tcW w:w="4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(82,052)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(38,540)</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Net Loss attributable to Noncontrolling Interests in</w:t>
            </w:r>
          </w:p>
        </w:tc>
        <w:tc>
          <w:tcPr>
            <w:tcW w:w="48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(4,444)</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(5,639)</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7"/>
                <w:szCs w:val="17"/>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(1,103)</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4320" w:type="dxa"/>
            <w:vAlign w:val="bottom"/>
            <w:gridSpan w:val="2"/>
          </w:tcPr>
          <w:p>
            <w:pPr>
              <w:spacing w:after="0"/>
              <w:rPr>
                <w:sz w:val="20"/>
                <w:szCs w:val="20"/>
                <w:color w:val="auto"/>
              </w:rPr>
            </w:pPr>
            <w:r>
              <w:rPr>
                <w:rFonts w:ascii="Arial" w:cs="Arial" w:eastAsia="Arial" w:hAnsi="Arial"/>
                <w:sz w:val="18"/>
                <w:szCs w:val="18"/>
                <w:color w:val="auto"/>
              </w:rPr>
              <w:t>Subsidiaries</w:t>
            </w:r>
          </w:p>
        </w:tc>
        <w:tc>
          <w:tcPr>
            <w:tcW w:w="4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SEACOR Marine Holdings Inc.</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(32,901)</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summarize the operating results and property and equipment for the Company's reportable segments for the periods indicated (in thousands, except statistics):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Brazil,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United States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Mexico,</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(primarily</w:t>
            </w:r>
          </w:p>
        </w:tc>
        <w:tc>
          <w:tcPr>
            <w:tcW w:w="16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Africa</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Central and</w:t>
            </w:r>
          </w:p>
        </w:tc>
        <w:tc>
          <w:tcPr>
            <w:tcW w:w="14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Gulf</w:t>
            </w:r>
          </w:p>
        </w:tc>
        <w:tc>
          <w:tcPr>
            <w:tcW w:w="16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(primarily</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Middle East</w:t>
            </w: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South</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of Mexico)</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West Africa)</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and Asia</w:t>
            </w: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America</w:t>
            </w: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For the year ended December 31, 2018</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Fleet Utilization</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14,176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53,564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51,508</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49,185</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23,532</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75,820</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253,609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18,708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16,806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64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9,614</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64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2,922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3,980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1,332</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34,188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Direct Vessel Profit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20,864</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17,320</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15,144</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Administrative and general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Impairments, Net</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1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Historical cost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432,335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184,361</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306,897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124,177</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194,963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(224,737)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(55,206)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207,598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129,155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225,519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67,175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52,014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681,461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gridSpan w:val="2"/>
            <w:shd w:val="clear" w:color="auto" w:fill="CCEEFF"/>
          </w:tcPr>
          <w:p>
            <w:pPr>
              <w:spacing w:after="0" w:line="223"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(1)</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351,748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949,784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top w:val="single" w:sz="8" w:color="CCEEFF"/>
              <w:bottom w:val="single" w:sz="8" w:color="auto"/>
            </w:tcBorders>
          </w:tcPr>
          <w:p>
            <w:pPr>
              <w:spacing w:after="0"/>
              <w:rPr>
                <w:sz w:val="4"/>
                <w:szCs w:val="4"/>
                <w:color w:val="auto"/>
              </w:rPr>
            </w:pPr>
          </w:p>
        </w:tc>
        <w:tc>
          <w:tcPr>
            <w:tcW w:w="1960" w:type="dxa"/>
            <w:vAlign w:val="bottom"/>
            <w:tcBorders>
              <w:top w:val="single" w:sz="8" w:color="CCEEFF"/>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assets excludes $153,151 thousand of corporate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Gulf</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of Mexico)</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For the year ended December 31, 2017</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15,784</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22,296</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33,946</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33,884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75,492</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173,783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15,621</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13,419</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16,883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34,768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64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9,037</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8,793</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64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26,063</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28,367</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37,299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53,183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Direct Vessel Profit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5,579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6,426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22,309</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Administrative and general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10,107</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(23,547)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410,475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192,600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326,378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72,484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177,899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(230,636)</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(57,228)</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(100,435)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(37,281)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(134,580)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179,839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135,372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225,943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35,203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43,319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619,676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gridSpan w:val="2"/>
            <w:shd w:val="clear" w:color="auto" w:fill="CCEEFF"/>
          </w:tcPr>
          <w:p>
            <w:pPr>
              <w:spacing w:after="0" w:line="223"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310,675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103,135</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839,158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top w:val="single" w:sz="8" w:color="CCEEFF"/>
              <w:bottom w:val="single" w:sz="8" w:color="auto"/>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assets excludes $169,346 thousand of corporate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Gulf</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of Mexico)</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For the year ended December 31, 2016</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13,471</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20,746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78,866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32,856</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37,562</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53,887</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10,209</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81,122</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215,636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22,305</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18,381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39,713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64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6,426</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9,275</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64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30,280</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21,924</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35,117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15,638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18,770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7,682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21,622</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Administrative and general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27,052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8,664</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(116,222)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404,226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136,428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197,389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57,744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162,972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958,759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(233,075)</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(60,794)</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(97,433)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(34,455)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(114,862)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171,151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75,634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99,956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23,289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48,110</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418,140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gridSpan w:val="2"/>
            <w:shd w:val="clear" w:color="auto" w:fill="CCEEFF"/>
          </w:tcPr>
          <w:p>
            <w:pPr>
              <w:spacing w:after="0" w:line="223"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325,190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140,166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94,373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84,783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992,692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top w:val="single" w:sz="8" w:color="CCEEFF"/>
              <w:bottom w:val="single" w:sz="8" w:color="auto"/>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assets excludes $22,427 thousand of corporate assets.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summarize the world-wide operating results and property and equipment for each of the Company's vessel classes for the periods indicated (in thousands, except statistics):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Standby</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Crew</w:t>
            </w:r>
          </w:p>
        </w:tc>
        <w:tc>
          <w:tcPr>
            <w:tcW w:w="1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AHTS</w:t>
            </w:r>
          </w:p>
        </w:tc>
        <w:tc>
          <w:tcPr>
            <w:tcW w:w="20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FSV</w:t>
            </w:r>
          </w:p>
        </w:tc>
        <w:tc>
          <w:tcPr>
            <w:tcW w:w="16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Supply</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Safety</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Specialty</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Liftboats</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transfer</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Activity</w:t>
            </w:r>
          </w:p>
        </w:tc>
        <w:tc>
          <w:tcPr>
            <w:tcW w:w="1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2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year ended</w:t>
            </w: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Fleet Utilization</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4,635</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61,099</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18,565</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50,042</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69,889</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25,134</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13,187</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253,609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27,715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Repairs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11,186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6,485</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3,432</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Insurance and loss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rPr>
              <w:t>reserves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3,042</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Fuel, lubes and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4,194</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5,706</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2,783</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(3,357)</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44,372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17,447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42,817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24"/>
                <w:szCs w:val="24"/>
                <w:b w:val="1"/>
                <w:b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16,727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7,225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32,742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10,799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8"/>
              </w:rPr>
              <w:t>Leased-in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Administrative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rPr>
              <w:t>general</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Depreciation and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72,246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136,534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8"/>
              </w:rPr>
              <w:t>Losses on Asset Dispositions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Impairments,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210" w:lineRule="exact"/>
              <w:rPr>
                <w:sz w:val="20"/>
                <w:szCs w:val="20"/>
                <w:color w:val="auto"/>
              </w:rPr>
            </w:pPr>
            <w:r>
              <w:rPr>
                <w:rFonts w:ascii="Arial" w:cs="Arial" w:eastAsia="Arial" w:hAnsi="Arial"/>
                <w:sz w:val="14"/>
                <w:szCs w:val="14"/>
                <w:color w:val="auto"/>
              </w:rPr>
              <w:t>(66,763</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8"/>
                <w:szCs w:val="18"/>
                <w:color w:val="auto"/>
              </w:rPr>
              <w:t>Historical cost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197,344</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404,309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64,284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123,731</w:t>
            </w: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25,683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329,473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73,589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24,320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1,242,733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Accumulated depreciation</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(168,731)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(98,580)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(97,951)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(20,433)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28,613</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305,729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27,082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25,780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5,250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257,586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26,975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4,446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681,461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660" w:hanging="652"/>
        <w:spacing w:after="0" w:line="234"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Standby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Crew</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AHTS</w:t>
            </w:r>
          </w:p>
        </w:tc>
        <w:tc>
          <w:tcPr>
            <w:tcW w:w="16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FSV</w:t>
            </w:r>
          </w:p>
        </w:tc>
        <w:tc>
          <w:tcPr>
            <w:tcW w:w="12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Supply</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Safety</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Specialty</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Liftboats</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transfer</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Activity</w:t>
            </w:r>
          </w:p>
        </w:tc>
        <w:tc>
          <w:tcPr>
            <w:tcW w:w="14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year ended</w:t>
            </w: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rPr>
              <w:t>Fleet Utilization</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53,566</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50,362</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15,224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25,131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4,419</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173,783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19,947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26,888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Repairs and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maintenance</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11,135</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6,331</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Insurance and loss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reserves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Fuel, lubes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supplies</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3,286</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6,817</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41,831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146,651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24"/>
                <w:szCs w:val="24"/>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8,531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12,976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4,492</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w w:val="94"/>
              </w:rPr>
              <w:t>Administrative and general</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56,217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Depreciation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62,779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131,944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Losses on Asset Dispositions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(23,547)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Impairments,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rPr>
              <w:t>Historical cost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198,222</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424,865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118,414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30,529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196,504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65,976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39,966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1,179,836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Accumulated depreciation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(174,159)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(89,980)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24,063</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334,885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53,866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20,811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11,225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142,343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25,618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6,865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619,676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660" w:hanging="652"/>
        <w:spacing w:after="0" w:line="234"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Standby</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Crew</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AHTS</w:t>
            </w:r>
          </w:p>
        </w:tc>
        <w:tc>
          <w:tcPr>
            <w:tcW w:w="16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FSV</w:t>
            </w: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Supply</w:t>
            </w:r>
          </w:p>
        </w:tc>
        <w:tc>
          <w:tcPr>
            <w:tcW w:w="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Safety</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Specialty</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Liftboats</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transfer</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Activity</w:t>
            </w:r>
          </w:p>
        </w:tc>
        <w:tc>
          <w:tcPr>
            <w:tcW w:w="1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3"/>
              </w:rPr>
              <w:t>For the year ended December</w:t>
            </w: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31, 2016</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4,175</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52,649</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12,541</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58,460</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17,196</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24,627</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7,043</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215,636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Repairs and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maintenance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1,439</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6,529</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Insurance and loss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reserves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Fuel, lubes and</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1,809</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1,693</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12,365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24"/>
                <w:szCs w:val="24"/>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13,390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22,478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10,426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6,684</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Administrative and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rPr>
              <w:t>general</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49,308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58,069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2,428</w:t>
            </w: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124,954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on Asset Dispositions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8"/>
              </w:rPr>
              <w:t>(116,222)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Impairments, Net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(174,888)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228,857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251,416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96,774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109,436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45,765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104,356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60,671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61,484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958,759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Accumulated depreciation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(183,757)</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(540,619)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45,100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178,816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38,746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21,416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21,702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58,909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31,652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21,799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418,140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660" w:hanging="652"/>
        <w:spacing w:after="0" w:line="234"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Income (Loss)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United States, primarily Gulf of Mexico. </w:t>
      </w:r>
      <w:r>
        <w:rPr>
          <w:rFonts w:ascii="Arial" w:cs="Arial" w:eastAsia="Arial" w:hAnsi="Arial"/>
          <w:sz w:val="18"/>
          <w:szCs w:val="18"/>
          <w:color w:val="auto"/>
        </w:rPr>
        <w:t>For the years ended December 31, the Company's direct vessel profit (loss) in the United States was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 except statistics):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Rates Per Day Worked: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AHTS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35,496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35,410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FSV</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7,847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8,712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7,662</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Liftboats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8,784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14,795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16,211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Utilization:</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AHTS</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FSV</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Liftboats</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Available Days: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AHTS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FSV</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6,807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3,454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Specialty</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365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Liftboats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Overall</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14,176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13,471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revenues: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38,802</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18,079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28,902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14,762</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4,217</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3,954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53,564</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22,296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32,856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15,621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22,305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5,152</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3,594</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2,721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2,922</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3,286</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3,363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26,063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30,280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Direct Vessel Profit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20,864</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2,576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$20.7 million higher in 2018 compared with 2017. On an overall basis time charter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$20.0 million higher due to net fleet acquisitions and $1.6 million higher due to improved utilization including the reactivation of vessels from cold stack. Time charter revenues were $0.5 million lower due to the repositioning of vessels between geographic regions and $0.4 million lower due to a decrease in average day rates. As of December 31, 2018, the Company had 18 of 30 owned and leased-in vessels cold-stacked in this region (six AHTS, five FSVs, six liftboats and one specialty vessel) compared with 34 of 42 vessels as of December 31, 2017. As of December 31, 2018, the Company had four AHTS vessels and one supply vessel retired and removed from service in this region.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$6.6 million higher in 2018 compared with 2017. On an overall basis,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$11.8 million higher due to net fleet acquisitions, $0.2 million higher due to active fleet, $4.7 million lower due to reduced costs of the cold-stacked fleet, and the removal of vessels from service, and $0.7 million lower due to the repositioning of vessels between geographic regions.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Operating Revenues. </w:t>
      </w:r>
      <w:r>
        <w:rPr>
          <w:rFonts w:ascii="Arial" w:cs="Arial" w:eastAsia="Arial" w:hAnsi="Arial"/>
          <w:sz w:val="17"/>
          <w:szCs w:val="17"/>
          <w:color w:val="auto"/>
        </w:rPr>
        <w:t>Time charter revenues were $10.8 million lower in 2017 compared with 2016 primarily due to reduced utilization as a</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 of cold-stacking vessels. Time charter revenues were $14.7 million lower for the AHTS vessels, $2.4 million higher for the liftboat fleet, $0.9 million higher for the FSVs and $0.6 million higher for the supply vessels. Available days for FSVs were higher in 2017 primarily due to the acquisition of 11 vessels for $10.0 million at a bankruptcy auction during the third quarter of 2016. These vessels were idle when purchased, are still not working and are therefore contributing to the overall decline in FSV utilization. As of December 31, 2017, the Company had 34 of 42 owned and leased-in vessels cold-stacked in this region (ten AHTS, 13 FSVs, nine liftboats, one supply vessel and one specialty vessel) compared with 40 of 44 vessels as of December 31, 2016. As of December 31, 2017, the Company had one supply vessel retired and removed from service in this region.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$4.2 million lower in 2017 compared with 2016. On an overall basis, direct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were $3.1 million higher due to net fleet acquisitions and $5.8 million lower due to an increase in the number of cold-stacked vessels. Personnel costs were $6.7 million lower primarily as a consequence of an increased number of cold-stacked vessels. Repairs, maintenance and drydocking costs were $2.5 million higher partly attributable to the reactivation of eight liftboats during 2017.</w:t>
      </w:r>
    </w:p>
    <w:p>
      <w:pPr>
        <w:sectPr>
          <w:pgSz w:w="11900" w:h="16838" w:orient="portrait"/>
          <w:cols w:equalWidth="0" w:num="1">
            <w:col w:w="11420"/>
          </w:cols>
          <w:pgMar w:left="240" w:top="118" w:right="239" w:bottom="217"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17" w:gutter="0" w:footer="0" w:header="0"/>
          <w:type w:val="continuous"/>
        </w:sectPr>
      </w:pPr>
    </w:p>
    <w:bookmarkStart w:id="53" w:name="page54"/>
    <w:bookmarkEnd w:id="5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Africa, primarily West Africa. </w:t>
      </w:r>
      <w:r>
        <w:rPr>
          <w:rFonts w:ascii="Arial" w:cs="Arial" w:eastAsia="Arial" w:hAnsi="Arial"/>
          <w:sz w:val="18"/>
          <w:szCs w:val="18"/>
          <w:color w:val="auto"/>
        </w:rPr>
        <w:t>For the years ended December 31, the Company's direct vessel profit in Africa was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Rates Per Day Worked: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AHTS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12,039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15,464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FSV</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9,926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9,526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8,625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12,014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Specialty</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10,472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10,284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Utilization:</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AHTS</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FSV</w:t>
            </w: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Specialty</w:t>
            </w: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Available Days: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AHTS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FSV</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3,040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2,683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Specialty</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4,632</w:t>
            </w: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5,584</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8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43,847</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32,866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7,661</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1,080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856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51,508</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37,562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13,419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6,330</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5,957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2,628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4,313</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3,319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2,519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28,367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21,924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Direct Vessel Profit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17,320</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5,579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15,638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$11.0 million higher in 2018 compared with 2017. On an overall basis, time charter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$17.0 million higher due to net fleet additions and $0.8 million higher due to the reactivation of vessels from cold-stack. Time charter revenues increases in 2018 were offset by $5.0 million due to the repositioning of vessels between geographic regions, $1.5 million lower due to a decrease in average day rates and $0.3 million lower due to lower utilization of the active fleet. Other marine services were $6.6 million higher primarily due to the recognition of revenue, previously deferred due to collection concerns with regard to one customer following receipt of cash. As of December 31, 2018, the Company had one specialty vessel retired and removed from service in this region.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$5.8 million higher in 2018 compared with 2017. On an overall basis, operating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$9.4 million higher due to net fleet additions, $2.9 million lower due to the repositioning of vessels between geographic regions, and $0.7 million lower for vessels in active service.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Operating Revenues. </w:t>
      </w:r>
      <w:r>
        <w:rPr>
          <w:rFonts w:ascii="Arial" w:cs="Arial" w:eastAsia="Arial" w:hAnsi="Arial"/>
          <w:sz w:val="16"/>
          <w:szCs w:val="16"/>
          <w:color w:val="auto"/>
        </w:rPr>
        <w:t>Time charter revenues were $3.8 million lower in 2017 compared with 2016. On an overall basis, time charter revenues were</w:t>
      </w:r>
      <w:r>
        <w:rPr>
          <w:rFonts w:ascii="Arial" w:cs="Arial" w:eastAsia="Arial" w:hAnsi="Arial"/>
          <w:sz w:val="16"/>
          <w:szCs w:val="16"/>
          <w:i w:val="1"/>
          <w:iCs w:val="1"/>
          <w:color w:val="auto"/>
        </w:rPr>
        <w:t xml:space="preserve"> </w:t>
      </w:r>
      <w:r>
        <w:rPr>
          <w:rFonts w:ascii="Arial" w:cs="Arial" w:eastAsia="Arial" w:hAnsi="Arial"/>
          <w:sz w:val="16"/>
          <w:szCs w:val="16"/>
          <w:color w:val="auto"/>
        </w:rPr>
        <w:t>$0.8 million lower due to reduced utilization of the active fleet, $5.9 million lower due to reduced utilization as a consequence of cold-stacking vessels, $6.6 million lower due to a decrease in average day rates and $0.4 million lower due to the repositioning of vessels between geographic regions. In addition, time charter revenues for AHTS vessels were $3.2 million lower in 2017 due to the deferral of revenue for one vessel on time charter (excluded from time charter operating data) to a customer as collection was not reasonably assured. Time charter revenues were $13.1 million higher due to net fleet additions. As of December 31, 2017, the Company did not have any of its 16 owned and leased-in vessels cold-stacked in this region compared with three of 12 vessels as of December 31, 2016. As of December 31, 2017, the Company had one FSV and one specialty vessel retired and removed from service in this region.</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$6.4 million higher in 2017 compared with 2016. On an overall basis,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were $8.1 million higher due to net fleet additions and $2.4 million lower due to the effect of cold-stacking and retiring and removing vessels from service.</w:t>
      </w:r>
    </w:p>
    <w:p>
      <w:pPr>
        <w:sectPr>
          <w:pgSz w:w="11900" w:h="16838" w:orient="portrait"/>
          <w:cols w:equalWidth="0" w:num="1">
            <w:col w:w="11420"/>
          </w:cols>
          <w:pgMar w:left="240" w:top="118"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4" w:name="page55"/>
    <w:bookmarkEnd w:id="5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Middle East and Asia. </w:t>
      </w:r>
      <w:r>
        <w:rPr>
          <w:rFonts w:ascii="Arial" w:cs="Arial" w:eastAsia="Arial" w:hAnsi="Arial"/>
          <w:sz w:val="18"/>
          <w:szCs w:val="18"/>
          <w:color w:val="auto"/>
        </w:rPr>
        <w:t>For the years ended December 31, the Company's direct vessel profit (loss) in the Middle East and Asia was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statistics):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ind w:left="340"/>
              <w:spacing w:after="0"/>
              <w:rPr>
                <w:sz w:val="20"/>
                <w:szCs w:val="20"/>
                <w:color w:val="auto"/>
              </w:rPr>
            </w:pPr>
            <w:r>
              <w:rPr>
                <w:rFonts w:ascii="Arial" w:cs="Arial" w:eastAsia="Arial" w:hAnsi="Arial"/>
                <w:sz w:val="18"/>
                <w:szCs w:val="18"/>
                <w:color w:val="auto"/>
              </w:rPr>
              <w:t>Rates Per Day Worked:</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AHTS</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5,871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7,791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8,477</w:t>
            </w: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ind w:left="660"/>
              <w:spacing w:after="0"/>
              <w:rPr>
                <w:sz w:val="20"/>
                <w:szCs w:val="20"/>
                <w:color w:val="auto"/>
              </w:rPr>
            </w:pPr>
            <w:r>
              <w:rPr>
                <w:rFonts w:ascii="Arial" w:cs="Arial" w:eastAsia="Arial" w:hAnsi="Arial"/>
                <w:sz w:val="18"/>
                <w:szCs w:val="18"/>
                <w:color w:val="auto"/>
              </w:rPr>
              <w:t>FSV</w:t>
            </w:r>
          </w:p>
        </w:tc>
        <w:tc>
          <w:tcPr>
            <w:tcW w:w="400" w:type="dxa"/>
            <w:vAlign w:val="bottom"/>
          </w:tcPr>
          <w:p>
            <w:pPr>
              <w:spacing w:after="0"/>
              <w:rPr>
                <w:sz w:val="18"/>
                <w:szCs w:val="18"/>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color w:val="auto"/>
              </w:rPr>
              <w:t>6,110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6,492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6,888</w:t>
            </w: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5,181</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3,907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6,008</w:t>
            </w: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ind w:left="660"/>
              <w:spacing w:after="0"/>
              <w:rPr>
                <w:sz w:val="20"/>
                <w:szCs w:val="20"/>
                <w:color w:val="auto"/>
              </w:rPr>
            </w:pPr>
            <w:r>
              <w:rPr>
                <w:rFonts w:ascii="Arial" w:cs="Arial" w:eastAsia="Arial" w:hAnsi="Arial"/>
                <w:sz w:val="18"/>
                <w:szCs w:val="18"/>
                <w:color w:val="auto"/>
              </w:rPr>
              <w:t>Specialty</w:t>
            </w:r>
          </w:p>
        </w:tc>
        <w:tc>
          <w:tcPr>
            <w:tcW w:w="400" w:type="dxa"/>
            <w:vAlign w:val="bottom"/>
          </w:tcPr>
          <w:p>
            <w:pPr>
              <w:spacing w:after="0"/>
              <w:rPr>
                <w:sz w:val="18"/>
                <w:szCs w:val="18"/>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12,000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31,474</w:t>
            </w: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Liftboats</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30,505</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36,000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ind w:left="660"/>
              <w:spacing w:after="0"/>
              <w:rPr>
                <w:sz w:val="20"/>
                <w:szCs w:val="20"/>
                <w:color w:val="auto"/>
              </w:rPr>
            </w:pPr>
            <w:r>
              <w:rPr>
                <w:rFonts w:ascii="Arial" w:cs="Arial" w:eastAsia="Arial" w:hAnsi="Arial"/>
                <w:sz w:val="18"/>
                <w:szCs w:val="18"/>
                <w:color w:val="auto"/>
              </w:rPr>
              <w:t>Crew transfer</w:t>
            </w:r>
          </w:p>
        </w:tc>
        <w:tc>
          <w:tcPr>
            <w:tcW w:w="400" w:type="dxa"/>
            <w:vAlign w:val="bottom"/>
          </w:tcPr>
          <w:p>
            <w:pPr>
              <w:spacing w:after="0"/>
              <w:rPr>
                <w:sz w:val="18"/>
                <w:szCs w:val="18"/>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7,465</w:t>
            </w: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8,320</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6,873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8,715</w:t>
            </w: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ind w:left="340"/>
              <w:spacing w:after="0"/>
              <w:rPr>
                <w:sz w:val="20"/>
                <w:szCs w:val="20"/>
                <w:color w:val="auto"/>
              </w:rPr>
            </w:pPr>
            <w:r>
              <w:rPr>
                <w:rFonts w:ascii="Arial" w:cs="Arial" w:eastAsia="Arial" w:hAnsi="Arial"/>
                <w:sz w:val="18"/>
                <w:szCs w:val="18"/>
                <w:color w:val="auto"/>
              </w:rPr>
              <w:t>Utilization:</w:t>
            </w:r>
          </w:p>
        </w:tc>
        <w:tc>
          <w:tcPr>
            <w:tcW w:w="3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AHTS</w:t>
            </w:r>
          </w:p>
        </w:tc>
        <w:tc>
          <w:tcPr>
            <w:tcW w:w="3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42%</w:t>
            </w:r>
          </w:p>
        </w:tc>
        <w:tc>
          <w:tcPr>
            <w:tcW w:w="22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70%</w:t>
            </w:r>
          </w:p>
        </w:tc>
        <w:tc>
          <w:tcPr>
            <w:tcW w:w="20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49%</w:t>
            </w:r>
          </w:p>
        </w:tc>
      </w:tr>
      <w:tr>
        <w:trPr>
          <w:trHeight w:val="216"/>
        </w:trPr>
        <w:tc>
          <w:tcPr>
            <w:tcW w:w="3740" w:type="dxa"/>
            <w:vAlign w:val="bottom"/>
          </w:tcPr>
          <w:p>
            <w:pPr>
              <w:ind w:left="660"/>
              <w:spacing w:after="0"/>
              <w:rPr>
                <w:sz w:val="20"/>
                <w:szCs w:val="20"/>
                <w:color w:val="auto"/>
              </w:rPr>
            </w:pPr>
            <w:r>
              <w:rPr>
                <w:rFonts w:ascii="Arial" w:cs="Arial" w:eastAsia="Arial" w:hAnsi="Arial"/>
                <w:sz w:val="18"/>
                <w:szCs w:val="18"/>
                <w:color w:val="auto"/>
              </w:rPr>
              <w:t>FSV</w:t>
            </w:r>
          </w:p>
        </w:tc>
        <w:tc>
          <w:tcPr>
            <w:tcW w:w="3400" w:type="dxa"/>
            <w:vAlign w:val="bottom"/>
          </w:tcPr>
          <w:p>
            <w:pPr>
              <w:jc w:val="right"/>
              <w:ind w:right="870"/>
              <w:spacing w:after="0"/>
              <w:rPr>
                <w:sz w:val="20"/>
                <w:szCs w:val="20"/>
                <w:color w:val="auto"/>
              </w:rPr>
            </w:pPr>
            <w:r>
              <w:rPr>
                <w:rFonts w:ascii="Arial" w:cs="Arial" w:eastAsia="Arial" w:hAnsi="Arial"/>
                <w:sz w:val="18"/>
                <w:szCs w:val="18"/>
                <w:color w:val="auto"/>
              </w:rPr>
              <w:t>81%</w:t>
            </w:r>
          </w:p>
        </w:tc>
        <w:tc>
          <w:tcPr>
            <w:tcW w:w="2260" w:type="dxa"/>
            <w:vAlign w:val="bottom"/>
          </w:tcPr>
          <w:p>
            <w:pPr>
              <w:jc w:val="right"/>
              <w:ind w:right="870"/>
              <w:spacing w:after="0"/>
              <w:rPr>
                <w:sz w:val="20"/>
                <w:szCs w:val="20"/>
                <w:color w:val="auto"/>
              </w:rPr>
            </w:pPr>
            <w:r>
              <w:rPr>
                <w:rFonts w:ascii="Arial" w:cs="Arial" w:eastAsia="Arial" w:hAnsi="Arial"/>
                <w:sz w:val="18"/>
                <w:szCs w:val="18"/>
                <w:color w:val="auto"/>
              </w:rPr>
              <w:t>76%</w:t>
            </w:r>
          </w:p>
        </w:tc>
        <w:tc>
          <w:tcPr>
            <w:tcW w:w="2020" w:type="dxa"/>
            <w:vAlign w:val="bottom"/>
          </w:tcPr>
          <w:p>
            <w:pPr>
              <w:jc w:val="right"/>
              <w:ind w:right="630"/>
              <w:spacing w:after="0"/>
              <w:rPr>
                <w:sz w:val="20"/>
                <w:szCs w:val="20"/>
                <w:color w:val="auto"/>
              </w:rPr>
            </w:pPr>
            <w:r>
              <w:rPr>
                <w:rFonts w:ascii="Arial" w:cs="Arial" w:eastAsia="Arial" w:hAnsi="Arial"/>
                <w:sz w:val="18"/>
                <w:szCs w:val="18"/>
                <w:color w:val="auto"/>
              </w:rPr>
              <w:t>84%</w:t>
            </w: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3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69%</w:t>
            </w:r>
          </w:p>
        </w:tc>
        <w:tc>
          <w:tcPr>
            <w:tcW w:w="22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51%</w:t>
            </w:r>
          </w:p>
        </w:tc>
        <w:tc>
          <w:tcPr>
            <w:tcW w:w="20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33%</w:t>
            </w:r>
          </w:p>
        </w:tc>
      </w:tr>
      <w:tr>
        <w:trPr>
          <w:trHeight w:val="216"/>
        </w:trPr>
        <w:tc>
          <w:tcPr>
            <w:tcW w:w="3740" w:type="dxa"/>
            <w:vAlign w:val="bottom"/>
          </w:tcPr>
          <w:p>
            <w:pPr>
              <w:ind w:left="660"/>
              <w:spacing w:after="0"/>
              <w:rPr>
                <w:sz w:val="20"/>
                <w:szCs w:val="20"/>
                <w:color w:val="auto"/>
              </w:rPr>
            </w:pPr>
            <w:r>
              <w:rPr>
                <w:rFonts w:ascii="Arial" w:cs="Arial" w:eastAsia="Arial" w:hAnsi="Arial"/>
                <w:sz w:val="18"/>
                <w:szCs w:val="18"/>
                <w:color w:val="auto"/>
              </w:rPr>
              <w:t>Specialty</w:t>
            </w:r>
          </w:p>
        </w:tc>
        <w:tc>
          <w:tcPr>
            <w:tcW w:w="34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870"/>
              <w:spacing w:after="0"/>
              <w:rPr>
                <w:sz w:val="20"/>
                <w:szCs w:val="20"/>
                <w:color w:val="auto"/>
              </w:rPr>
            </w:pPr>
            <w:r>
              <w:rPr>
                <w:rFonts w:ascii="Arial" w:cs="Arial" w:eastAsia="Arial" w:hAnsi="Arial"/>
                <w:sz w:val="18"/>
                <w:szCs w:val="18"/>
                <w:color w:val="auto"/>
              </w:rPr>
              <w:t>3%</w:t>
            </w:r>
          </w:p>
        </w:tc>
        <w:tc>
          <w:tcPr>
            <w:tcW w:w="2020" w:type="dxa"/>
            <w:vAlign w:val="bottom"/>
          </w:tcPr>
          <w:p>
            <w:pPr>
              <w:jc w:val="right"/>
              <w:ind w:right="630"/>
              <w:spacing w:after="0"/>
              <w:rPr>
                <w:sz w:val="20"/>
                <w:szCs w:val="20"/>
                <w:color w:val="auto"/>
              </w:rPr>
            </w:pPr>
            <w:r>
              <w:rPr>
                <w:rFonts w:ascii="Arial" w:cs="Arial" w:eastAsia="Arial" w:hAnsi="Arial"/>
                <w:sz w:val="18"/>
                <w:szCs w:val="18"/>
                <w:color w:val="auto"/>
              </w:rPr>
              <w:t>48%</w:t>
            </w: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Liftboats</w:t>
            </w:r>
          </w:p>
        </w:tc>
        <w:tc>
          <w:tcPr>
            <w:tcW w:w="3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85%</w:t>
            </w:r>
          </w:p>
        </w:tc>
        <w:tc>
          <w:tcPr>
            <w:tcW w:w="22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23%</w:t>
            </w:r>
          </w:p>
        </w:tc>
        <w:tc>
          <w:tcPr>
            <w:tcW w:w="20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ind w:left="660"/>
              <w:spacing w:after="0"/>
              <w:rPr>
                <w:sz w:val="20"/>
                <w:szCs w:val="20"/>
                <w:color w:val="auto"/>
              </w:rPr>
            </w:pPr>
            <w:r>
              <w:rPr>
                <w:rFonts w:ascii="Arial" w:cs="Arial" w:eastAsia="Arial" w:hAnsi="Arial"/>
                <w:sz w:val="18"/>
                <w:szCs w:val="18"/>
                <w:color w:val="auto"/>
              </w:rPr>
              <w:t>Crew transfer</w:t>
            </w:r>
          </w:p>
        </w:tc>
        <w:tc>
          <w:tcPr>
            <w:tcW w:w="3400" w:type="dxa"/>
            <w:vAlign w:val="bottom"/>
          </w:tcPr>
          <w:p>
            <w:pPr>
              <w:jc w:val="right"/>
              <w:ind w:right="870"/>
              <w:spacing w:after="0"/>
              <w:rPr>
                <w:sz w:val="20"/>
                <w:szCs w:val="20"/>
                <w:color w:val="auto"/>
              </w:rPr>
            </w:pPr>
            <w:r>
              <w:rPr>
                <w:rFonts w:ascii="Arial" w:cs="Arial" w:eastAsia="Arial" w:hAnsi="Arial"/>
                <w:sz w:val="18"/>
                <w:szCs w:val="18"/>
                <w:color w:val="auto"/>
              </w:rPr>
              <w:t>44%</w:t>
            </w:r>
          </w:p>
        </w:tc>
        <w:tc>
          <w:tcPr>
            <w:tcW w:w="2260" w:type="dxa"/>
            <w:vAlign w:val="bottom"/>
          </w:tcPr>
          <w:p>
            <w:pPr>
              <w:jc w:val="right"/>
              <w:ind w:right="870"/>
              <w:spacing w:after="0"/>
              <w:rPr>
                <w:sz w:val="20"/>
                <w:szCs w:val="20"/>
                <w:color w:val="auto"/>
              </w:rPr>
            </w:pPr>
            <w:r>
              <w:rPr>
                <w:rFonts w:ascii="Arial" w:cs="Arial" w:eastAsia="Arial" w:hAnsi="Arial"/>
                <w:sz w:val="18"/>
                <w:szCs w:val="18"/>
                <w:color w:val="auto"/>
              </w:rPr>
              <w:t>14%</w:t>
            </w:r>
          </w:p>
        </w:tc>
        <w:tc>
          <w:tcPr>
            <w:tcW w:w="2020" w:type="dxa"/>
            <w:vAlign w:val="bottom"/>
          </w:tcPr>
          <w:p>
            <w:pPr>
              <w:jc w:val="right"/>
              <w:ind w:right="630"/>
              <w:spacing w:after="0"/>
              <w:rPr>
                <w:sz w:val="20"/>
                <w:szCs w:val="20"/>
                <w:color w:val="auto"/>
              </w:rPr>
            </w:pPr>
            <w:r>
              <w:rPr>
                <w:rFonts w:ascii="Arial" w:cs="Arial" w:eastAsia="Arial" w:hAnsi="Arial"/>
                <w:sz w:val="18"/>
                <w:szCs w:val="18"/>
                <w:color w:val="auto"/>
              </w:rPr>
              <w:t>47%</w:t>
            </w: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3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74%</w:t>
            </w:r>
          </w:p>
        </w:tc>
        <w:tc>
          <w:tcPr>
            <w:tcW w:w="22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59%</w:t>
            </w:r>
          </w:p>
        </w:tc>
        <w:tc>
          <w:tcPr>
            <w:tcW w:w="20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Available Days: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AHTS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FSV</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4,433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3,660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1,584</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Specialty</w:t>
            </w:r>
          </w:p>
        </w:tc>
        <w:tc>
          <w:tcPr>
            <w:tcW w:w="4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732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Liftboats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Crew transfer</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730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8,302</w:t>
            </w:r>
          </w:p>
        </w:tc>
        <w:tc>
          <w:tcPr>
            <w:tcW w:w="4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7,833</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8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50,072</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33,410</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41,657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(887)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474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12,230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49,185</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33,884</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16,806</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16,883</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18,381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11,172</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9,037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6,426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1,371</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1,444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731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3,727</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3,980</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5,240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3,247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37,299</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Direct Vessel Profit (Loss)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10,467</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(3,415)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18,770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Time charter revenues were $16.7 million higher in 2018 compared with 2017. On an overall basis, time charter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$8.1 million higher due to net fleet additions, $7.2 million higher due to improved utilization of which $0.4 million was due to the reactivation of vessels from cold-stack, and $3.4 million due to the repositioning of vessels between geographic regions. Time charter revenues were $2.4 million lower due to a reduction in average day rates. As of December 31, 2018, the Company had one of 22 owned and leased-in vessels cold-stacked in this region (one AHTS vessel) compared with two of 25 vessels as of December 31, 2017. As of December 31, 2018, the Company had one specialty vessel retired and removed from service in this region.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operating revenues were $1.4 million lower in 2018 compared 2017 primarily due to the completion of a bareboat charter.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$1.4 million higher in 2018 compared with 2017. On an overall basis, direct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were $1.8 million higher due to net fleet additions, $1.0 million higher for vessels in active service and other changes in fleet mix, $0.4 million higher due to the repositioning of vessels between geographic regions, and $1.8 million lower due to the effect of cold-stacking vessels. Repair and maintenance costs were $2.1 million higher primarily due to higher main engine repair costs for the FSV fleet, and higher repair costs for the liftboats. Other operating expenses were $1.3 million lower, primarily due to the repositioning of vessels between geographic regions in 2017.</w:t>
      </w:r>
    </w:p>
    <w:p>
      <w:pPr>
        <w:sectPr>
          <w:pgSz w:w="11900" w:h="16838" w:orient="portrait"/>
          <w:cols w:equalWidth="0" w:num="1">
            <w:col w:w="11420"/>
          </w:cols>
          <w:pgMar w:left="240" w:top="118"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5" w:name="page56"/>
    <w:bookmarkEnd w:id="5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Operating Revenues</w:t>
      </w:r>
      <w:r>
        <w:rPr>
          <w:rFonts w:ascii="Arial" w:cs="Arial" w:eastAsia="Arial" w:hAnsi="Arial"/>
          <w:sz w:val="16"/>
          <w:szCs w:val="16"/>
          <w:color w:val="auto"/>
        </w:rPr>
        <w:t>. Time charter revenues were $8.2 million lower in 2017 compared with 2016 primarily attributable to a $10.8 million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specialty vessel class. On an overall basis, time charter revenues were $1.2 million lower due to reduced utilization of the active fleet, $3.2 million lower due to reduced utilization as a consequence of cold-stacking vessels, $1.8 million lower due to fleet dispositions and $2.5 million lower due to reduced average day rates. Time charter revenues were $0.5 million higher due to the repositioning of vessels between geographic regions. As of December 31, 2017, the Company had two of 25 owned and leased-in vessels cold-stacked in this region (one AHTS vessel and one crew transfer vessel) compared with five of 19 vessels as of December 31, 2016. As of December 31, 2017, the Company had one specialty vessel retired and removed from service in this region.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operating revenues were $11.8 million lower in 2017 compared 2016 primarily due to reduced earnings from revenue arrangements with certain of the Company's joint ventures.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$2.2 million higher in 2017 compared with 2016. On an overall basis,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$3.5 million higher due to net fleet additions, $1.8 million higher due to the repositioning of vessels between geographic regions, $0.9 million lower due to the effect of cold-stacking vessels and $2.2 million lower for vessels in active service primarily attributed to changes in fleet mix.</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Personnel costs were $1.5 million lower primarily due to the effect of cold-stacking vessels and changes in fleet mix. Repair and maintenance expenses were $2.6 million higher primarily due to the replacement of main engines in one FSV for $2.0 million during 2017. Other operating expenses were $2.0 million higher primarily due to the repositioning of vessels between geographic regions.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Brazil, Mexico, Central and South America. </w:t>
      </w:r>
      <w:r>
        <w:rPr>
          <w:rFonts w:ascii="Arial" w:cs="Arial" w:eastAsia="Arial" w:hAnsi="Arial"/>
          <w:sz w:val="16"/>
          <w:szCs w:val="16"/>
          <w:color w:val="auto"/>
        </w:rPr>
        <w:t>For the years ended December 31, the Company's direct vessel profit in Brazil, Mexico, Central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 America was as follows (in thousands, except statistics):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Rates Per Day Worked: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FSV</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Supply</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18,986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Liftboats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16,393</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Overall</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15,991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16,393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18,986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Utilization:</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FSV</w:t>
            </w: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Liftboats</w:t>
            </w: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Available Days: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FSV</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Supply</w:t>
            </w: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Liftboats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Overall</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Time charter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17,343</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2,977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Bareboat charter</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1,554</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552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Direct Vessel Profit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15,144</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6,426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7,682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$14.4 million higher in 2018 compared with 2017. Time charter revenues were $9.9 million higher</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repositioning of vessels between geographic regions and $5.2 million higher due to fleet additions. Time charter revenues were $0.7 million lower due to reduced average day rates. As of December 31, 2018, the Company had one of seven owned and leased-in vessels cold-stacked in this region (one FSV) compared with one of four vessels as of December 31, 2017.</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$6.6 million higher in 2018 compared with 2017. On an overall basis, direct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were $4.3 million higher due to the repositioning of vessels between geographic regions, $2.1 million higher due to net fleet additions and $0.2 million higher for the core fleet, primarily due to the timing of drydockings.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$2.8 million higher in 2017 compared with 2016 primarily due to the repositioning of one liftboat</w:t>
      </w:r>
      <w:r>
        <w:rPr>
          <w:rFonts w:ascii="Arial" w:cs="Arial" w:eastAsia="Arial" w:hAnsi="Arial"/>
          <w:sz w:val="18"/>
          <w:szCs w:val="18"/>
          <w:i w:val="1"/>
          <w:iCs w:val="1"/>
          <w:color w:val="auto"/>
        </w:rPr>
        <w:t xml:space="preserve"> </w:t>
      </w:r>
      <w:r>
        <w:rPr>
          <w:rFonts w:ascii="Arial" w:cs="Arial" w:eastAsia="Arial" w:hAnsi="Arial"/>
          <w:sz w:val="18"/>
          <w:szCs w:val="18"/>
          <w:color w:val="auto"/>
        </w:rPr>
        <w:t>vessel between geographic regions during 2017. Bareboat charter revenues were $4.2 million lower in 2017 compared with 2016 primarily due to the completion of two bareboat charters in Mexico during 2016. As of December 31, 2017, the Company had one of four owned and leased-in vessels cold-stacked in this region (one FSV) compared with one of three vessels as of December 31, 2016.</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$0.8 million lower in 2017 compared with 2016 primarily due to the change in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status for two vessels from time charter to bareboat charter, partially offset by higher expenses on the vessel repositioned to this region during 2017.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Europe, primarily North Sea. </w:t>
      </w:r>
      <w:r>
        <w:rPr>
          <w:rFonts w:ascii="Arial" w:cs="Arial" w:eastAsia="Arial" w:hAnsi="Arial"/>
          <w:sz w:val="18"/>
          <w:szCs w:val="18"/>
          <w:color w:val="auto"/>
        </w:rPr>
        <w:t>For the years ended December 31, the Company's direct vessel profit in Europe was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Rates Per Day Worked:</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Standby safety</w:t>
            </w:r>
          </w:p>
        </w:tc>
        <w:tc>
          <w:tcPr>
            <w:tcW w:w="17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Crew transfer</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2,173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2,130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Utilization:</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Standby safety</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Crew transfer</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Available Days: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Standby safety</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7,282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8,117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Crew transfer</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12,775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580" w:type="dxa"/>
            <w:vAlign w:val="bottom"/>
          </w:tcPr>
          <w:p>
            <w:pPr>
              <w:ind w:left="660"/>
              <w:spacing w:after="0"/>
              <w:rPr>
                <w:sz w:val="20"/>
                <w:szCs w:val="20"/>
                <w:color w:val="auto"/>
              </w:rPr>
            </w:pPr>
            <w:r>
              <w:rPr>
                <w:rFonts w:ascii="Arial" w:cs="Arial" w:eastAsia="Arial" w:hAnsi="Arial"/>
                <w:sz w:val="18"/>
                <w:szCs w:val="18"/>
                <w:color w:val="auto"/>
              </w:rPr>
              <w:t>Overall</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20,057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20,746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Time charter</w:t>
            </w:r>
          </w:p>
        </w:tc>
        <w:tc>
          <w:tcPr>
            <w:tcW w:w="1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72,188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73,213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78,866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35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75,820</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75,492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81,122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Direct operating expenses:</w:t>
            </w:r>
          </w:p>
        </w:tc>
        <w:tc>
          <w:tcPr>
            <w:tcW w:w="1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Personnel</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38,577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34,768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39,713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Repairs and maintenance</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Drydocking</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6,055</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4,059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4,378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and loss reserves</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Fuel, lubes and supplies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4,329</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3,782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3,948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35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61,097</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53,183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59,500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Direct Vessel Profit</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26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22,309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21,622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For standby safety vessels, time charter revenues were $0.3 million lower in 2018 compared with 2017. Time charter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$0.7 million lower due to reduced utilization, $0.1 million lower due to reduced average day rates and $3.5 million lower due to fleet dispositions. Time charter revenues were $2.2 million higher due to the repositioning of vessels between geographic regions after conversion to safety standby classification and $1.8 million due to favorable changes in currency exchange rates.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crew transfer vessels, time charter revenues were $0.7 million lower. Time charter revenues were $1.8 million lower due to reduced utilization and $0.6 million lower due to the repositioning of vessels between geographic regions. Time charter revenues were $1.0 million higher due to net fleet additions, $0.1 million higher due to increased average day rates and $0.6 million lower due to favorable changes in currency exchange rates.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Marine Services were $1.4 million higher in 2018 compared with 2017, primarily due to the charter in of a PSV from a joint venture.</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2018, the Company owned 18 standby safety vessels and 36 crew transfer vessels in this region compared with 19 and 35, respectively, as of December 31, 2017. As of December 31, 2018, the Company had one crew transfer vessel cold stacked in this region.</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$7.9 million higher in 2018 compared 2017. On an overall basis, vessel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$6.2 million higher due to the repositioning of vessels between geographic regions, $2.2 million higher for vessels in active service primarily due to unfavorable change in currency exchange rates and other changes in fleet mix, $1.2 million higher due to the recognition of a charge for a U.K. subsidiary’s share of a funding deficit in the Merchant Navy Ratings Pension Fund (“MNRPF”) for North Sea Mariners arising from a 2018 valuation, and $0.9 million higher due to the cost of chartering in a joint ventured PSV. Direct operating expenses were $2.6 million lower due to net fleet dispositions.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For standby safety vessels, time charter revenues were $8.1 million lower in 2017 compared with 2016. Time charter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$1.3 million lower due to reduced utilization, $1.0 million lower due to reduced average day rates, $2.5 million lower due to unfavorable changes in currency exchange rates and $3.3 million lower due to fleet dispositions.</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crew transfer vessels, time charter revenues were $2.5 million higher. Time charter revenues were $2.1 million higher due to improved utilization, $1.5 million higher due to increased average day rates and $1.1 million lower due to unfavorable changes in currency exchange rates.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the Company owned 19 standby safety vessels and 35 crew transfer vessels in this region compared with 20 and 35, respectively, as of December 31, 2016.</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$6.3 million lower in 2017 compared 2016. On an overall basis, vessel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were $5.0 million lower due to fleet dispositions and $1.3 million lower for vessels in active service primarily due to favorable changes in currency exchange rates.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Leased-in Equipment. </w:t>
      </w:r>
      <w:r>
        <w:rPr>
          <w:rFonts w:ascii="Arial" w:cs="Arial" w:eastAsia="Arial" w:hAnsi="Arial"/>
          <w:sz w:val="18"/>
          <w:szCs w:val="18"/>
          <w:color w:val="auto"/>
        </w:rPr>
        <w:t>Leased-in equipment expenses were $1.5 million lower for 2018 compared with 2017 primarily due to the impairment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removal from service of a leased-in vessel during 2017. Leased-in equipment expenses were $4.6 million lower for 2017 compared with 2016 primarily due to the redelivery of vessels to their owners following the expiration of leases and one leased-in vessel removed from service during 2017 as it is not expected to be marketed prior to the expiration of its lease.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Administrative and general. </w:t>
      </w:r>
      <w:r>
        <w:rPr>
          <w:rFonts w:ascii="Arial" w:cs="Arial" w:eastAsia="Arial" w:hAnsi="Arial"/>
          <w:sz w:val="18"/>
          <w:szCs w:val="18"/>
          <w:color w:val="auto"/>
        </w:rPr>
        <w:t>Administrative and general expenses were $3.4 million lower in 2018 compared with 2017,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acceleration of certain stock awards following the spin-off from SEACOR Holdings in 2017 and a reduction in fees in connection with support services provided by SEACOR Holdings, partly offset by increased compensation costs and higher allowances for doubtful accounts due to the recovery in 2017 of debts previously provided for.</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Administrative and general expenses were $6.9 million higher in 2017 compared with 2016. During 2017, the Company incurred one-time costs of $6.7 million in connection with the Spin-off for the accelerated vesting of share awards previously granted to Company personnel by SEACOR Holdings and $3.4 million in non-deductible Spin-off related expenses reimbursed to SEACOR Holdings. In addition, the Company incurred higher costs of $1.5 million in connection with support services provided by SEACOR Holdings, partially offset by lower allowance for doubtful accounts of $5.6 million.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were $9.5 million higher in 2018 compared with 2017 primarily due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fleet additions.</w:t>
      </w:r>
    </w:p>
    <w:p>
      <w:pPr>
        <w:spacing w:after="0" w:line="170" w:lineRule="exact"/>
        <w:rPr>
          <w:sz w:val="20"/>
          <w:szCs w:val="20"/>
          <w:color w:val="auto"/>
        </w:rPr>
      </w:pPr>
    </w:p>
    <w:p>
      <w:pPr>
        <w:jc w:val="both"/>
        <w:ind w:firstLine="696"/>
        <w:spacing w:after="0" w:line="264" w:lineRule="auto"/>
        <w:rPr>
          <w:sz w:val="20"/>
          <w:szCs w:val="20"/>
          <w:color w:val="auto"/>
        </w:rPr>
      </w:pPr>
      <w:r>
        <w:rPr>
          <w:rFonts w:ascii="Arial" w:cs="Arial" w:eastAsia="Arial" w:hAnsi="Arial"/>
          <w:sz w:val="18"/>
          <w:szCs w:val="18"/>
          <w:color w:val="auto"/>
        </w:rPr>
        <w:t>Depreciation and amortization expense were $4.7 million higher in 2017 compared with 2016. In addition to depreciation for net fleet additions, the Company recognized higher depreciation expenses of $2.8 million associated with the 2017 reduction in the depreciable lives of three offshore support vessels to their next regulatory survey dates in 2018.</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Losses on Asset Dispositions and Impairments, Net. </w:t>
      </w:r>
      <w:r>
        <w:rPr>
          <w:rFonts w:ascii="Arial" w:cs="Arial" w:eastAsia="Arial" w:hAnsi="Arial"/>
          <w:sz w:val="17"/>
          <w:szCs w:val="17"/>
          <w:color w:val="auto"/>
        </w:rPr>
        <w:t>During 2018, the Company recorded impairment charges of $14.6 million associated with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AHTS fleet (four owned and three leased vessels) and one specialty vessel. The Company sold one AHTS vessel, nine FSVs, one supply vessel, three standby safety vessels, two liftboats, and two crew transfer vessels. In addition, the Company sold one FSV, one tow-supply vessel and one supply vessel previously retired and removed from service and other equipment for net proceeds of $18.6 million and gains of $5.9 million.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2017, the Company recorded impairment charges of $27.5 million primarily related to the Company's AHTS vessels, one leased-in supply vessel removed from service as it is not expected to be marketed prior to the expiration of its lease, one owned FSV removed from service and two owned in-service specialty vessels. In addition, the Company sold two liftboats, one supply vessel, one standby safety vessel, nine offshore support vessels previously retired and removed from service and other equipment for net proceeds of $11.2 million and gains of $3.9 million.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the Company recognized impairment charges of $119.7 million primarily associated with its AHTS fleet, liftboat fleet and one specialty vessel. In addition, the Company sold nine offshore support vessels and other equipment for net proceeds of $41.4 million and gains of $3.5 million, all of which were recognized currently.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Other (Expense) Income,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the Company's other income (expense)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1,234</w:t>
            </w:r>
          </w:p>
        </w:tc>
        <w:tc>
          <w:tcPr>
            <w:tcW w:w="10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1,805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4,458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(27,869)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(16,532)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SEACOR Holdings management fees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SEACOR Holdings guarantee fees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Loss on extinguishment debt</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security gains (losses), net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10,931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Derivative gains (losses), net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20,256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net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r>
      <w:tr>
        <w:trPr>
          <w:trHeight w:val="20"/>
        </w:trPr>
        <w:tc>
          <w:tcPr>
            <w:tcW w:w="6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(25,221)</w:t>
            </w: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11,336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(15,417)</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 2016 was primarily due to interest earned on a marketable security position exited by the Company in early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higher in 2018 compared to 2017 primarily due to higher interest rates and additional interest on the Falcon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USA debt facility, the Seacor 88/888 debt facility and the increased borrowing under the SMFH Loan Facility. 2017 was higher compared with 2016 primarily due to lower capitalized interest and additional interest incurred on the debt facilities of Falcon Global, Sea-Cat Crewzer, Sea-Cat Crewzer II and Sea-Cat Crewzer III.</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SEACOR Holdings management fees. </w:t>
      </w:r>
      <w:r>
        <w:rPr>
          <w:rFonts w:ascii="Arial" w:cs="Arial" w:eastAsia="Arial" w:hAnsi="Arial"/>
          <w:sz w:val="18"/>
          <w:szCs w:val="18"/>
          <w:color w:val="auto"/>
        </w:rPr>
        <w:t>Following the Spin-off in 2017, SEACOR Holdings no longer charges management fees to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upon the Spin-off, Transition Service Agreement fees for various support services for a period up to two years are included in administrative and general expenses.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SEACOR Holdings guarantee fees. </w:t>
      </w:r>
      <w:r>
        <w:rPr>
          <w:rFonts w:ascii="Arial" w:cs="Arial" w:eastAsia="Arial" w:hAnsi="Arial"/>
          <w:sz w:val="16"/>
          <w:szCs w:val="16"/>
          <w:color w:val="auto"/>
        </w:rPr>
        <w:t>As of December 31, 2018, SEACOR Holdings had issued guarantees in respect of certain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with a value of $40.6 million. Pursuant to the Distribution Agreement executed in connection with the Spin-off, SEACOR Holdings charges the Company a guarantee fee of 0.5% per annum on the amount of outstanding guarantees. See "Contractual Obligations and Commercial Commitments."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Marketable security gains (losses), net. </w:t>
      </w:r>
      <w:r>
        <w:rPr>
          <w:rFonts w:ascii="Arial" w:cs="Arial" w:eastAsia="Arial" w:hAnsi="Arial"/>
          <w:sz w:val="18"/>
          <w:szCs w:val="18"/>
          <w:color w:val="auto"/>
        </w:rPr>
        <w:t>Marketable security gains of $10.9 million in 2017 were primarily due to a marketable security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exited by the Company in early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Loss on debt extinguishment. </w:t>
      </w:r>
      <w:r>
        <w:rPr>
          <w:rFonts w:ascii="Arial" w:cs="Arial" w:eastAsia="Arial" w:hAnsi="Arial"/>
          <w:sz w:val="18"/>
          <w:szCs w:val="18"/>
          <w:color w:val="auto"/>
        </w:rPr>
        <w:t>On September 26, 2018, the Company entered into a $130.0 million loan facility with a syndicate of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administered by DNB Bank ASA. A portion of the proceeds ($99.9 million) was used towards the extinguishment of prior term loans (See Note 7). As a result of this transaction, the Company recognized a loss of $0.6 million in fees related to the extinguishment of debt.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Derivative gains, net. </w:t>
      </w:r>
      <w:r>
        <w:rPr>
          <w:rFonts w:ascii="Arial" w:cs="Arial" w:eastAsia="Arial" w:hAnsi="Arial"/>
          <w:sz w:val="18"/>
          <w:szCs w:val="18"/>
          <w:color w:val="auto"/>
        </w:rPr>
        <w:t>Net derivative gains during 2018 and 2017 were primarily due to reductions in the fair value of the Company's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liability on its Convertible Senior Notes. The reductions in the conversion option liability were primarily the result of a partial exercise of conversion options in 2018, along with declines in the Company's share price and estimated credit spread.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Foreign currency losses, net. </w:t>
      </w:r>
      <w:r>
        <w:rPr>
          <w:rFonts w:ascii="Arial" w:cs="Arial" w:eastAsia="Arial" w:hAnsi="Arial"/>
          <w:sz w:val="18"/>
          <w:szCs w:val="18"/>
          <w:color w:val="auto"/>
        </w:rPr>
        <w:t>For all periods, foreign currency losses were primarily due to the weakening of the pound sterling in relation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euro underlying certain of the Company's debt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ending December 31, 2018, the Company’s effective income tax rate of 14.5% was lower than the Company’s statutory tax rate of 21% primarily due to foreign subsidiaries with current losses for which there is no current or future federal income tax benefit.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2017 and 2016 the Company's effective income tax rate was 63.6% and 33.4%,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 of 50% or Less Owned Companies, Net of Tax</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the Company's equity in earnings (losses) of 50% or less owned companies, net of tax,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MexMar</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2,736</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10,103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OSV Partners</w:t>
            </w:r>
          </w:p>
        </w:tc>
        <w:tc>
          <w:tcPr>
            <w:tcW w:w="10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(2,133)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Sea-Cat Crewzer</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Sea-Cat Crewzer II</w:t>
            </w:r>
          </w:p>
        </w:tc>
        <w:tc>
          <w:tcPr>
            <w:tcW w:w="10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SEACOR Grant DIS</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Falcon Global</w:t>
            </w:r>
          </w:p>
        </w:tc>
        <w:tc>
          <w:tcPr>
            <w:tcW w:w="10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(7,092)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Dynamic Offshore Drilling</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(2,695)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(6,936)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SEACOSCO</w:t>
            </w:r>
          </w:p>
        </w:tc>
        <w:tc>
          <w:tcPr>
            <w:tcW w:w="10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(2,359)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(830)</w:t>
            </w:r>
          </w:p>
        </w:tc>
      </w:tr>
      <w:tr>
        <w:trPr>
          <w:trHeight w:val="20"/>
        </w:trPr>
        <w:tc>
          <w:tcPr>
            <w:tcW w:w="64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(3,415)</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4,077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(6,314)</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Equity losses were $6.3 million lower than 2017 primarily due to income tax benefits recognized in 2017 as a result of new U.S. tax legislation signed into law on December 22,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were $7.4 million lower than in 2017 due primarily to a $5.8 million tax benefit in 2017 and a reduction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and day rates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SEACOR OSV Partners GP LLC and SEACOR OSV Partners LP LLC (collectively "OSV Partners") were $3.3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lower than 2017 primarily due to $2.4 million tax benefit in 2017.</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Equity losses from SEACOR Grant DIS LLC ("SEACOR Grant DIS") were $0.8 million greater than 2017.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liquidated and the vessel was sold in November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Dynamic Offshore Drilling. </w:t>
      </w:r>
      <w:r>
        <w:rPr>
          <w:rFonts w:ascii="Arial" w:cs="Arial" w:eastAsia="Arial" w:hAnsi="Arial"/>
          <w:sz w:val="18"/>
          <w:szCs w:val="18"/>
          <w:color w:val="auto"/>
        </w:rPr>
        <w:t>Equity losses were $4.2 million less than 2017 primarily due to an impairment charge recorded in 2017.</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SEACOSCO Offshore LLC ("SEACOSCO"). </w:t>
      </w:r>
      <w:r>
        <w:rPr>
          <w:rFonts w:ascii="Arial" w:cs="Arial" w:eastAsia="Arial" w:hAnsi="Arial"/>
          <w:sz w:val="18"/>
          <w:szCs w:val="18"/>
          <w:color w:val="auto"/>
        </w:rPr>
        <w:t>SEACOSCO was formed in 2018. Equity losses from SEACOSCO were primarily due to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two new vessels entering service in the joint venture.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2017 compared with 2016</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Equity earnings of $4.1 million in 2017 included income tax benefits of $7.1 million recognized as a result of new U.S. tax legislation signed into law on December 22, 2017. The majority of the income tax benefits recognized were due to a reduction in U.S. tax rates from 35% to 21% applied to the Company's basis differences in its domestic joint ventures and the elimination of previously accrued deferred taxes on the unremitted earnings of the Company's foreign joint ventures. Excluding the impact of these tax benefits recognized, changes in equity earnings (losses) were as follows: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were $1.6 million higher in 2017 compared with 2016 primarily due to vessel acquisitions replacing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leased-in vessels resulting in improved operating margins.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OSV Partners were $1.2 million lower in 2017 compared with 2016 primarily due to a 2016 loss of $1.0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Company's proportionate share of asset impairment charges.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Equity losses from SEACOR Grant DIS were $1.8 million lower in 2017 compared with 2016 primarily due to a 2016 loss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 million for the Company's proportionate share of asset impairment charges.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Falcon Global. </w:t>
      </w:r>
      <w:r>
        <w:rPr>
          <w:rFonts w:ascii="Arial" w:cs="Arial" w:eastAsia="Arial" w:hAnsi="Arial"/>
          <w:sz w:val="18"/>
          <w:szCs w:val="18"/>
          <w:color w:val="auto"/>
        </w:rPr>
        <w:t>In March 2017, the Company's partner declined to participate in a capital call from Falcon Global LLC, a Marshall Islands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company ("Falcon Global") and, as a consequence, the Company obtained 100% voting control of Falcon Global in accordance with the terms of the operating agreement and consolidated the joint venture.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Dynamic Offshore Drilling. </w:t>
      </w:r>
      <w:r>
        <w:rPr>
          <w:rFonts w:ascii="Arial" w:cs="Arial" w:eastAsia="Arial" w:hAnsi="Arial"/>
          <w:sz w:val="18"/>
          <w:szCs w:val="18"/>
          <w:color w:val="auto"/>
        </w:rPr>
        <w:t>During 2017, the Company recognized an impairment charge of $8.3 million, net of tax, for an-other-than-temporary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decline in the fair value of its equity investment in Dynamic Offshore Drilling Ltd. ("Dynamic Offshore Drilling") upon its unsuccessful bid on a charter renewal with a customer.</w:t>
      </w:r>
    </w:p>
    <w:p>
      <w:pPr>
        <w:sectPr>
          <w:pgSz w:w="11900" w:h="16838" w:orient="portrait"/>
          <w:cols w:equalWidth="0" w:num="1">
            <w:col w:w="11420"/>
          </w:cols>
          <w:pgMar w:left="240" w:top="118" w:right="239" w:bottom="96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60" w:gutter="0" w:footer="0" w:header="0"/>
          <w:type w:val="continuous"/>
        </w:sectPr>
      </w:pPr>
    </w:p>
    <w:bookmarkStart w:id="61" w:name="page62"/>
    <w:bookmarkEnd w:id="6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marketable securities, construction reserve funds and cash flows from operations. From time to time, the Company may secure additional liquidity through asset sales or the issuance of debt, shares of Common Stock or common stock of its subsidiaries, preferred stock or a combination thereof.</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2018, the Company had capital commitments of $78.2 million that included commitments for four FSVs, three supply vessels, two crew transfer vessels and three platform supply vessels. The Company's capital commitments by year of expected payment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w w:val="84"/>
              </w:rPr>
              <w:t>2019</w:t>
            </w:r>
          </w:p>
        </w:tc>
        <w:tc>
          <w:tcPr>
            <w:tcW w:w="5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51,132</w:t>
            </w:r>
          </w:p>
        </w:tc>
      </w:tr>
      <w:tr>
        <w:trPr>
          <w:trHeight w:val="216"/>
        </w:trPr>
        <w:tc>
          <w:tcPr>
            <w:tcW w:w="5100" w:type="dxa"/>
            <w:vAlign w:val="bottom"/>
          </w:tcPr>
          <w:p>
            <w:pPr>
              <w:jc w:val="right"/>
              <w:ind w:right="4650"/>
              <w:spacing w:after="0"/>
              <w:rPr>
                <w:sz w:val="20"/>
                <w:szCs w:val="20"/>
                <w:color w:val="auto"/>
              </w:rPr>
            </w:pPr>
            <w:r>
              <w:rPr>
                <w:rFonts w:ascii="Arial" w:cs="Arial" w:eastAsia="Arial" w:hAnsi="Arial"/>
                <w:sz w:val="18"/>
                <w:szCs w:val="18"/>
                <w:color w:val="auto"/>
                <w:w w:val="84"/>
              </w:rPr>
              <w:t>2020</w:t>
            </w:r>
          </w:p>
        </w:tc>
        <w:tc>
          <w:tcPr>
            <w:tcW w:w="47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27,046</w:t>
            </w:r>
          </w:p>
        </w:tc>
        <w:tc>
          <w:tcPr>
            <w:tcW w:w="100" w:type="dxa"/>
            <w:vAlign w:val="bottom"/>
          </w:tcPr>
          <w:p>
            <w:pPr>
              <w:spacing w:after="0"/>
              <w:rPr>
                <w:sz w:val="18"/>
                <w:szCs w:val="18"/>
                <w:color w:val="auto"/>
              </w:rPr>
            </w:pPr>
          </w:p>
        </w:tc>
      </w:tr>
      <w:tr>
        <w:trPr>
          <w:trHeight w:val="230"/>
        </w:trPr>
        <w:tc>
          <w:tcPr>
            <w:tcW w:w="510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78,178</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indefinitely deferred an additional $20.2 million of orders with respect to two FSVs for which the Company had previously reported unfunded capital commitments.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the Company has guaranteed certain obligations on behalf of its 50% or less owned companies for $1.1 million. See "Off-Balance Sheet Arrangements."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the Company had outstanding debt of $404.7 million, net of debt discount and issue costs. The Company's contractual long-term debt maturities as of December 31, 2018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16,812</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25,489</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51,381</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2122</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25,150</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222,900</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Years subsequent to 2023</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101,240</w:t>
            </w:r>
          </w:p>
        </w:tc>
      </w:tr>
      <w:tr>
        <w:trPr>
          <w:trHeight w:val="20"/>
        </w:trPr>
        <w:tc>
          <w:tcPr>
            <w:tcW w:w="9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95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442,972</w:t>
            </w:r>
          </w:p>
        </w:tc>
      </w:tr>
      <w:tr>
        <w:trPr>
          <w:trHeight w:val="20"/>
        </w:trPr>
        <w:tc>
          <w:tcPr>
            <w:tcW w:w="9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the Company held balances of cash, cash equivalents, restricted cash and construction reserve funds totaling $124.9 million. As of December 31, 2018, construction reserve funds of $28.1 million were classified as non-current assets in the accompanying consolidated balance sheets as the Company has the intent and ability to use the funds to acquire equipment. The Company may access construction reserve funds for uses not originally intended when the funds were reserved, subject to the payment of related taxes and penalties. Additionally, the Company had $2.5 million available under subsidiary credit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gridSpan w:val="4"/>
          </w:tcPr>
          <w:p>
            <w:pPr>
              <w:ind w:left="660"/>
              <w:spacing w:after="0"/>
              <w:rPr>
                <w:sz w:val="20"/>
                <w:szCs w:val="20"/>
                <w:color w:val="auto"/>
              </w:rPr>
            </w:pPr>
            <w:r>
              <w:rPr>
                <w:rFonts w:ascii="Arial" w:cs="Arial" w:eastAsia="Arial" w:hAnsi="Arial"/>
                <w:sz w:val="18"/>
                <w:szCs w:val="18"/>
                <w:color w:val="auto"/>
                <w:w w:val="90"/>
              </w:rPr>
              <w:t>For the years ended December 31, the following is a summary of the Company's cash flows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or (used 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(53,025)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34,739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(29,186)</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(31,149)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(31,423)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(15,671)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69,250</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(11,730)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15,590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r>
      <w:tr>
        <w:trPr>
          <w:trHeight w:val="20"/>
        </w:trPr>
        <w:tc>
          <w:tcPr>
            <w:tcW w:w="67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(15,698)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r>
      <w:tr>
        <w:trPr>
          <w:trHeight w:val="20"/>
        </w:trPr>
        <w:tc>
          <w:tcPr>
            <w:tcW w:w="6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flows provided by (used in) operating activities decreased by $87.8 million in 2018 compared with 2017. For the years ended December 31, the components of cash flows provided by (used in) operating activities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DVP:</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United States, primarily Gulf of Mexico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20,864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2,576</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Africa, primarily West Africa</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17,320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5,579</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15,638</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Middle East and Asia</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10,467</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(3,415)</w:t>
            </w:r>
          </w:p>
        </w:tc>
        <w:tc>
          <w:tcPr>
            <w:tcW w:w="3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18,770</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 Mexico, Central and South America</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15,144</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6,426</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7,682</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Europe, primarily North Sea</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14,723</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22,309</w:t>
            </w:r>
          </w:p>
        </w:tc>
        <w:tc>
          <w:tcPr>
            <w:tcW w:w="3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21,622</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leased-in equipment (excluding amortization of deferred gains)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(19,512)</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(21,066)</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(25,776)</w:t>
            </w:r>
          </w:p>
        </w:tc>
      </w:tr>
      <w:tr>
        <w:trPr>
          <w:trHeight w:val="202"/>
        </w:trPr>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w w:val="97"/>
              </w:rPr>
              <w:t>Administrative and general (excluding provisions for bad debts and amortization of</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share awards)</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(50,199)</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(56,093)</w:t>
            </w:r>
          </w:p>
        </w:tc>
        <w:tc>
          <w:tcPr>
            <w:tcW w:w="300" w:type="dxa"/>
            <w:vAlign w:val="bottom"/>
          </w:tcPr>
          <w:p>
            <w:pPr>
              <w:spacing w:after="0"/>
              <w:rPr>
                <w:sz w:val="20"/>
                <w:szCs w:val="20"/>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(45,028)</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SEACOR Holdings management and guarantee fees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(3,409)</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(8,015)</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Other, net (excluding non-cash losses)</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r>
      <w:tr>
        <w:trPr>
          <w:trHeight w:val="216"/>
        </w:trPr>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received from 50% or less owned companies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640" w:type="dxa"/>
            <w:vAlign w:val="bottom"/>
            <w:tcBorders>
              <w:bottom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10,748</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(50,800)</w:t>
            </w:r>
          </w:p>
        </w:tc>
        <w:tc>
          <w:tcPr>
            <w:tcW w:w="30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(11,760)</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before interest and income taxes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(45,837)</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6,290</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(13,565)</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Director share awards</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(22,997)</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51,877</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9,169</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Cash settlements on derivative transactions, net</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1,372</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(1,432)</w:t>
            </w:r>
          </w:p>
        </w:tc>
      </w:tr>
      <w:tr>
        <w:trPr>
          <w:trHeight w:val="257"/>
        </w:trPr>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Interest paid, excluding capitalized interest </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(21,031)</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(9,216)</w:t>
            </w:r>
          </w:p>
        </w:tc>
        <w:tc>
          <w:tcPr>
            <w:tcW w:w="3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(2,698)</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Interest received</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1,234</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3,327</w:t>
            </w:r>
          </w:p>
        </w:tc>
        <w:tc>
          <w:tcPr>
            <w:tcW w:w="3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3,873</w:t>
            </w: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refunded, net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33,773</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10,224</w:t>
            </w:r>
          </w:p>
        </w:tc>
      </w:tr>
      <w:tr>
        <w:trPr>
          <w:trHeight w:val="20"/>
        </w:trPr>
        <w:tc>
          <w:tcPr>
            <w:tcW w:w="1160" w:type="dxa"/>
            <w:vAlign w:val="bottom"/>
            <w:shd w:val="clear" w:color="auto" w:fill="CCEEFF"/>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8"/>
                <w:szCs w:val="18"/>
                <w:color w:val="auto"/>
              </w:rPr>
              <w:t>Total cash flows provided by (used in)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(53,025)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34,739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(29,186)</w:t>
            </w: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5"/>
        </w:trPr>
        <w:tc>
          <w:tcPr>
            <w:tcW w:w="1160" w:type="dxa"/>
            <w:vAlign w:val="bottom"/>
            <w:tcBorders>
              <w:bottom w:val="single" w:sz="8" w:color="auto"/>
            </w:tcBorders>
          </w:tcPr>
          <w:p>
            <w:pPr>
              <w:spacing w:after="0"/>
              <w:rPr>
                <w:sz w:val="3"/>
                <w:szCs w:val="3"/>
                <w:color w:val="auto"/>
              </w:rPr>
            </w:pPr>
          </w:p>
        </w:tc>
        <w:tc>
          <w:tcPr>
            <w:tcW w:w="5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r>
    </w:tbl>
    <w:p>
      <w:pPr>
        <w:spacing w:after="0" w:line="3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2018, 2017 and 2016, capitalized interest paid and included in purchases of property and equipment was $2.4 million, $3.6 million, and $7.0 million, respectively.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 and settlements with SEACOR Holdings both before and after the Spin-off.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2018, net cash used in investing activities was $31.1 million primarily for the following:</w:t>
      </w:r>
    </w:p>
    <w:p>
      <w:pPr>
        <w:spacing w:after="0" w:line="225" w:lineRule="exact"/>
        <w:rPr>
          <w:sz w:val="20"/>
          <w:szCs w:val="20"/>
          <w:color w:val="auto"/>
        </w:rPr>
      </w:pPr>
    </w:p>
    <w:p>
      <w:pPr>
        <w:jc w:val="both"/>
        <w:ind w:left="820" w:hanging="164"/>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were $52.0 million. Equipment deliveries during the period included two AHTS vessels purchased from a managed entity, six liftboats acquired through a contribution from Montco Offshore, LLC ("MOI") to Falcon Global, two crew transfer vessels through construction and one crew transfer vessel purchased from our joint venture;</w:t>
      </w:r>
    </w:p>
    <w:p>
      <w:pPr>
        <w:spacing w:after="0" w:line="181" w:lineRule="exact"/>
        <w:rPr>
          <w:rFonts w:ascii="Arial" w:cs="Arial" w:eastAsia="Arial" w:hAnsi="Arial"/>
          <w:sz w:val="18"/>
          <w:szCs w:val="18"/>
          <w:color w:val="auto"/>
        </w:rPr>
      </w:pPr>
    </w:p>
    <w:p>
      <w:pPr>
        <w:jc w:val="both"/>
        <w:ind w:left="820" w:hanging="164"/>
        <w:spacing w:after="0" w:line="259"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sold one AHTS vessel, nine FSVs, one supply vessel, three standby safety vessels, two liftboats and two crew transfer vessels. In addition, the Company sold one FSV, one tow-supply vessel and one supply vessel previously retired and removed from service and other equipment for cash proceeds of $18.6 million and gains of $5.9 million ($18.5 million received in 2018 and $0.1 million of previously received deposits). In addition, the Company received $4.4 million on deposit for future sales;</w:t>
      </w:r>
    </w:p>
    <w:p>
      <w:pPr>
        <w:spacing w:after="0" w:line="213"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$43.7 million, including $29.6 million to SEACOSCO, $3.2 million to OSV Partners, $4.9 million to MEXMAR Offshore and $4.9 million to OVH;</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withdrawals of $17.3 million;</w:t>
      </w:r>
    </w:p>
    <w:p>
      <w:pPr>
        <w:spacing w:after="0" w:line="279" w:lineRule="exact"/>
        <w:rPr>
          <w:rFonts w:ascii="Arial" w:cs="Arial" w:eastAsia="Arial" w:hAnsi="Arial"/>
          <w:sz w:val="18"/>
          <w:szCs w:val="18"/>
          <w:color w:val="auto"/>
        </w:rPr>
      </w:pPr>
    </w:p>
    <w:p>
      <w:pPr>
        <w:ind w:left="820" w:right="20" w:hanging="164"/>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received a return of capital advances of $9.8 million from MexMar and capital distributions of $6.5 million from Nautical Power, LCC ("Nautical Power"); and</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sold 51% of SEACOR Marlin LLC to MexMar Offshore (MI) LLC ("MOMI") for $8.0 million.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2017, net cash used in investing activities was $31.4 million primarily for the following:</w:t>
      </w:r>
    </w:p>
    <w:p>
      <w:pPr>
        <w:spacing w:after="0" w:line="225" w:lineRule="exact"/>
        <w:rPr>
          <w:sz w:val="20"/>
          <w:szCs w:val="20"/>
          <w:color w:val="auto"/>
        </w:rPr>
      </w:pPr>
    </w:p>
    <w:p>
      <w:pPr>
        <w:ind w:left="820" w:hanging="164"/>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 and payments on fair value derivative hedges were $69.4 million. Equipment deliveries during the period included six FSVs and five supply vessels;</w:t>
      </w:r>
    </w:p>
    <w:p>
      <w:pPr>
        <w:spacing w:after="0" w:line="170" w:lineRule="exact"/>
        <w:rPr>
          <w:rFonts w:ascii="Arial" w:cs="Arial" w:eastAsia="Arial" w:hAnsi="Arial"/>
          <w:sz w:val="18"/>
          <w:szCs w:val="18"/>
          <w:color w:val="auto"/>
        </w:rPr>
      </w:pPr>
    </w:p>
    <w:p>
      <w:pPr>
        <w:jc w:val="both"/>
        <w:ind w:left="820" w:hanging="164"/>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sold two liftboats, one supply vessel, one standby safety vessel, nine offshore support vessels previously retired and removed from service and other property and equipment for net proceeds of $11.2 million ($10.7 million received in 2017 and $0.5 million of previously received deposits). In addition, the Company received $0.1 million on deposit for future sales;</w:t>
      </w:r>
    </w:p>
    <w:p>
      <w:pPr>
        <w:spacing w:after="0" w:line="208" w:lineRule="exact"/>
        <w:rPr>
          <w:rFonts w:ascii="Arial" w:cs="Arial" w:eastAsia="Arial" w:hAnsi="Arial"/>
          <w:sz w:val="18"/>
          <w:szCs w:val="18"/>
          <w:color w:val="auto"/>
        </w:rPr>
      </w:pPr>
    </w:p>
    <w:p>
      <w:pPr>
        <w:ind w:left="820" w:right="20" w:hanging="164"/>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$5.5 million, including $2.4 million to Falcon Global and $2.3 million to OSV Partners;</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deposits of $6.3 million and withdrawals of $39.1 million;</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received capital distributions of $7.4 million from MexMar;</w:t>
      </w:r>
    </w:p>
    <w:p>
      <w:pPr>
        <w:spacing w:after="0" w:line="279"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March 31, 2017, the Company consolidated Falcon Global and assumed cash of $1.9 million;</w:t>
      </w:r>
    </w:p>
    <w:p>
      <w:pPr>
        <w:spacing w:after="0" w:line="279" w:lineRule="exact"/>
        <w:rPr>
          <w:rFonts w:ascii="Arial" w:cs="Arial" w:eastAsia="Arial" w:hAnsi="Arial"/>
          <w:sz w:val="18"/>
          <w:szCs w:val="18"/>
          <w:color w:val="auto"/>
        </w:rPr>
      </w:pPr>
    </w:p>
    <w:p>
      <w:pPr>
        <w:ind w:left="820" w:right="20" w:hanging="164"/>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April 28, 2017, the Company acquired a 100% controlling interest in Sea-Cat Crewzer II through the acquisition of its partners' 50% ownership interest for $9.6 million, net of cash acquired; and</w:t>
      </w:r>
    </w:p>
    <w:p>
      <w:pPr>
        <w:spacing w:after="0" w:line="197"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April 28, 2017, the Company acquired a 100% controlling interest in Sea-Cat Crewzer through the acquisition of its partners' 50% ownership interest for $0.1 million, net of cash acquired.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2016, net cash used in investing activities was $15.7 million primarily for the following:</w:t>
      </w:r>
    </w:p>
    <w:p>
      <w:pPr>
        <w:spacing w:after="0" w:line="225" w:lineRule="exact"/>
        <w:rPr>
          <w:sz w:val="20"/>
          <w:szCs w:val="20"/>
          <w:color w:val="auto"/>
        </w:rPr>
      </w:pPr>
    </w:p>
    <w:p>
      <w:pPr>
        <w:ind w:left="820" w:right="20" w:hanging="164"/>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expenditures and payments on fair value derivative hedges were $101.3 million. Equipment deliveries during the period included 12 FSVs, two supply vessel, two crew transfer vessels and one specialty vessel;</w:t>
      </w:r>
    </w:p>
    <w:p>
      <w:pPr>
        <w:spacing w:after="0" w:line="197" w:lineRule="exact"/>
        <w:rPr>
          <w:rFonts w:ascii="Arial" w:cs="Arial" w:eastAsia="Arial" w:hAnsi="Arial"/>
          <w:sz w:val="18"/>
          <w:szCs w:val="18"/>
          <w:color w:val="auto"/>
        </w:rPr>
      </w:pPr>
    </w:p>
    <w:p>
      <w:pPr>
        <w:ind w:left="820" w:right="20" w:hanging="164"/>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sold five supply vessels, four standby safety vessels and other property and equipment for net proceeds of $41.4 million. The Company also received $0.5 million in deposits on future property and equipment sales;</w:t>
      </w:r>
    </w:p>
    <w:p>
      <w:pPr>
        <w:spacing w:after="0" w:line="197"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$16.9 million, including $7.7 million to Falcon Global, $7.4 million to MexMar and $1.2 million to OSV Partners; and</w:t>
      </w:r>
    </w:p>
    <w:p>
      <w:pPr>
        <w:spacing w:after="0" w:line="19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deposits of $27.4 million and withdrawals of $87.8 million.</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4" w:name="page65"/>
    <w:bookmarkEnd w:id="6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2018, net cash provided by financing activities was $69.3 million. In the period, the Company:</w:t>
      </w:r>
    </w:p>
    <w:p>
      <w:pPr>
        <w:spacing w:after="0" w:line="225" w:lineRule="exact"/>
        <w:rPr>
          <w:sz w:val="20"/>
          <w:szCs w:val="20"/>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made scheduled payments on long-term debt of $26.9 million;</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borrowed $15.0 million under the Falcon Global USA, LLC revolving loan facility ("FGUSA Revolving Loan Facility");</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paid $15.0 million in debtor-in-possession obligations assumed from MOI;</w:t>
      </w:r>
    </w:p>
    <w:p>
      <w:pPr>
        <w:spacing w:after="0" w:line="225" w:lineRule="exact"/>
        <w:rPr>
          <w:rFonts w:ascii="Arial" w:cs="Arial" w:eastAsia="Arial" w:hAnsi="Arial"/>
          <w:sz w:val="18"/>
          <w:szCs w:val="18"/>
          <w:color w:val="auto"/>
        </w:rPr>
      </w:pPr>
    </w:p>
    <w:p>
      <w:pPr>
        <w:ind w:left="820" w:right="560" w:hanging="164"/>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converted €6.0 million of denominated debt into pound sterling debt, paying $7.5 million in euro debt and borrowing $8.5 million in pound sterling debt, resulting in a net increase in USD borrowings of $1.0 million;</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borrowed $11.0 million for the purchase of Seacor 88 and Seacor 888;</w:t>
      </w:r>
    </w:p>
    <w:p>
      <w:pPr>
        <w:spacing w:after="0" w:line="225" w:lineRule="exact"/>
        <w:rPr>
          <w:rFonts w:ascii="Arial" w:cs="Arial" w:eastAsia="Arial" w:hAnsi="Arial"/>
          <w:sz w:val="18"/>
          <w:szCs w:val="18"/>
          <w:color w:val="auto"/>
        </w:rPr>
      </w:pPr>
    </w:p>
    <w:p>
      <w:pPr>
        <w:ind w:left="820" w:right="180" w:hanging="164"/>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refinanced $99.9 million in debt encumbering eight vessels through the SMFH Loan Facility and borrowed an additional $30.1 million under the same syndicated loan facility;</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$2.6 million;</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Common Stock for proceeds of $1.8 million in a private placement;</w:t>
      </w:r>
    </w:p>
    <w:p>
      <w:pPr>
        <w:spacing w:after="0" w:line="225" w:lineRule="exact"/>
        <w:rPr>
          <w:rFonts w:ascii="Arial" w:cs="Arial" w:eastAsia="Arial" w:hAnsi="Arial"/>
          <w:sz w:val="18"/>
          <w:szCs w:val="18"/>
          <w:color w:val="auto"/>
        </w:rPr>
      </w:pPr>
    </w:p>
    <w:p>
      <w:pPr>
        <w:ind w:left="820" w:right="800" w:hanging="164"/>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Common Stock for proceeds of $41.2 million and Warrants to purchase Common Stock for proceeds of $12.8 million in a private placement; and</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received $0.8 million from the exercise of 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2017, net cash used by financing activities was $11.7 million. In the period, the Company:</w:t>
      </w:r>
    </w:p>
    <w:p>
      <w:pPr>
        <w:spacing w:after="0" w:line="225" w:lineRule="exact"/>
        <w:rPr>
          <w:sz w:val="20"/>
          <w:szCs w:val="20"/>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made scheduled payments on long-term debt of $11.9 million;</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borrowed $7.1 million under the Sea-Cat Crewzer III Term Loan Facility;</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$0.5 million;</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purchased subsidiary shares from noncontrolling interest for $3.7 million; and</w:t>
      </w:r>
    </w:p>
    <w:p>
      <w:pPr>
        <w:spacing w:after="0" w:line="225" w:lineRule="exact"/>
        <w:rPr>
          <w:rFonts w:ascii="Arial" w:cs="Arial" w:eastAsia="Arial" w:hAnsi="Arial"/>
          <w:sz w:val="18"/>
          <w:szCs w:val="18"/>
          <w:color w:val="auto"/>
        </w:rPr>
      </w:pPr>
    </w:p>
    <w:p>
      <w:pPr>
        <w:ind w:left="660" w:right="2140" w:hanging="4"/>
        <w:spacing w:after="0" w:line="530" w:lineRule="auto"/>
        <w:tabs>
          <w:tab w:leader="none" w:pos="822"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paid SEACOR Holdings $2.7 million for the distribution of SEACOR Marine restricted stock to Company personnel. During 2016, net cash provided by financing activities was $15.6 million. In the period, the Company:</w:t>
      </w: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made scheduled payments on long-term debt of $4.3 million;</w:t>
      </w:r>
    </w:p>
    <w:p>
      <w:pPr>
        <w:spacing w:after="0" w:line="225"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borrowed $23.5 million (€21.0 million) under the Windcat Credit Facility and repaid all of Windcat Workboats' then outstanding debt totaling $22.9 million;</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borrowed $22.8 million under the Sea-Cat Crewzer III Term Loan Facility;</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$3.3 million;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made distributions to non-controlling interests of $0.2 million.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Short and Long-Term Liquidity Requirements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principal liquidity requirements over the next twelve months are for working capital, to meet debt service obligations and to meet capital expenditure needs, principally payments related to the construction of new vessels. In addition, financial covenants under certain of the Company's debt facilities require the Company to maintain minimum available liquidity (as defined in the agreements) of an aggregate of $35.0 million. The Company's principal sources of liquidity are cash flows from operations and borrowing capacity under its subsidiaries credit facilities. The Company's sources of liquidity may be impacted by the general condition of the markets in which it operates and the broader economy as a whole, which may affect its results of operations and thereby its cash flow from operations, as well as, limit its access to the debt and equity capital markets on acceptable terms, or at all. 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for the next twelve months.</w:t>
      </w:r>
    </w:p>
    <w:p>
      <w:pPr>
        <w:sectPr>
          <w:pgSz w:w="11900" w:h="16838" w:orient="portrait"/>
          <w:cols w:equalWidth="0" w:num="1">
            <w:col w:w="11420"/>
          </w:cols>
          <w:pgMar w:left="240" w:top="118"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the Company has five unimpaired offshore support vessels, certain facilities and other equipment under lease. These leasing agreements have been classified as operating leases for financial reporting purposes and related rental fees are charged to expense over the lease terms. The leases generally contain purchase and lease renewal options or rights of first refusal with respect to the sale or lease of the equipment. The lease terms range in duration from one to four years. For information regarding the Company's lease arrangements, see "Note 6. Leases" in the audited consolidated financial statements included elsewhere in this Annual Report on Form 10-K.</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occasion, the Company will guarantee certain obligations on behalf of its 50% or less owned companies. As of December 31, 2018, the Company had the following guarantees in place:</w:t>
      </w:r>
    </w:p>
    <w:p>
      <w:pPr>
        <w:spacing w:after="0" w:line="170" w:lineRule="exact"/>
        <w:rPr>
          <w:sz w:val="20"/>
          <w:szCs w:val="20"/>
          <w:color w:val="auto"/>
        </w:rPr>
      </w:pPr>
    </w:p>
    <w:p>
      <w:pPr>
        <w:jc w:val="both"/>
        <w:ind w:left="820" w:hanging="164"/>
        <w:spacing w:after="0" w:line="279"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two of the Company's 50% or less owned companies obtained bank debt to finance the acquisition of offshore support vessels. The debt is secured by, among other things, a first preferred mortgage on the vessels. The banks also have the authority to require the Company and its partners to fund uncalled capital commitments, as defined in the partnership agreements. In such event, the Company would be required to contribute its allocable share of uncalled capital, which was $0.8 million in the aggregate as of December 31, 2018; and</w:t>
      </w:r>
    </w:p>
    <w:p>
      <w:pPr>
        <w:spacing w:after="0" w:line="198" w:lineRule="exact"/>
        <w:rPr>
          <w:rFonts w:ascii="Arial" w:cs="Arial" w:eastAsia="Arial" w:hAnsi="Arial"/>
          <w:sz w:val="17"/>
          <w:szCs w:val="17"/>
          <w:color w:val="auto"/>
        </w:rPr>
      </w:pPr>
    </w:p>
    <w:p>
      <w:pPr>
        <w:jc w:val="both"/>
        <w:ind w:left="820" w:hanging="164"/>
        <w:spacing w:after="0" w:line="31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guarantees certain of the outstanding charter receivables of one of its managed 50% or less owned companies if a customer defaults in payment and the Company either fails to take enforcement action against the defaulting customer or fails to assign its right of recovery against the defaulting customer. As of December 31, 2018, the Company's contingent guarantee for the outstanding charter receivables was $0.3 million.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Prior to the Spin-Off, in the ordinary course of business, SEACOR Holdings issued guarantees in respect of certain of the Company's obligations, including obligations under debt instruments and credit facilities, sale-leaseback transactions, letters of credit and certain invoiced amounts for funding deficits of a multi-employer defined benefit pension plan. As of December 31, 2018, the aggregate amount of obligations that SEACOR Holdings had guaranteed on the Company's behalf was $40.6 million. Pursuant to the Distribution Agreement entered into with SEACOR Holdings in connection with the Spin-off, the Company is required to use commercially reasonable efforts to cause SEACOR Holdings to be released from these guarantees in favor of a guarantee issued by the Company. To the extent the Company is unable to cause SEACOR Holdings to be released from any of these guarantees under reasonable terms, the Company pays SEACOR Holdings a guarantee fee equal to 0.5% per annum of the amount of outstanding guarantees, which declines as the guarantee obligations are settled by the Company. The Company recognized guarantee fees in connection with sale-leaseback arrangements of $0.3 million, $0.3 million, and $0.4 million during 2018, 2017, and 2016, respectively, as additional leased-in equipment operating expenses. Guarantee fees paid to SEACOR Holdings for all other obligations are recognized as SEACOR Holdings guarantee fees. The Company indemnifies SEACOR Holdings in respect of any payments that SEACOR Holdings is required to make under any of these guarantees.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contractual obligations and other commercial commitments and their aggregate maturities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5"/>
              </w:rPr>
              <w:t>After</w:t>
            </w:r>
          </w:p>
        </w:tc>
        <w:tc>
          <w:tcPr>
            <w:tcW w:w="100" w:type="dxa"/>
            <w:vAlign w:val="bottom"/>
          </w:tcPr>
          <w:p>
            <w:pPr>
              <w:spacing w:after="0"/>
              <w:rPr>
                <w:sz w:val="16"/>
                <w:szCs w:val="16"/>
                <w:color w:val="auto"/>
              </w:rPr>
            </w:pPr>
          </w:p>
        </w:tc>
      </w:tr>
      <w:tr>
        <w:trPr>
          <w:trHeight w:val="234"/>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3-5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2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Long-term Debt (including principal and interest) </w:t>
            </w:r>
            <w:r>
              <w:rPr>
                <w:rFonts w:ascii="Arial" w:cs="Arial" w:eastAsia="Arial" w:hAnsi="Arial"/>
                <w:sz w:val="29"/>
                <w:szCs w:val="29"/>
                <w:color w:val="auto"/>
                <w:vertAlign w:val="superscript"/>
              </w:rPr>
              <w:t>(1)</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548,348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121,179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282,880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103,506</w:t>
            </w:r>
          </w:p>
        </w:tc>
      </w:tr>
      <w:tr>
        <w:trPr>
          <w:trHeight w:val="257"/>
        </w:trPr>
        <w:tc>
          <w:tcPr>
            <w:tcW w:w="4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Capital Purchase Obligations </w:t>
            </w:r>
            <w:r>
              <w:rPr>
                <w:rFonts w:ascii="Arial" w:cs="Arial" w:eastAsia="Arial" w:hAnsi="Arial"/>
                <w:sz w:val="29"/>
                <w:szCs w:val="29"/>
                <w:color w:val="auto"/>
                <w:vertAlign w:val="superscript"/>
              </w:rPr>
              <w:t>(2)</w:t>
            </w: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27,046</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2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9"/>
                <w:szCs w:val="29"/>
                <w:color w:val="auto"/>
                <w:vertAlign w:val="superscript"/>
              </w:rPr>
              <w:t>(3)</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35,586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20,306</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43"/>
        </w:trPr>
        <w:tc>
          <w:tcPr>
            <w:tcW w:w="4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8"/>
                <w:szCs w:val="28"/>
                <w:color w:val="auto"/>
                <w:vertAlign w:val="superscript"/>
              </w:rPr>
              <w:t>(4)</w:t>
            </w: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664,544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168,531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283,531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103,847</w:t>
            </w: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Commercial Commitments:</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2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Joint Venture Guarantees </w:t>
            </w:r>
            <w:r>
              <w:rPr>
                <w:rFonts w:ascii="Arial" w:cs="Arial" w:eastAsia="Arial" w:hAnsi="Arial"/>
                <w:sz w:val="29"/>
                <w:szCs w:val="29"/>
                <w:color w:val="auto"/>
                <w:vertAlign w:val="superscript"/>
              </w:rPr>
              <w:t>(5)</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6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668,495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103,847</w:t>
            </w:r>
          </w:p>
        </w:tc>
      </w:tr>
      <w:tr>
        <w:trPr>
          <w:trHeight w:val="35"/>
        </w:trPr>
        <w:tc>
          <w:tcPr>
            <w:tcW w:w="1160" w:type="dxa"/>
            <w:vAlign w:val="bottom"/>
            <w:tcBorders>
              <w:top w:val="single" w:sz="8" w:color="CCEEFF"/>
              <w:bottom w:val="single" w:sz="8" w:color="auto"/>
            </w:tcBorders>
          </w:tcPr>
          <w:p>
            <w:pPr>
              <w:spacing w:after="0"/>
              <w:rPr>
                <w:sz w:val="3"/>
                <w:szCs w:val="3"/>
                <w:color w:val="auto"/>
              </w:rPr>
            </w:pPr>
          </w:p>
        </w:tc>
        <w:tc>
          <w:tcPr>
            <w:tcW w:w="3100" w:type="dxa"/>
            <w:vAlign w:val="bottom"/>
            <w:tcBorders>
              <w:top w:val="single" w:sz="8" w:color="CCEEFF"/>
            </w:tcBorders>
          </w:tcPr>
          <w:p>
            <w:pPr>
              <w:spacing w:after="0"/>
              <w:rPr>
                <w:sz w:val="3"/>
                <w:szCs w:val="3"/>
                <w:color w:val="auto"/>
              </w:rPr>
            </w:pPr>
          </w:p>
        </w:tc>
        <w:tc>
          <w:tcPr>
            <w:tcW w:w="440" w:type="dxa"/>
            <w:vAlign w:val="bottom"/>
            <w:tcBorders>
              <w:top w:val="single" w:sz="8" w:color="CCEEFF"/>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4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0" w:type="dxa"/>
            <w:vAlign w:val="bottom"/>
            <w:tcBorders>
              <w:top w:val="single" w:sz="8" w:color="CCEEFF"/>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r>
    </w:tbl>
    <w:p>
      <w:pPr>
        <w:spacing w:after="0" w:line="3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Estimated interest payments of the Company's borrowings are based on contractual terms and maturities, using current rates for variable instruments.</w:t>
      </w:r>
    </w:p>
    <w:p>
      <w:pPr>
        <w:ind w:left="660" w:hanging="652"/>
        <w:spacing w:after="0" w:line="22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Capital purchase obligations represent commitments for the purchase of property and equipment. These commitments are not recorded as liabilities on the Company's consolidated balance sheet as of December 31, 2018 as the Company has not yet received the goods or taken title to the property.</w:t>
      </w:r>
    </w:p>
    <w:p>
      <w:pPr>
        <w:ind w:left="660" w:hanging="652"/>
        <w:spacing w:after="0" w:line="22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Operating leases primarily include leases of vessels and other property that have a remaining term in excess of one year as of December 31, 2018. These leases will be recorded on the Company's books on January 1, 2019, in accordance with new accounting pronouncement ASC 842.</w:t>
      </w:r>
    </w:p>
    <w:p>
      <w:pPr>
        <w:ind w:left="660" w:hanging="652"/>
        <w:spacing w:after="0" w:line="22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commitments are for goods and services to be acquired in the ordinary course of business and are fulfilled by the Company's vendors within a short period of time.</w:t>
      </w:r>
    </w:p>
    <w:p>
      <w:pPr>
        <w:ind w:left="660" w:hanging="652"/>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"Off-Balance Sheet Arrangements" above.</w:t>
      </w:r>
    </w:p>
    <w:p>
      <w:pPr>
        <w:sectPr>
          <w:pgSz w:w="11900" w:h="16838" w:orient="portrait"/>
          <w:cols w:equalWidth="0" w:num="1">
            <w:col w:w="11420"/>
          </w:cols>
          <w:pgMar w:left="240" w:top="118"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6" w:name="page67"/>
    <w:bookmarkEnd w:id="6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and Credit 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the Company's debt securities and credit agreements, see "Note 7. Long-Term Debt" in the audited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operations expose it to the effects of inflation. In the event that inflation becomes a significant factor in the world economy, inflationary pressures could result in increased operating and financing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MNOPF and MNRPF. </w:t>
      </w:r>
      <w:r>
        <w:rPr>
          <w:rFonts w:ascii="Arial" w:cs="Arial" w:eastAsia="Arial" w:hAnsi="Arial"/>
          <w:sz w:val="18"/>
          <w:szCs w:val="18"/>
          <w:color w:val="auto"/>
        </w:rPr>
        <w:t>Certain of the Company's subsidiaries are participating employers in two industry-wide, multi-employer, defined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funds in the United Kingdom: the MNOPF and the MNRPF. The Company's participation in the MNOPF and MNRPF began with the acquisition of the Stirling group of companies in 2001 and relates to the current and former employment of certain officers and other employees by the Company and/or Stirling's predecessors from 1978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direction of a court order, any funding deficit of the MNOPF is to be remedied through funding contributions from all participating current and former employers. Prior to 2015, the Company was invoiced and expensed $19.4 million for its allocated share of the then cumulative funding deficits, including portions deemed uncollectible due to the non-existence or liquidation of certain former employers.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7, 2018, the Company received notice from MNOPF that a deficit of £9 million existed but noted that the trustee did not propose to collect any additional deficits. Depending on the results of future valuations, it is possible that the MNOPF will experience further funding deficits requiring the Company to recognize payroll related expenses in the periods the notice is received.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cumulative funding deficits of the MNRPF were being recovered by additional annual contributions from current employers that were subject to adjustment following the results of future tri-annual actuarial valuations.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2015, the Company was invoiced and expensed $6.9 million for its share of a funding deficit in the MNRPF. The Company had a repayment plan with the Trustees of the MNRPF, for the amount to be repaid in four installments, commencing in 2015, and the amount was repaid in full during 2018. On July 20, 2018, the Company was notified of additional contributions due and recognized in the second quarter of 2018 payroll related expenses of $1.2 million (£0.9 million) for its allocated share of the cumulative funding deficit including portions deemed uncollectible due to the non-existence or liquidation of certain former employers. These additional contributions were invoiced in September 2018 and are payable in four annual installments beginning in October 2018. Depending upon the results of future actuarial valuations it is possible that the plan could experience further funding deficits that will require the Company to recognize payroll related operating expenses for those periods.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In the normal course of its business, the Company becomes involved in various litigation matters including, among other things, claims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third-parties for alleged property damages and personal injuries. Management has used estimates in determining its potential exposure to these matters and has recorded reserves in the Company's financial statements related thereto as appropriate. It is possible that a change in the Company's estimates related to these exposures could occur, but the Company does not expect such changes in estimated costs would have a material effect on its consolidated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the Company's transactions with related parties, see "Note 15. Related Party Transactions" in the audited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Basis of Combination and Consolidation. </w:t>
      </w:r>
      <w:r>
        <w:rPr>
          <w:rFonts w:ascii="Arial" w:cs="Arial" w:eastAsia="Arial" w:hAnsi="Arial"/>
          <w:sz w:val="18"/>
          <w:szCs w:val="18"/>
          <w:color w:val="auto"/>
        </w:rPr>
        <w:t>The consolidated financial statements include the accounts of SEACOR Marine and its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Control is generally deemed to exist if the Company has greater than 50% of the voting rights of a subsidiary. All significant intercompany accounts and transactions are eliminated in the combination and consolidation.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ectPr>
          <w:pgSz w:w="11900" w:h="16838" w:orient="portrait"/>
          <w:cols w:equalWidth="0" w:num="1">
            <w:col w:w="11420"/>
          </w:cols>
          <w:pgMar w:left="240" w:top="118"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7" w:name="page68"/>
    <w:bookmarkEnd w:id="6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Revenue is recognized when (or as) the Company transfers promised goods or services to its customers in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 the consideration to which the Company expects to be entitled to in exchange for those goods or services, which occurs when (or as) the Company satisfies its contractual obligations and transfers control of the promised goods or services to its customers. Costs to obtain or fulfill a contract are expensed as incurred.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lease revenues are primarily from time charters and bareboat charters that are recognized ratably over the lease term as services are provided, typically on a per day basis. Under a time charter, the Company provides a vessel to a customer for a set term and is responsible for all operating expenses, typically excluding fuel. Under a bareboat charter, the Company provides a vessel to a customer for a set term and the customer assumes responsibility.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recognized revenue over the term of the contact while related costs are expensed as incurred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Customers are granted credit on a short-term basis and related credit risks are minimal. Other receivables consist primarily of operating expenses incurred by the Company related to vessels it manages for others and insurance and income tax receivables. The Company routinely reviews its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its useful life policy, in which case the Company depreciates such vessels based on its best estimate of remaining useful life, typically the next regulatory survey or certification date.</w:t>
      </w:r>
    </w:p>
    <w:p>
      <w:pPr>
        <w:sectPr>
          <w:pgSz w:w="11900" w:h="16838" w:orient="portrait"/>
          <w:cols w:equalWidth="0" w:num="1">
            <w:col w:w="11420"/>
          </w:cols>
          <w:pgMar w:left="240" w:top="118"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68" w:name="page69"/>
    <w:bookmarkEnd w:id="6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Offshore Support Vessels:</w:t>
            </w:r>
          </w:p>
        </w:tc>
        <w:tc>
          <w:tcPr>
            <w:tcW w:w="368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Crew transfer vessels</w:t>
            </w:r>
          </w:p>
        </w:tc>
        <w:tc>
          <w:tcPr>
            <w:tcW w:w="3680" w:type="dxa"/>
            <w:vAlign w:val="bottom"/>
          </w:tcPr>
          <w:p>
            <w:pPr>
              <w:jc w:val="right"/>
              <w:ind w:right="450"/>
              <w:spacing w:after="0"/>
              <w:rPr>
                <w:sz w:val="20"/>
                <w:szCs w:val="20"/>
                <w:color w:val="auto"/>
              </w:rPr>
            </w:pPr>
            <w:r>
              <w:rPr>
                <w:rFonts w:ascii="Arial" w:cs="Arial" w:eastAsia="Arial" w:hAnsi="Arial"/>
                <w:sz w:val="18"/>
                <w:szCs w:val="18"/>
                <w:color w:val="auto"/>
              </w:rPr>
              <w:t>10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All other offshore support vessels (excluding crew transfer utility)</w:t>
            </w:r>
          </w:p>
        </w:tc>
        <w:tc>
          <w:tcPr>
            <w:tcW w:w="3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interest costs incurred during the construction of vessels are capitalized as part of the vessels' carrying values and are amortized over such vessels' estimated useful lives.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Company performs an impairment analysis of long-lived assets used in operations, including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discounted cash flows or appraisals, as appropriate. See "Certain Components of Revenues and Expenses-Impairments" above for a discussion of impairments.</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other-than-temporary decline in the fair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The Company recognizes 100% of the fair value of assets acquired, liabilities assumed, and noncontrolling interests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have been provided in recognition of the income tax effect attributable to the book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Spin-off,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Deferred Gains - Vessel Sale-Leaseback Transactions and Financed Vessel Sales. </w:t>
      </w:r>
      <w:r>
        <w:rPr>
          <w:rFonts w:ascii="Arial" w:cs="Arial" w:eastAsia="Arial" w:hAnsi="Arial"/>
          <w:sz w:val="17"/>
          <w:szCs w:val="17"/>
          <w:color w:val="auto"/>
        </w:rPr>
        <w:t>From time to time, the Company enters into vessel sale-leaseback transactions with finance companies or provide seller financing on sales of its vessels to third-parties or to 50% or less owned companies. As per accounting guidance for sale-leaseback transactions, a portion of the gains realized from these transactions is not immediately recognized in income and has been recorded in the accompanying consolidated balance sheets in deferred gains and other liabilities. In sale-leaseback transactions, gains are deferred to the extent of the present value of future minimum lease payments and are amortized as reductions to rental expense over the applicable lease terms. In financed vessel sales, gains are deferred to the extent that the repayment of purchase notes is dependent on the future operations of the sold vessels and are amortized based on cash received from the buyers.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 2019, the remaining unamortized balance of deferred gains will be recorded as an adjustment to beginning retained earnings, as per new lease accounting pronouncement ASC 842.</w:t>
      </w:r>
    </w:p>
    <w:p>
      <w:pPr>
        <w:sectPr>
          <w:pgSz w:w="11900" w:h="16838" w:orient="portrait"/>
          <w:cols w:equalWidth="0" w:num="1">
            <w:col w:w="11420"/>
          </w:cols>
          <w:pgMar w:left="240" w:top="118" w:right="239" w:bottom="595"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95" w:gutter="0" w:footer="0" w:header="0"/>
          <w:type w:val="continuous"/>
        </w:sectPr>
      </w:pPr>
    </w:p>
    <w:bookmarkStart w:id="69" w:name="page70"/>
    <w:bookmarkEnd w:id="6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occasion, the Company enters and settles forward currency exchange, option and future contracts with respect to various foreign currencies that are not designated as fair value hedges. These contracts enable the Company to buy currencies in the future at fixed exchange rates, which could offset possible consequences of changes in foreign exchange rates with respect to the Company's business conducted in Europe, Africa, Brazil, Mexico, Central and South America, the Middle East and Asia. The Company generally does not enter into contracts with forward settlement dates beyond twelve to eighteen months. As of December 31, 2018, the Company had no currency contracts outstanding.</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a subsidiary of the Company whose functional currency is the pound sterling had long-term debt of €15.0 million (£13.5 million). A 10% strengthening in the exchange rate of the euro against the pound sterling as of December 31, 2018 would result in foreign currency losses of $1.7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a subsidiary of the Company whose functional currency is the pound sterling had long-term debt of £6.0 million ($7.7 million). A 10% strengthening in the exchange rate of the pound sterling against the U.S. dollar as of December 31, 2018 would result in foreign currency losses of $0.8 million.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foreign currency exchange risks related to its operations where its functional currency is the pound sterling, primarily related to vessel operations that are conducted from ports located in the United Kingdom. Net consolidated assets of £42.1 million ($53.7 million) are included in the Company's consolidated balance sheets as of December 31, 2018. A 10% weakening in the exchange rate of the pound sterling against the U.S. dollar as of December 31, 2018 would increase other comprehensive loss by $5.4 million due to translation.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outstanding debt is primarily in fixed interest rate instruments or variable interest rate instruments that have been fixed through corresponding interest rate swaps. Although the fair value of these debt instruments will vary with changes in interest rates, the Company's operations are not significantly affected by interest rate fluctuations. As of December 31, 2018, the Company had outstanding variable rate debt instruments (due 2019 through 2024) subject to interest rate fluctuations totaling $200.6 million that call for the Company to pay interest based on LIBOR plus applicable margins. The interest rates reset either monthly or quarterly. As of December 31, 2018, the average interest rate on these variable rate borrowings was 6.8%. For each 1% increase in the applicable LIBOR rate, the Company's annual interest payments on the non-hedged portion of the facility would increase by approximately $2.0 million.</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and related notes are included in Part IV of this Annual Report on Form 10-K and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December 31, 2018. Based on their evaluation, the Company's principal executive officer and principal financial officer concluded that the Company's disclosure controls and procedures were effective as of December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disclosure controls and procedures have been designed to ensure that information required to be disclosed by the Company in the reports it files or furnishes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 13a-15(f) and 15d-15(f) under the Exchange Act).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Internal control over financial reporting is designed to provide reasonable assurance to the Company's management and board of directors regarding the preparation of reliable financial statements for external purposes in accordance with generally accepted accounting principles in the United States. Because of the inherent limitations in any internal control system, no matter how well designed, misstatements may occur and not be prevented or detected. Accordingly, even effective internal control over financial reporting can provide only reasonable assurance with respect to financial statement preparation.</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conducted an evaluation of the effectiveness of the Company's system of internal control over financial reporting as of December 31, 2018 based on the updated framework set forth in "Internal Control-Integrated Framework" issued by the Committee of Sponsoring Organizations of the Treadway Commission (2013 framework). Based on its evaluation, management concluded that, as of December 31, 2018, the Company's internal control over financial reporting was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December 31, 2018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information required to be disclosed pursuant to this Item 10 is incorporated in its entirety herein by reference to the Company's definitive proxy statement to be filed with the Commission pursuant to Regulation 14A within 120 days after the end of the Company's last fiscal year.</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NYSE Annual Certification. </w:t>
      </w:r>
      <w:r>
        <w:rPr>
          <w:rFonts w:ascii="Arial" w:cs="Arial" w:eastAsia="Arial" w:hAnsi="Arial"/>
          <w:sz w:val="18"/>
          <w:szCs w:val="18"/>
          <w:color w:val="auto"/>
        </w:rPr>
        <w:t>The Chief Executive Officer of the Company has previously submitted to the NYSE the annual certification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Section 303A.12(a) of the NYSE Listed Company Manual, and there were no qualifications to such certification. SEACOR Marine Holdings Inc. has filed the certifications of its Chief Executive Officer and Chief Financial Officer required by Section 302 of the Sarbanes-Oxley Act of 2002 with the SEC as exhibits to this Form 10-K.</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required to be disclosed pursuant to this Item 11 is incorporated in its entirety herein by reference to the "Compensation Disclosure and Analysis" and "Information Relating to the Board of Directors and Committees Thereof" portions of the Company's definitive proxy statement to be filed with the Commission pursuant to Regulation 14A within 120 days after the end of the Company's last fiscal year.</w:t>
      </w:r>
    </w:p>
    <w:p>
      <w:pPr>
        <w:spacing w:after="0" w:line="162" w:lineRule="exact"/>
        <w:rPr>
          <w:sz w:val="20"/>
          <w:szCs w:val="20"/>
          <w:color w:val="auto"/>
        </w:rPr>
      </w:pPr>
    </w:p>
    <w:p>
      <w:pPr>
        <w:ind w:left="1140" w:right="4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pursuant to this Item 12 is incorporated in its entirety herein by reference to the "Security Ownership of Certain Beneficial Owners and Management" portion of the Company's definitive proxy statement to be filed with the Commission pursuant to Regulation 14A within 120 days after the end of the Company's last fiscal year.</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pursuant to this Item 13 is incorporated in its entirety herein by reference to the "Certain Relationships and Related Transactions" portion of the Company's definitive proxy statement to be filed with the Commission pursuant to Regulation 14A within 120 days after the end of the Company's last fiscal year.</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to be disclosed pursuant to this Item 14 is incorporated in its entirety herein by reference to the "Ratification or Appointment of Independent Auditors" portion of the Company's definitive proxy statement to be filed with the Commission pursuant to Regulation 14A within 120 days after the end of the Company's last fiscal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5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rFonts w:ascii="Arial" w:cs="Arial" w:eastAsia="Arial" w:hAnsi="Arial"/>
          <w:sz w:val="18"/>
          <w:szCs w:val="18"/>
          <w:color w:val="auto"/>
        </w:rPr>
      </w:pPr>
    </w:p>
    <w:p>
      <w:pPr>
        <w:ind w:left="1060" w:hanging="174"/>
        <w:spacing w:after="0"/>
        <w:tabs>
          <w:tab w:leader="none" w:pos="1060" w:val="left"/>
        </w:tabs>
        <w:numPr>
          <w:ilvl w:val="1"/>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Statements and Financial Statement Schedules </w:t>
      </w:r>
      <w:r>
        <w:rPr>
          <w:rFonts w:ascii="Arial" w:cs="Arial" w:eastAsia="Arial" w:hAnsi="Arial"/>
          <w:sz w:val="17"/>
          <w:szCs w:val="17"/>
          <w:color w:val="auto"/>
        </w:rPr>
        <w:t>- See Index to Financial Statements of this Annual Report on Form 10-K.</w:t>
      </w:r>
    </w:p>
    <w:p>
      <w:pPr>
        <w:spacing w:after="0" w:line="236" w:lineRule="exact"/>
        <w:rPr>
          <w:rFonts w:ascii="Arial" w:cs="Arial" w:eastAsia="Arial" w:hAnsi="Arial"/>
          <w:sz w:val="17"/>
          <w:szCs w:val="17"/>
          <w:color w:val="auto"/>
        </w:rPr>
      </w:pPr>
    </w:p>
    <w:p>
      <w:pPr>
        <w:ind w:left="1060" w:hanging="174"/>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gridSpan w:val="5"/>
          </w:tcPr>
          <w:p>
            <w:pPr>
              <w:ind w:left="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4"/>
                <w:szCs w:val="14"/>
                <w:color w:val="auto"/>
              </w:rPr>
            </w:pPr>
          </w:p>
        </w:tc>
        <w:tc>
          <w:tcPr>
            <w:tcW w:w="10040" w:type="dxa"/>
            <w:vAlign w:val="bottom"/>
            <w:tcBorders>
              <w:top w:val="single" w:sz="8" w:color="auto"/>
              <w:bottom w:val="single" w:sz="8" w:color="0000EE"/>
              <w:right w:val="single" w:sz="8" w:color="CCEEFF"/>
            </w:tcBorders>
            <w:gridSpan w:val="15"/>
            <w:shd w:val="clear" w:color="auto" w:fill="CCEEFF"/>
          </w:tcPr>
          <w:p>
            <w:pPr>
              <w:spacing w:after="0" w:line="170"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Distribution Agreement, dated as of May 10, 2017, by and between SEACOR Holdings Inc. and SEACOR Marine Holdings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(incorporated herein by reference to Exhibit 10.1 of SEACOR Holdings Inc.'s Current Report on Form 8-K filed with the Commission on</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May 12, 2017 (File No. 001-12289)).</w:t>
              </w:r>
            </w:hyperlink>
          </w:p>
        </w:tc>
        <w:tc>
          <w:tcPr>
            <w:tcW w:w="734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5"/>
                <w:szCs w:val="15"/>
                <w:color w:val="auto"/>
              </w:rPr>
            </w:pPr>
          </w:p>
        </w:tc>
        <w:tc>
          <w:tcPr>
            <w:tcW w:w="1004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Joint Venture Contribution and Formation Agreement, dated August 10, 2017, by and between SEACOR LB Holdings LLC and Montco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Offshore, Inc. (incorporated herein by reference to Exhibit 2.1 of SEACOR Marine Holdings Inc.'s Periodic Report on Form 8-K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the Commission on August 11, 2017 (File No. 001-37966)).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First Amendment to Joint Venture Contribution and Formation Agreement, dated January 8, 2018, by and between SEACOR LB Holdings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LLC and Montco Offshore, Inc. (incorporated herein by reference to Exhibit 2.1 of SEACOR Marine Holdings Inc.'s Periodic Report on</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78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Form 8-K filed with the Commission on January 9, 2018 (File No. 001-37966)).</w:t>
              </w:r>
            </w:hyperlink>
          </w:p>
        </w:tc>
        <w:tc>
          <w:tcPr>
            <w:tcW w:w="426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10040" w:type="dxa"/>
            <w:vAlign w:val="bottom"/>
            <w:tcBorders>
              <w:bottom w:val="single" w:sz="8" w:color="0000EE"/>
            </w:tcBorders>
            <w:gridSpan w:val="15"/>
          </w:tcPr>
          <w:p>
            <w:pPr>
              <w:spacing w:after="0" w:line="17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Second Amended and Restated Certificate of Incorporation of SEACOR Marine Holdings Inc. (incorporated herein by reference to Exhibit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r:id="rId77">
              <w:r>
                <w:rPr>
                  <w:rFonts w:ascii="Arial" w:cs="Arial" w:eastAsia="Arial" w:hAnsi="Arial"/>
                  <w:sz w:val="18"/>
                  <w:szCs w:val="18"/>
                  <w:color w:val="0000EE"/>
                  <w:w w:val="98"/>
                </w:rPr>
                <w:t>3.</w:t>
              </w:r>
              <w:r>
                <w:rPr>
                  <w:rFonts w:ascii="Arial" w:cs="Arial" w:eastAsia="Arial" w:hAnsi="Arial"/>
                  <w:sz w:val="18"/>
                  <w:szCs w:val="18"/>
                  <w:u w:val="single" w:color="auto"/>
                  <w:color w:val="0000EE"/>
                  <w:w w:val="98"/>
                </w:rPr>
                <w:t>1</w:t>
              </w:r>
              <w:r>
                <w:rPr>
                  <w:rFonts w:ascii="Arial" w:cs="Arial" w:eastAsia="Arial" w:hAnsi="Arial"/>
                  <w:sz w:val="18"/>
                  <w:szCs w:val="18"/>
                  <w:color w:val="0000EE"/>
                  <w:w w:val="98"/>
                </w:rPr>
                <w:t xml:space="preserve"> of SEACOR Marine Holdings Inc.'s Amendment No. 1 to its Registration Statement on Form 10 filed with the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February 10, 2017 (File No. 001-37966)).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Second Amended and Restated Bylaws of SEACOR Marine Holdings Inc. (incorporated herein by reference to Exhibit 3.2 of SEACOR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Marine Holdings Inc.'s Amendment No. 1 to its Registration Statement on Form 10 filed with the Commission on February 10, 2017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No. 001-37966)).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5"/>
                <w:szCs w:val="15"/>
                <w:color w:val="auto"/>
              </w:rPr>
            </w:pPr>
          </w:p>
        </w:tc>
        <w:tc>
          <w:tcPr>
            <w:tcW w:w="1004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Note Purchase Agreement dated as of November 30, 2015, by and among SEACOR Marine Holdings Inc. and the Purchasers identified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Schedule A thereto (including therein the form of SEACOR Marine Holdings Inc. 3.75% Convertible Senior Notes due 2022 (the "3.75%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Convertible Senior Notes")) (incorporated herein by reference to Exhibit 4.4 of SEACOR Holdings Inc.'s Annual Report on Form 10-K for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the fiscal year ended December 31, 2015 filed with the Commission on February 29, 2016 (File No. 001-112289)).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Amendment No. 1 dated March 3, 2017 to the Note Purchase Agreement dated as of November 30, 2015, by and among SEACOR Marine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Holdings Inc. and the Purchasers of the 3.75% Subsidiary Convertible Senior Notes (incorporated herein by reference to Exhibit 10.1 of</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SEACOR Holdings Inc.'s Current Report on Form 8-K filed with the Commission on March 3, 2017 (File No. 001-112289)).</w:t>
              </w:r>
            </w:hyperlink>
          </w:p>
        </w:tc>
        <w:tc>
          <w:tcPr>
            <w:tcW w:w="1020" w:type="dxa"/>
            <w:vAlign w:val="bottom"/>
            <w:tcBorders>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5"/>
                <w:szCs w:val="15"/>
                <w:color w:val="auto"/>
              </w:rPr>
            </w:pPr>
          </w:p>
        </w:tc>
        <w:tc>
          <w:tcPr>
            <w:tcW w:w="10040" w:type="dxa"/>
            <w:vAlign w:val="bottom"/>
            <w:tcBorders>
              <w:bottom w:val="single" w:sz="8" w:color="0000EE"/>
            </w:tcBorders>
            <w:gridSpan w:val="15"/>
          </w:tcPr>
          <w:p>
            <w:pPr>
              <w:spacing w:after="0" w:line="176" w:lineRule="exact"/>
              <w:rPr>
                <w:rFonts w:ascii="Arial" w:cs="Arial" w:eastAsia="Arial" w:hAnsi="Arial"/>
                <w:sz w:val="18"/>
                <w:szCs w:val="18"/>
                <w:color w:val="0000EE"/>
                <w:w w:val="97"/>
              </w:rPr>
            </w:pPr>
            <w:hyperlink r:id="rId81">
              <w:r>
                <w:rPr>
                  <w:rFonts w:ascii="Arial" w:cs="Arial" w:eastAsia="Arial" w:hAnsi="Arial"/>
                  <w:sz w:val="18"/>
                  <w:szCs w:val="18"/>
                  <w:color w:val="0000EE"/>
                  <w:w w:val="97"/>
                </w:rPr>
                <w:t>Investment Agreement dated November 30, 2015, by and among SEACOR Holdings Inc., SEACOR Marine Holdings Inc. and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81">
              <w:r>
                <w:rPr>
                  <w:rFonts w:ascii="Arial" w:cs="Arial" w:eastAsia="Arial" w:hAnsi="Arial"/>
                  <w:sz w:val="18"/>
                  <w:szCs w:val="18"/>
                  <w:color w:val="0000EE"/>
                  <w:w w:val="96"/>
                </w:rPr>
                <w:t>Investors named therein (the "Investment Agreement") (incorporated herein by reference to Exhibit 4.5 of SEACOR Holdings Inc.'s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Annual Report on Form 10-K for the fiscal year ended December 31, 2015 filed with the Commission on February 29, 2016 (File No. 001-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112289)</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4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Registration Rights Agreement dated November 30, 2015, by and among SEACOR Marine Holdings Inc. and the holders of the 3.75%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5"/>
              </w:rPr>
            </w:pPr>
            <w:hyperlink r:id="rId82">
              <w:r>
                <w:rPr>
                  <w:rFonts w:ascii="Arial" w:cs="Arial" w:eastAsia="Arial" w:hAnsi="Arial"/>
                  <w:sz w:val="18"/>
                  <w:szCs w:val="18"/>
                  <w:color w:val="0000EE"/>
                  <w:w w:val="95"/>
                </w:rPr>
                <w:t>Convertible Senior Notes from time-to-time party thereto (incorporated herein by reference to Exhibit 4.7 of SEACOR Holdings Inc.'s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Annual Report on Form 10-K for the fiscal year ended December 31, 2015 filed with the Commission on February 29, 2016 (File No. 001-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112289)</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4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460" w:type="dxa"/>
            <w:vAlign w:val="bottom"/>
            <w:tcBorders>
              <w:top w:val="single" w:sz="8" w:color="0000EE"/>
            </w:tcBorders>
            <w:shd w:val="clear" w:color="auto" w:fill="CCEEFF"/>
          </w:tcPr>
          <w:p>
            <w:pPr>
              <w:spacing w:after="0"/>
              <w:rPr>
                <w:sz w:val="17"/>
                <w:szCs w:val="17"/>
                <w:color w:val="auto"/>
              </w:rPr>
            </w:pPr>
          </w:p>
        </w:tc>
        <w:tc>
          <w:tcPr>
            <w:tcW w:w="840" w:type="dxa"/>
            <w:vAlign w:val="bottom"/>
            <w:tcBorders>
              <w:top w:val="single" w:sz="8" w:color="0000EE"/>
            </w:tcBorders>
            <w:shd w:val="clear" w:color="auto" w:fill="CCEEFF"/>
          </w:tcPr>
          <w:p>
            <w:pPr>
              <w:spacing w:after="0"/>
              <w:rPr>
                <w:sz w:val="17"/>
                <w:szCs w:val="17"/>
                <w:color w:val="auto"/>
              </w:rPr>
            </w:pPr>
          </w:p>
        </w:tc>
        <w:tc>
          <w:tcPr>
            <w:tcW w:w="166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5"/>
                <w:szCs w:val="15"/>
                <w:color w:val="auto"/>
              </w:rPr>
            </w:pPr>
          </w:p>
        </w:tc>
        <w:tc>
          <w:tcPr>
            <w:tcW w:w="10040" w:type="dxa"/>
            <w:vAlign w:val="bottom"/>
            <w:tcBorders>
              <w:bottom w:val="single" w:sz="8" w:color="0000EE"/>
            </w:tcBorders>
            <w:gridSpan w:val="15"/>
          </w:tcPr>
          <w:p>
            <w:pPr>
              <w:spacing w:after="0" w:line="17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Registration Rights Agreement, dated as of January 9, 2019 by and among SEACOR Marine Holdings, Inc., McCall Properties, LLC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the Members of the Sellers listed therein (incorporated herein by reference to Exhibit 4.1 of SEACOR Marine Holdings Inc.’s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Report on Form 8-K filed with the Commission on January 11, 2010 (File No. 001-37966)).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right w:val="single" w:sz="8" w:color="CCEEFF"/>
            </w:tcBorders>
            <w:gridSpan w:val="15"/>
            <w:shd w:val="clear" w:color="auto" w:fill="CCEEFF"/>
          </w:tcPr>
          <w:p>
            <w:pPr>
              <w:spacing w:after="0" w:line="176" w:lineRule="exact"/>
              <w:rPr>
                <w:rFonts w:ascii="Arial" w:cs="Arial" w:eastAsia="Arial" w:hAnsi="Arial"/>
                <w:sz w:val="18"/>
                <w:szCs w:val="18"/>
                <w:color w:val="0000EE"/>
                <w:w w:val="96"/>
              </w:rPr>
            </w:pPr>
            <w:hyperlink r:id="rId84">
              <w:r>
                <w:rPr>
                  <w:rFonts w:ascii="Arial" w:cs="Arial" w:eastAsia="Arial" w:hAnsi="Arial"/>
                  <w:sz w:val="18"/>
                  <w:szCs w:val="18"/>
                  <w:color w:val="0000EE"/>
                  <w:w w:val="96"/>
                </w:rPr>
                <w:t>Warrant, originally issued by SEACOR Marine Holdings Inc., to CEOF II Coinvestment B (DE), L.P., on May 2, 2018,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herein by reference to Exhibit 4.10 of SEACOR Marine Holdings Inc.'s Shelf Registration on Form S-3 filed with the Commission on June</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15, 2018 (File No. 333-225686)).</w:t>
              </w:r>
            </w:hyperlink>
          </w:p>
        </w:tc>
        <w:tc>
          <w:tcPr>
            <w:tcW w:w="7620" w:type="dxa"/>
            <w:vAlign w:val="bottom"/>
            <w:tcBorders>
              <w:bottom w:val="single" w:sz="8" w:color="CCEEFF"/>
              <w:right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5"/>
                <w:szCs w:val="15"/>
                <w:color w:val="auto"/>
              </w:rPr>
            </w:pPr>
          </w:p>
        </w:tc>
        <w:tc>
          <w:tcPr>
            <w:tcW w:w="1004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Warrant, originally issued by SEACOR Marine Holdings Inc., to Proyectos Globales De Energia y Servicios CME, S.A. de C.V., on April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26, 2018, (incorporated herein by reference to Exhibit 4.11 of SEACOR Marine Holdings Inc.’s Shelf Registration on Form S-3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 Commission on June 15, 2018 (File No. 333-225686)).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5"/>
                <w:szCs w:val="15"/>
                <w:color w:val="auto"/>
              </w:rPr>
            </w:pPr>
          </w:p>
        </w:tc>
        <w:tc>
          <w:tcPr>
            <w:tcW w:w="10040" w:type="dxa"/>
            <w:vAlign w:val="bottom"/>
            <w:tcBorders>
              <w:right w:val="single" w:sz="8" w:color="CCEEFF"/>
            </w:tcBorders>
            <w:gridSpan w:val="15"/>
            <w:shd w:val="clear" w:color="auto" w:fill="CCEEFF"/>
          </w:tcPr>
          <w:p>
            <w:pPr>
              <w:spacing w:after="0" w:line="176" w:lineRule="exact"/>
              <w:rPr>
                <w:rFonts w:ascii="Arial" w:cs="Arial" w:eastAsia="Arial" w:hAnsi="Arial"/>
                <w:sz w:val="18"/>
                <w:szCs w:val="18"/>
                <w:color w:val="0000EE"/>
                <w:w w:val="98"/>
              </w:rPr>
            </w:pPr>
            <w:hyperlink r:id="rId86">
              <w:r>
                <w:rPr>
                  <w:rFonts w:ascii="Arial" w:cs="Arial" w:eastAsia="Arial" w:hAnsi="Arial"/>
                  <w:sz w:val="18"/>
                  <w:szCs w:val="18"/>
                  <w:color w:val="0000EE"/>
                  <w:w w:val="98"/>
                </w:rPr>
                <w:t>Warrant, originally issued by SEACOR Marine Holdings Inc., to CEOF II DE I AIV, L.P., on May 2, 2018, (incorporated herein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360" w:type="dxa"/>
            <w:vAlign w:val="bottom"/>
            <w:tcBorders>
              <w:right w:val="single" w:sz="8" w:color="CCEEFF"/>
            </w:tcBorders>
            <w:gridSpan w:val="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reference to Exhibit 4.8 of SEACOR Marine Holdings Inc.’s Shelf Registration on Form S-3 filed with the Commission on June 15, 2018</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(File No. 333-225686)).</w:t>
              </w:r>
            </w:hyperlink>
          </w:p>
        </w:tc>
        <w:tc>
          <w:tcPr>
            <w:tcW w:w="8300" w:type="dxa"/>
            <w:vAlign w:val="bottom"/>
            <w:tcBorders>
              <w:bottom w:val="single" w:sz="8" w:color="CCEEFF"/>
              <w:right w:val="single" w:sz="8" w:color="CCEEFF"/>
            </w:tcBorders>
            <w:gridSpan w:val="1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5"/>
                <w:szCs w:val="15"/>
                <w:color w:val="auto"/>
              </w:rPr>
            </w:pPr>
          </w:p>
        </w:tc>
        <w:tc>
          <w:tcPr>
            <w:tcW w:w="10040" w:type="dxa"/>
            <w:vAlign w:val="bottom"/>
            <w:tcBorders>
              <w:bottom w:val="single" w:sz="8" w:color="0000EE"/>
            </w:tcBorders>
            <w:gridSpan w:val="15"/>
          </w:tcPr>
          <w:p>
            <w:pPr>
              <w:spacing w:after="0" w:line="17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Warrant, originally issued by SEACOR Marine Holdings Inc., to CEOF II Coinvestement (DE), L.P., on May 2, 2018, (incorporated herein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87">
              <w:r>
                <w:rPr>
                  <w:rFonts w:ascii="Arial" w:cs="Arial" w:eastAsia="Arial" w:hAnsi="Arial"/>
                  <w:sz w:val="18"/>
                  <w:szCs w:val="18"/>
                  <w:color w:val="0000EE"/>
                  <w:w w:val="95"/>
                </w:rPr>
                <w:t>by reference to Exhibit 4.9 of SEACOR Marine Holdings Inc.’s Shelf Registration on Form S-3 filed with the Commission on June 15,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2018 (File No. 333-225686)).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5"/>
                <w:szCs w:val="15"/>
                <w:color w:val="auto"/>
              </w:rPr>
            </w:pPr>
          </w:p>
        </w:tc>
        <w:tc>
          <w:tcPr>
            <w:tcW w:w="10040" w:type="dxa"/>
            <w:vAlign w:val="bottom"/>
            <w:tcBorders>
              <w:right w:val="single" w:sz="8" w:color="CCEEFF"/>
            </w:tcBorders>
            <w:gridSpan w:val="15"/>
            <w:shd w:val="clear" w:color="auto" w:fill="CCEEFF"/>
          </w:tcPr>
          <w:p>
            <w:pPr>
              <w:spacing w:after="0" w:line="176"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Registration Rights Agreement, dated as of April 26, 2018, by and among SEACOR Marine Holdings Inc. and the Purchasers,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80" w:type="dxa"/>
            <w:vAlign w:val="bottom"/>
            <w:gridSpan w:val="8"/>
            <w:shd w:val="clear" w:color="auto" w:fill="0000EE"/>
          </w:tcPr>
          <w:p>
            <w:pPr>
              <w:spacing w:after="0" w:line="20" w:lineRule="exact"/>
              <w:rPr>
                <w:sz w:val="1"/>
                <w:szCs w:val="1"/>
                <w:color w:val="auto"/>
              </w:rPr>
            </w:pPr>
          </w:p>
        </w:tc>
        <w:tc>
          <w:tcPr>
            <w:tcW w:w="6360" w:type="dxa"/>
            <w:vAlign w:val="bottom"/>
            <w:tcBorders>
              <w:right w:val="single" w:sz="8" w:color="CCEEFF"/>
            </w:tcBorders>
            <w:gridSpan w:val="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(incorporated herein by reference to Exhibit 10.6 of SEACOR Marine Holdings Inc.’s Quarterly Report on Form 10-Q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Commission on May 10, 2018 (File No. 1-37966)).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3" w:name="page74"/>
    <w:bookmarkEnd w:id="7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0" w:type="dxa"/>
            <w:vAlign w:val="bottom"/>
            <w:gridSpan w:val="9"/>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14"/>
                <w:szCs w:val="14"/>
                <w:color w:val="auto"/>
              </w:rPr>
            </w:pPr>
          </w:p>
        </w:tc>
        <w:tc>
          <w:tcPr>
            <w:tcW w:w="10040" w:type="dxa"/>
            <w:vAlign w:val="bottom"/>
            <w:tcBorders>
              <w:top w:val="single" w:sz="8" w:color="auto"/>
              <w:bottom w:val="single" w:sz="8" w:color="0000EE"/>
            </w:tcBorders>
            <w:gridSpan w:val="23"/>
            <w:shd w:val="clear" w:color="auto" w:fill="CCEEFF"/>
          </w:tcPr>
          <w:p>
            <w:pPr>
              <w:spacing w:after="0" w:line="170"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Transition Services Agreement, dated as of May 10, 2017, by and between SEACOR Holdings Inc. and SEACOR Marine Holdings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gridSpan w:val="23"/>
            <w:shd w:val="clear" w:color="auto" w:fill="CCEEFF"/>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(incorporated herein by reference to Exhibit 10.2 of SEACOR Holdings Inc.'s Current Report on Form 8-K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70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May 12, 2017 (File No. 001-12289)).</w:t>
              </w:r>
            </w:hyperlink>
          </w:p>
        </w:tc>
        <w:tc>
          <w:tcPr>
            <w:tcW w:w="7320" w:type="dxa"/>
            <w:vAlign w:val="bottom"/>
            <w:tcBorders>
              <w:top w:val="single" w:sz="8" w:color="0000EE"/>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Transition Services Agreement, dated as of May 10, 2017, by and between SEACOR Marine Holdings Inc. and SEACOR Holdings Inc.</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(incorporated herein by reference to Exhibit 10.3 of SEACOR Holdings Inc.'s Current Report on Form 8-K filed with the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May 12, 2017 (File No. 001-12289)).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5"/>
                <w:szCs w:val="15"/>
                <w:color w:val="auto"/>
              </w:rPr>
            </w:pPr>
          </w:p>
        </w:tc>
        <w:tc>
          <w:tcPr>
            <w:tcW w:w="1004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Employee Matters Agreement, dated as of May 10, 2017, by and between SEACOR Holdings Inc. and SEACOR Marine Holdings Inc.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gridSpan w:val="23"/>
            <w:shd w:val="clear" w:color="auto" w:fill="CCEEFF"/>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(incorporated herein by reference to Exhibit 10.4 of SEACOR Holdings Inc.'s Current Report on Form 8-K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70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May 12, 2017 (File No. 001-12289)).</w:t>
              </w:r>
            </w:hyperlink>
          </w:p>
        </w:tc>
        <w:tc>
          <w:tcPr>
            <w:tcW w:w="7320" w:type="dxa"/>
            <w:vAlign w:val="bottom"/>
            <w:tcBorders>
              <w:top w:val="single" w:sz="8" w:color="0000EE"/>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8"/>
              </w:rPr>
            </w:pPr>
            <w:hyperlink r:id="rId93">
              <w:r>
                <w:rPr>
                  <w:rFonts w:ascii="Arial" w:cs="Arial" w:eastAsia="Arial" w:hAnsi="Arial"/>
                  <w:sz w:val="18"/>
                  <w:szCs w:val="18"/>
                  <w:color w:val="0000EE"/>
                  <w:w w:val="98"/>
                </w:rPr>
                <w:t>Tax Matters Agreement, dated as of May 10, 2017, by and between SEACOR Holdings Inc. and SEACOR Marine Holdings Inc.</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(incorporated herein by reference to Exhibit 10.5 of SEACOR Holdings Inc.'s Current Report on Form 8-K filed with the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May 12, 2017 (File No. 001-12289)).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8"/>
              </w:rPr>
            </w:pPr>
            <w:hyperlink r:id="rId94">
              <w:r>
                <w:rPr>
                  <w:rFonts w:ascii="Arial" w:cs="Arial" w:eastAsia="Arial" w:hAnsi="Arial"/>
                  <w:sz w:val="18"/>
                  <w:szCs w:val="18"/>
                  <w:color w:val="0000EE"/>
                  <w:w w:val="98"/>
                </w:rPr>
                <w:t>SEACOR Marine Holdings Inc. 2017 Equity Incentive Plan. (incorporated herein by reference to Exhibit 10.6 of SEACOR Marine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18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Holdings Inc.'s Periodic Report on Form 8-K filed with the Commission on May 12, 2017 (File No. 001-37966)).</w:t>
              </w:r>
            </w:hyperlink>
          </w:p>
        </w:tc>
        <w:tc>
          <w:tcPr>
            <w:tcW w:w="1860" w:type="dxa"/>
            <w:vAlign w:val="bottom"/>
            <w:tcBorders>
              <w:bottom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SEACOR Marine Holdings Inc. 2017 Employee Stock Purchase Plan. (incorporated herein by reference to Exhibit 10.7 of SEACOR</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Marine Holdings Inc.'s Periodic Report on Form 8-K filed with the Commission on May 12, 2017 (File No. 001-37966)).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5"/>
                <w:szCs w:val="15"/>
                <w:color w:val="auto"/>
              </w:rPr>
            </w:pPr>
          </w:p>
        </w:tc>
        <w:tc>
          <w:tcPr>
            <w:tcW w:w="1004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Form of Indemnification Agreement between SEACOR Marine Holdings Inc. and individual officers and directors. (incorporated herein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by reference to Exhibit 10.7 of SEACOR Marine Holdings Inc.'s Amendment No. 1 to its Registration Statement on Form 10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Commission on February 10, 2017 (File No. 001-37966)).</w:t>
              </w:r>
            </w:hyperlink>
          </w:p>
        </w:tc>
        <w:tc>
          <w:tcPr>
            <w:tcW w:w="5840" w:type="dxa"/>
            <w:vAlign w:val="bottom"/>
            <w:tcBorders>
              <w:bottom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Letter Agreement related to the Investment Agreement dated November 30, 2015 (incorporated herein by reference to Exhibit 10.8 of</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SEACOR Marine Holdings Inc.'s Amendment No. 3 to its Registration Statement on Form 10 filed with the Commission on May 4, 2017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(File No. 001-37966)).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Form of Stock Option Grant Agreement under the SEACOR Marine Holdings Inc. 2017 Equity Incentive Plan (incorporated herein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8"/>
              </w:rPr>
            </w:pPr>
            <w:hyperlink r:id="rId98">
              <w:r>
                <w:rPr>
                  <w:rFonts w:ascii="Arial" w:cs="Arial" w:eastAsia="Arial" w:hAnsi="Arial"/>
                  <w:sz w:val="18"/>
                  <w:szCs w:val="18"/>
                  <w:color w:val="0000EE"/>
                  <w:w w:val="98"/>
                </w:rPr>
                <w:t>reference to Exhibit 99.2 of SEACOR Marine Holdings Inc.'s S-8 filed with the Commission on November 20, 2017 (File No. 001-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37966)</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Form of Restricted Stock Grant Agreement under the SEACOR Marine Holdings Inc. 2017 Equity Incentive Plan (incorporated herein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23"/>
          </w:tcPr>
          <w:p>
            <w:pPr>
              <w:spacing w:after="0" w:line="196" w:lineRule="exact"/>
              <w:rPr>
                <w:rFonts w:ascii="Arial" w:cs="Arial" w:eastAsia="Arial" w:hAnsi="Arial"/>
                <w:sz w:val="18"/>
                <w:szCs w:val="18"/>
                <w:color w:val="0000EE"/>
                <w:w w:val="98"/>
              </w:rPr>
            </w:pPr>
            <w:hyperlink r:id="rId99">
              <w:r>
                <w:rPr>
                  <w:rFonts w:ascii="Arial" w:cs="Arial" w:eastAsia="Arial" w:hAnsi="Arial"/>
                  <w:sz w:val="18"/>
                  <w:szCs w:val="18"/>
                  <w:color w:val="0000EE"/>
                  <w:w w:val="98"/>
                </w:rPr>
                <w:t>reference to Exhibit 99.3 of SEACOR Marine Holdings Inc.'s S-8 filed with the Commission on November 20, 2017 (File No. 001-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gridSpan w:val="3"/>
          </w:tcPr>
          <w:p>
            <w:pPr>
              <w:ind w:left="220"/>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37966)</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7"/>
                <w:szCs w:val="17"/>
                <w:color w:val="auto"/>
              </w:rPr>
            </w:pPr>
          </w:p>
        </w:tc>
        <w:tc>
          <w:tcPr>
            <w:tcW w:w="10040" w:type="dxa"/>
            <w:vAlign w:val="bottom"/>
            <w:gridSpan w:val="23"/>
            <w:shd w:val="clear" w:color="auto" w:fill="CCEEFF"/>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Compensation Arrangements for the Executive Officers</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10.12+</w:t>
            </w:r>
          </w:p>
        </w:tc>
        <w:tc>
          <w:tcPr>
            <w:tcW w:w="220" w:type="dxa"/>
            <w:vAlign w:val="bottom"/>
            <w:tcBorders>
              <w:top w:val="single" w:sz="8" w:color="CCEEFF"/>
            </w:tcBorders>
          </w:tcPr>
          <w:p>
            <w:pPr>
              <w:spacing w:after="0"/>
              <w:rPr>
                <w:sz w:val="15"/>
                <w:szCs w:val="15"/>
                <w:color w:val="auto"/>
              </w:rPr>
            </w:pPr>
          </w:p>
        </w:tc>
        <w:tc>
          <w:tcPr>
            <w:tcW w:w="40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Compensation of Non-Employee Directors</w:t>
              </w:r>
            </w:hyperlink>
          </w:p>
        </w:tc>
        <w:tc>
          <w:tcPr>
            <w:tcW w:w="6020" w:type="dxa"/>
            <w:vAlign w:val="bottom"/>
            <w:tcBorders>
              <w:top w:val="single" w:sz="8" w:color="CCEE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Credit Agreement dated as of February 8, 2018 by and among Falcon Global USA LLC, Falcon Global Offshore LLC, Falcon Global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Offshore II LLC, Falcon Global Jill LLC, Falcon Global Robert LLC, Falcon Global LLC, the lenders party thereto and JPMorgan Chase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Bank, N.A. (incorporated herein by reference to Exhibit 10.2 of SEACOR Marine Holdings Inc.’s Periodic Filing on Form 8-K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6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the Commission on February 9, 2018. (File No. 001-37966)).</w:t>
              </w:r>
            </w:hyperlink>
          </w:p>
        </w:tc>
        <w:tc>
          <w:tcPr>
            <w:tcW w:w="5580" w:type="dxa"/>
            <w:vAlign w:val="bottom"/>
            <w:tcBorders>
              <w:bottom w:val="single" w:sz="8" w:color="CCEEFF"/>
            </w:tcBorders>
            <w:gridSpan w:val="8"/>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Pledge and Security Agreement, dated as of February 8, 2018, by and among Falcon Global USA LLC, the additional grantors listed 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r:id="rId101">
              <w:r>
                <w:rPr>
                  <w:rFonts w:ascii="Arial" w:cs="Arial" w:eastAsia="Arial" w:hAnsi="Arial"/>
                  <w:sz w:val="18"/>
                  <w:szCs w:val="18"/>
                  <w:color w:val="0000EE"/>
                  <w:w w:val="96"/>
                </w:rPr>
                <w:t>the signature pages thereto and JPMorgan Chase Bank, N.A. (incorporated herein by reference to Exhibit 10.4 of SEACOR Marine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Holdings Inc.’s Periodic Filing on Form 8-K filed with the Commission on February 9, 2018. (File No. 001-37966)).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15"/>
                <w:szCs w:val="15"/>
                <w:color w:val="auto"/>
              </w:rPr>
            </w:pPr>
          </w:p>
        </w:tc>
        <w:tc>
          <w:tcPr>
            <w:tcW w:w="1004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Obligation Guaranty Agreement, dated as of February 8, 2018, by SEACOR Marine Holdings Inc. (incorporated herein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gridSpan w:val="23"/>
            <w:shd w:val="clear" w:color="auto" w:fill="CCEEFF"/>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Exhibit 10.3 of SEACOR Marine Holdings Inc.’s Periodic Filing on Form 8-K filed with the Commission on February 9, 2018.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001-37966)).</w:t>
              </w:r>
            </w:hyperlink>
          </w:p>
        </w:tc>
        <w:tc>
          <w:tcPr>
            <w:tcW w:w="680" w:type="dxa"/>
            <w:vAlign w:val="bottom"/>
            <w:tcBorders>
              <w:top w:val="single" w:sz="8" w:color="0000EE"/>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37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62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10.16*</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Amended and Restated Limited Liability Company Agreement of Falcon Global Holdings LLC, dated as of February 8, 2018</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(incorporated herein by reference to Exhibit 10.1 of SEACOR Marine Holdings Inc.’s Periodic Filing on Form 8-K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Commission on February 9, 2018. (File No. 001-37966)).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220" w:type="dxa"/>
            <w:vAlign w:val="bottom"/>
            <w:shd w:val="clear" w:color="auto" w:fill="CCEEFF"/>
          </w:tcPr>
          <w:p>
            <w:pPr>
              <w:spacing w:after="0"/>
              <w:rPr>
                <w:sz w:val="15"/>
                <w:szCs w:val="15"/>
                <w:color w:val="auto"/>
              </w:rPr>
            </w:pPr>
          </w:p>
        </w:tc>
        <w:tc>
          <w:tcPr>
            <w:tcW w:w="10040" w:type="dxa"/>
            <w:vAlign w:val="bottom"/>
            <w:gridSpan w:val="23"/>
            <w:shd w:val="clear" w:color="auto" w:fill="CCEEFF"/>
          </w:tcPr>
          <w:p>
            <w:pPr>
              <w:spacing w:after="0" w:line="17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Credit Agreement, dated September 26, 2018, by and among SEACOR Marine Foreign Holdings Inc., SEACOR Marine Holdings Inc.,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4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Entities Identified on Schedule 1-A thereto, DNB Bank ASA, New York Branch, the Financial Institutions identified on Schedule 1b, DNB</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Markets, Inc., Clifford Capital Pte. Ltd. And NIBC Bank N.V. and DNB Markets, Inc., (incorporated herein by reference to Exhibit 10.1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94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SEACOR Marine Holdings Inc.’s Quarterly Report on Form 10-Q filed with the Commission on November 13, 2018 (File No. 1-37966)).</w:t>
              </w:r>
            </w:hyperlink>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10.18*</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6"/>
              </w:rPr>
            </w:pPr>
            <w:hyperlink r:id="rId105">
              <w:r>
                <w:rPr>
                  <w:rFonts w:ascii="Arial" w:cs="Arial" w:eastAsia="Arial" w:hAnsi="Arial"/>
                  <w:sz w:val="18"/>
                  <w:szCs w:val="18"/>
                  <w:color w:val="0000EE"/>
                  <w:w w:val="96"/>
                </w:rPr>
                <w:t>Guaranty, dated September 26, 2018, by and among SEACOR Marine Holdings Inc. in favor of DNB Bank ASA, New York Branch</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(incorporated herein by reference to Exhibit 10.2 of SEACOR Marine Holdings Inc.’s Quarterly Report on Form 10-Q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Commission on November 13, 2018 (File No. 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220" w:type="dxa"/>
            <w:vAlign w:val="bottom"/>
            <w:shd w:val="clear" w:color="auto" w:fill="CCEEFF"/>
          </w:tcPr>
          <w:p>
            <w:pPr>
              <w:spacing w:after="0"/>
              <w:rPr>
                <w:sz w:val="15"/>
                <w:szCs w:val="15"/>
                <w:color w:val="auto"/>
              </w:rPr>
            </w:pPr>
          </w:p>
        </w:tc>
        <w:tc>
          <w:tcPr>
            <w:tcW w:w="10040" w:type="dxa"/>
            <w:vAlign w:val="bottom"/>
            <w:gridSpan w:val="23"/>
            <w:shd w:val="clear" w:color="auto" w:fill="CCEEFF"/>
          </w:tcPr>
          <w:p>
            <w:pPr>
              <w:spacing w:after="0" w:line="17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Form of Director Stock Option Grant Agreement Pursuant to the SEACOR Marine Holdings Inc. 2017 Equity Incentive Plan, between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0" w:type="dxa"/>
            <w:vAlign w:val="bottom"/>
            <w:gridSpan w:val="9"/>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SEACOR Marine Holdings Inc., and the non-employee director specified therein, (incorporated herein by reference to Exhibit 10.4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gridSpan w:val="23"/>
            <w:shd w:val="clear" w:color="auto" w:fill="CCEEFF"/>
          </w:tcPr>
          <w:p>
            <w:pPr>
              <w:spacing w:after="0" w:line="196" w:lineRule="exact"/>
              <w:rPr>
                <w:rFonts w:ascii="Arial" w:cs="Arial" w:eastAsia="Arial" w:hAnsi="Arial"/>
                <w:sz w:val="18"/>
                <w:szCs w:val="18"/>
                <w:color w:val="0000EE"/>
                <w:w w:val="96"/>
              </w:rPr>
            </w:pPr>
            <w:hyperlink r:id="rId106">
              <w:r>
                <w:rPr>
                  <w:rFonts w:ascii="Arial" w:cs="Arial" w:eastAsia="Arial" w:hAnsi="Arial"/>
                  <w:sz w:val="18"/>
                  <w:szCs w:val="18"/>
                  <w:color w:val="0000EE"/>
                  <w:w w:val="96"/>
                </w:rPr>
                <w:t>SEACOR Marine Holdings Inc.’s Quarterly Report on Form 10-Q filed with the Commission on August 9, 2018 (File No. 1-37966)).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10.20*</w:t>
            </w:r>
          </w:p>
        </w:tc>
        <w:tc>
          <w:tcPr>
            <w:tcW w:w="220" w:type="dxa"/>
            <w:vAlign w:val="bottom"/>
          </w:tcPr>
          <w:p>
            <w:pPr>
              <w:spacing w:after="0"/>
              <w:rPr>
                <w:sz w:val="15"/>
                <w:szCs w:val="15"/>
                <w:color w:val="auto"/>
              </w:rPr>
            </w:pPr>
          </w:p>
        </w:tc>
        <w:tc>
          <w:tcPr>
            <w:tcW w:w="10040" w:type="dxa"/>
            <w:vAlign w:val="bottom"/>
            <w:gridSpan w:val="23"/>
          </w:tcPr>
          <w:p>
            <w:pPr>
              <w:spacing w:after="0" w:line="17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Subscription Agreement, dated as of April 20, 2018, by and among SEACOR Marine Holdings Inc., the Purchasers named on Schedule A</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0" w:type="dxa"/>
            <w:vAlign w:val="bottom"/>
            <w:gridSpan w:val="9"/>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thereto, (incorporated herein by reference to Exhibit 10.5 of SEACOR Marine Holdings Inc.’s Quarterly Report on Form 10-Q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the Commission on May 10, 2018 (File No. 1-37966)).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10.21*</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Amendment and Exchange Agreement, dated as of May 2, 2018, by and among SEACOR Marine Holdings Inc., CEOF II DE I AIV, L.P.,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CEOF II COINVESTMENT (DE), L.P. and CEOF II COINVESTMENT B (DE), L.P., (incorporated herein by reference to Exhibit 10.1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gridSpan w:val="23"/>
            <w:shd w:val="clear" w:color="auto" w:fill="CCEEFF"/>
          </w:tcPr>
          <w:p>
            <w:pPr>
              <w:spacing w:after="0" w:line="196"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SEACOR Marine Holdings Inc.’s Current Report on Form 8-K filed with the Commission on May 2, 2018 (File No. 001-37966)).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Letter from Ernst &amp; Young LLP, dated June 15, 2017 to the Securities and Exchange Commission (incorporated herein by reference to</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Exhibit 16.1 of SEACOR Marine Holdings Inc.'s Current Report on Form 8-K filed with the Commission on June 15, 2017 (File No. 001-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gridSpan w:val="3"/>
          </w:tcPr>
          <w:p>
            <w:pPr>
              <w:ind w:left="220"/>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37966)</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List of subsidiaries of SEACOR Marine Holdings Inc.</w:t>
              </w:r>
            </w:hyperlink>
          </w:p>
        </w:tc>
        <w:tc>
          <w:tcPr>
            <w:tcW w:w="6120" w:type="dxa"/>
            <w:vAlign w:val="bottom"/>
            <w:tcBorders>
              <w:bottom w:val="single" w:sz="8" w:color="CCEEFF"/>
            </w:tcBorders>
            <w:gridSpan w:val="14"/>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5"/>
                <w:szCs w:val="15"/>
                <w:color w:val="auto"/>
              </w:rPr>
            </w:pPr>
          </w:p>
        </w:tc>
        <w:tc>
          <w:tcPr>
            <w:tcW w:w="10040" w:type="dxa"/>
            <w:vAlign w:val="bottom"/>
            <w:gridSpan w:val="23"/>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Consent of Grant Thornton LLP</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5"/>
                <w:szCs w:val="15"/>
                <w:color w:val="auto"/>
              </w:rPr>
            </w:pPr>
          </w:p>
        </w:tc>
        <w:tc>
          <w:tcPr>
            <w:tcW w:w="10040" w:type="dxa"/>
            <w:vAlign w:val="bottom"/>
            <w:gridSpan w:val="23"/>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Consent of Ernst &amp; Young LLP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5"/>
                <w:szCs w:val="15"/>
                <w:color w:val="auto"/>
              </w:rPr>
            </w:pPr>
          </w:p>
        </w:tc>
        <w:tc>
          <w:tcPr>
            <w:tcW w:w="10040" w:type="dxa"/>
            <w:vAlign w:val="bottom"/>
            <w:tcBorders>
              <w:bottom w:val="single" w:sz="8" w:color="0000EE"/>
            </w:tcBorders>
            <w:gridSpan w:val="23"/>
          </w:tcPr>
          <w:p>
            <w:pPr>
              <w:spacing w:after="0" w:line="176"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Certification by the Principal Executive Officer pursuant to Rule 13a-14(a) and Rule 15d-14(a) of the Securities Exchange Act, as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amended.</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8"/>
              </w:rPr>
            </w:pPr>
            <w:hyperlink w:anchor="page129">
              <w:r>
                <w:rPr>
                  <w:rFonts w:ascii="Arial" w:cs="Arial" w:eastAsia="Arial" w:hAnsi="Arial"/>
                  <w:sz w:val="18"/>
                  <w:szCs w:val="18"/>
                  <w:color w:val="0000EE"/>
                  <w:w w:val="98"/>
                </w:rPr>
                <w:t>Certification by the Principal Financial Officer pursuant to Rule 13a-14(a) and Rule 15d-14(a) of the Securities Exchange Act,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gridSpan w:val="23"/>
            <w:shd w:val="clear" w:color="auto" w:fill="CCEEFF"/>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amended.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80" w:hanging="1372"/>
        <w:spacing w:after="0"/>
        <w:tabs>
          <w:tab w:leader="none" w:pos="1380" w:val="left"/>
        </w:tabs>
        <w:numPr>
          <w:ilvl w:val="0"/>
          <w:numId w:val="37"/>
        </w:numPr>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Certification by the Principal Executive Officer and Principal Financial Officer pursuant to 18 U.S.C. Section 1350, as adopted pursuant to</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54"/>
        </w:trPr>
        <w:tc>
          <w:tcPr>
            <w:tcW w:w="1160" w:type="dxa"/>
            <w:vAlign w:val="bottom"/>
            <w:tcBorders>
              <w:bottom w:val="single" w:sz="8" w:color="auto"/>
            </w:tcBorders>
          </w:tcPr>
          <w:p>
            <w:pPr>
              <w:spacing w:after="0"/>
              <w:rPr>
                <w:sz w:val="4"/>
                <w:szCs w:val="4"/>
                <w:color w:val="auto"/>
              </w:rPr>
            </w:pPr>
          </w:p>
        </w:tc>
        <w:tc>
          <w:tcPr>
            <w:tcW w:w="10260" w:type="dxa"/>
            <w:vAlign w:val="bottom"/>
          </w:tcPr>
          <w:p>
            <w:pPr>
              <w:spacing w:after="0"/>
              <w:rPr>
                <w:sz w:val="4"/>
                <w:szCs w:val="4"/>
                <w:color w:val="auto"/>
              </w:rPr>
            </w:pPr>
          </w:p>
        </w:tc>
      </w:tr>
    </w:tbl>
    <w:p>
      <w:pPr>
        <w:spacing w:after="0" w:line="3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Incorporated by reference.</w:t>
      </w:r>
    </w:p>
    <w:p>
      <w:pPr>
        <w:ind w:left="660" w:hanging="652"/>
        <w:spacing w:after="0" w:line="22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ind w:left="660" w:right="540" w:hanging="652"/>
        <w:spacing w:after="0" w:line="237"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requirements of Section 13 of the Securities Exchange Act of 1934, the registrant has duly caused this Annual Report on Form 10-K for the fiscal year ended December 31, 2018, to be signed on its behalf by the undersigned, and in the capacities indicated, thereunto duly authorized.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 (Registrant)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Jesús Llorca</w:t>
            </w:r>
          </w:p>
        </w:tc>
      </w:tr>
      <w:tr>
        <w:trPr>
          <w:trHeight w:val="195"/>
        </w:trPr>
        <w:tc>
          <w:tcPr>
            <w:tcW w:w="70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 xml:space="preserve">Jesús Llorca, </w:t>
            </w:r>
            <w:r>
              <w:rPr>
                <w:rFonts w:ascii="Arial" w:cs="Arial" w:eastAsia="Arial" w:hAnsi="Arial"/>
                <w:sz w:val="18"/>
                <w:szCs w:val="18"/>
                <w:i w:val="1"/>
                <w:iCs w:val="1"/>
                <w:color w:val="auto"/>
              </w:rPr>
              <w:t>Executive Vice President and Chief</w:t>
            </w:r>
          </w:p>
        </w:tc>
      </w:tr>
      <w:tr>
        <w:trPr>
          <w:trHeight w:val="216"/>
        </w:trPr>
        <w:tc>
          <w:tcPr>
            <w:tcW w:w="7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r>
        <w:trPr>
          <w:trHeight w:val="230"/>
        </w:trPr>
        <w:tc>
          <w:tcPr>
            <w:tcW w:w="7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2019</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Signer</w:t>
            </w:r>
          </w:p>
        </w:tc>
        <w:tc>
          <w:tcPr>
            <w:tcW w:w="4880" w:type="dxa"/>
            <w:vAlign w:val="bottom"/>
            <w:gridSpan w:val="3"/>
          </w:tcPr>
          <w:p>
            <w:pPr>
              <w:ind w:left="2420"/>
              <w:spacing w:after="0"/>
              <w:rPr>
                <w:sz w:val="20"/>
                <w:szCs w:val="20"/>
                <w:color w:val="auto"/>
              </w:rPr>
            </w:pPr>
            <w:r>
              <w:rPr>
                <w:rFonts w:ascii="Arial" w:cs="Arial" w:eastAsia="Arial" w:hAnsi="Arial"/>
                <w:sz w:val="18"/>
                <w:szCs w:val="18"/>
                <w:b w:val="1"/>
                <w:bCs w:val="1"/>
                <w:color w:val="auto"/>
              </w:rPr>
              <w:t>Title</w:t>
            </w:r>
          </w:p>
        </w:tc>
        <w:tc>
          <w:tcPr>
            <w:tcW w:w="980" w:type="dxa"/>
            <w:vAlign w:val="bottom"/>
          </w:tcPr>
          <w:p>
            <w:pPr>
              <w:spacing w:after="0"/>
              <w:rPr>
                <w:sz w:val="17"/>
                <w:szCs w:val="17"/>
                <w:color w:val="auto"/>
              </w:rPr>
            </w:pPr>
          </w:p>
        </w:tc>
        <w:tc>
          <w:tcPr>
            <w:tcW w:w="12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3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/s/ John Gellert</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President, Chief Executive Officer and Director</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20" w:type="dxa"/>
            <w:vAlign w:val="bottom"/>
            <w:tcBorders>
              <w:bottom w:val="single" w:sz="8" w:color="auto"/>
            </w:tcBorders>
            <w:gridSpan w:val="3"/>
            <w:vMerge w:val="continue"/>
          </w:tcPr>
          <w:p>
            <w:pPr>
              <w:spacing w:after="0"/>
              <w:rPr>
                <w:sz w:val="18"/>
                <w:szCs w:val="18"/>
                <w:color w:val="auto"/>
              </w:rPr>
            </w:pP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(Principal Executive Officer)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John Gellert</w:t>
            </w:r>
          </w:p>
        </w:tc>
        <w:tc>
          <w:tcPr>
            <w:tcW w:w="488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Vice President and Chief Financial Officer</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3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/s/ Jesús Llorca</w:t>
            </w:r>
          </w:p>
        </w:tc>
        <w:tc>
          <w:tcPr>
            <w:tcW w:w="488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20" w:type="dxa"/>
            <w:vAlign w:val="bottom"/>
            <w:tcBorders>
              <w:bottom w:val="single" w:sz="8" w:color="auto"/>
            </w:tcBorders>
            <w:gridSpan w:val="3"/>
            <w:vMerge w:val="continue"/>
          </w:tcPr>
          <w:p>
            <w:pPr>
              <w:spacing w:after="0"/>
              <w:rPr>
                <w:sz w:val="18"/>
                <w:szCs w:val="18"/>
                <w:color w:val="auto"/>
              </w:rPr>
            </w:pP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(Principal Financial Officer)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195"/>
        </w:trPr>
        <w:tc>
          <w:tcPr>
            <w:tcW w:w="43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7"/>
              </w:rPr>
              <w:t>Jesús Llorca</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Gregory S. Rossmiller</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Senior Vice President and Chief Accounting Officer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195"/>
        </w:trPr>
        <w:tc>
          <w:tcPr>
            <w:tcW w:w="43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0"/>
              </w:rPr>
              <w:t>Gregory S. Rossmiller</w:t>
            </w:r>
          </w:p>
        </w:tc>
        <w:tc>
          <w:tcPr>
            <w:tcW w:w="4880" w:type="dxa"/>
            <w:vAlign w:val="bottom"/>
            <w:gridSpan w:val="3"/>
          </w:tcPr>
          <w:p>
            <w:pPr>
              <w:ind w:left="460"/>
              <w:spacing w:after="0" w:line="195" w:lineRule="exact"/>
              <w:rPr>
                <w:sz w:val="20"/>
                <w:szCs w:val="20"/>
                <w:color w:val="auto"/>
              </w:rPr>
            </w:pPr>
            <w:r>
              <w:rPr>
                <w:rFonts w:ascii="Arial" w:cs="Arial" w:eastAsia="Arial" w:hAnsi="Arial"/>
                <w:sz w:val="18"/>
                <w:szCs w:val="18"/>
                <w:color w:val="auto"/>
              </w:rPr>
              <w:t>(Principal Accounting Officer)</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Charles Fabrikant</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Non-Executive Chairman of the Board</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195"/>
        </w:trPr>
        <w:tc>
          <w:tcPr>
            <w:tcW w:w="43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0"/>
              </w:rPr>
              <w:t>Charles Fabrikant</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Andrew R. Morse</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195"/>
        </w:trPr>
        <w:tc>
          <w:tcPr>
            <w:tcW w:w="43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2"/>
              </w:rPr>
              <w:t>Andrew R. Morse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R. Christopher Regan</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195"/>
        </w:trPr>
        <w:tc>
          <w:tcPr>
            <w:tcW w:w="43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9"/>
              </w:rPr>
              <w:t>R. Christopher Regan</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Evan Behrens</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195"/>
        </w:trPr>
        <w:tc>
          <w:tcPr>
            <w:tcW w:w="43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8"/>
              </w:rPr>
              <w:t>Evan Behrens</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Robert Abendschein</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195"/>
        </w:trPr>
        <w:tc>
          <w:tcPr>
            <w:tcW w:w="43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0"/>
              </w:rPr>
              <w:t>Robert Abendschein</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Julie Persily</w:t>
            </w:r>
          </w:p>
        </w:tc>
        <w:tc>
          <w:tcPr>
            <w:tcW w:w="4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March 11, 2019</w:t>
            </w:r>
          </w:p>
        </w:tc>
        <w:tc>
          <w:tcPr>
            <w:tcW w:w="0" w:type="dxa"/>
            <w:vAlign w:val="bottom"/>
          </w:tcPr>
          <w:p>
            <w:pPr>
              <w:spacing w:after="0"/>
              <w:rPr>
                <w:sz w:val="1"/>
                <w:szCs w:val="1"/>
                <w:color w:val="auto"/>
              </w:rPr>
            </w:pP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Julie Persily</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20" w:type="dxa"/>
            <w:vAlign w:val="bottom"/>
          </w:tcPr>
          <w:p>
            <w:pPr>
              <w:ind w:left="130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68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INDEX TO FINANCIAL STATEMENTS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680" w:type="dxa"/>
            <w:vAlign w:val="bottom"/>
            <w:gridSpan w:val="9"/>
            <w:vMerge w:val="restart"/>
          </w:tcPr>
          <w:p>
            <w:pPr>
              <w:jc w:val="center"/>
              <w:ind w:right="2580"/>
              <w:spacing w:after="0"/>
              <w:rPr>
                <w:sz w:val="20"/>
                <w:szCs w:val="20"/>
                <w:color w:val="auto"/>
              </w:rPr>
            </w:pPr>
            <w:r>
              <w:rPr>
                <w:rFonts w:ascii="Arial" w:cs="Arial" w:eastAsia="Arial" w:hAnsi="Arial"/>
                <w:sz w:val="18"/>
                <w:szCs w:val="18"/>
                <w:b w:val="1"/>
                <w:bCs w:val="1"/>
                <w:color w:val="auto"/>
              </w:rPr>
              <w:t>SEACOR MARINE HOLDINGS INC</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7680" w:type="dxa"/>
            <w:vAlign w:val="bottom"/>
            <w:gridSpan w:val="9"/>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0840" w:type="dxa"/>
            <w:vAlign w:val="bottom"/>
            <w:gridSpan w:val="10"/>
          </w:tcPr>
          <w:p>
            <w:pPr>
              <w:spacing w:after="0"/>
              <w:rPr>
                <w:sz w:val="20"/>
                <w:szCs w:val="20"/>
                <w:color w:val="auto"/>
              </w:rPr>
            </w:pPr>
            <w:r>
              <w:rPr>
                <w:rFonts w:ascii="Arial" w:cs="Arial" w:eastAsia="Arial" w:hAnsi="Arial"/>
                <w:sz w:val="18"/>
                <w:szCs w:val="18"/>
                <w:color w:val="auto"/>
              </w:rPr>
              <w:t>AUDITED CONSOLIDATED FINANCIAL STATEMENTS AND SCHEDULE: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840" w:type="dxa"/>
            <w:vAlign w:val="bottom"/>
            <w:gridSpan w:val="10"/>
          </w:tcPr>
          <w:p>
            <w:pPr>
              <w:spacing w:after="0" w:line="190" w:lineRule="exact"/>
              <w:rPr>
                <w:rFonts w:ascii="Arial" w:cs="Arial" w:eastAsia="Arial" w:hAnsi="Arial"/>
                <w:sz w:val="18"/>
                <w:szCs w:val="18"/>
                <w:color w:val="0000EE"/>
              </w:rPr>
            </w:pPr>
            <w:hyperlink w:anchor="page78">
              <w:r>
                <w:rPr>
                  <w:rFonts w:ascii="Arial" w:cs="Arial" w:eastAsia="Arial" w:hAnsi="Arial"/>
                  <w:sz w:val="18"/>
                  <w:szCs w:val="18"/>
                  <w:color w:val="0000EE"/>
                </w:rPr>
                <w:t>Report of Grant Thornton LLP, Independent Registered Public Accounting Firm</w:t>
              </w:r>
            </w:hyperlink>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78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Report of Ernst &amp; Young LLP, Independent Registered Public Accounting Firm</w:t>
              </w:r>
            </w:hyperlink>
          </w:p>
        </w:tc>
        <w:tc>
          <w:tcPr>
            <w:tcW w:w="506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5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and Audited Financial Statements:</w:t>
            </w:r>
          </w:p>
        </w:tc>
        <w:tc>
          <w:tcPr>
            <w:tcW w:w="5100" w:type="dxa"/>
            <w:vAlign w:val="bottom"/>
            <w:gridSpan w:val="7"/>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40" w:type="dxa"/>
            <w:vAlign w:val="bottom"/>
            <w:gridSpan w:val="10"/>
          </w:tcPr>
          <w:p>
            <w:pPr>
              <w:spacing w:after="0" w:line="190"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Balance Sheets for the years ended December 31, 2018 and 2017</w:t>
              </w:r>
            </w:hyperlink>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Loss for the years ended December 31, 2018, 2017, and 2016</w:t>
              </w:r>
            </w:hyperlink>
          </w:p>
        </w:tc>
        <w:tc>
          <w:tcPr>
            <w:tcW w:w="438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Comprehensive Loss for the years ended December 31, 2018, 2017, and 2016</w:t>
              </w:r>
            </w:hyperlink>
          </w:p>
        </w:tc>
        <w:tc>
          <w:tcPr>
            <w:tcW w:w="32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840" w:type="dxa"/>
            <w:vAlign w:val="bottom"/>
            <w:gridSpan w:val="1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Changes in Equity for the years ended December 31, 2018, 2017, and 2016</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744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Consolidated Statements of Cash Flows for the years ended December 31, 2018, 2017, and 2016</w:t>
              </w:r>
            </w:hyperlink>
          </w:p>
        </w:tc>
        <w:tc>
          <w:tcPr>
            <w:tcW w:w="340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17"/>
                <w:szCs w:val="17"/>
                <w:color w:val="auto"/>
              </w:rPr>
            </w:pPr>
          </w:p>
        </w:tc>
        <w:tc>
          <w:tcPr>
            <w:tcW w:w="38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10840" w:type="dxa"/>
            <w:vAlign w:val="bottom"/>
            <w:gridSpan w:val="10"/>
          </w:tcPr>
          <w:p>
            <w:pPr>
              <w:spacing w:after="0"/>
              <w:rPr>
                <w:sz w:val="20"/>
                <w:szCs w:val="20"/>
                <w:color w:val="auto"/>
              </w:rPr>
            </w:pPr>
            <w:r>
              <w:rPr>
                <w:rFonts w:ascii="Arial" w:cs="Arial" w:eastAsia="Arial" w:hAnsi="Arial"/>
                <w:sz w:val="18"/>
                <w:szCs w:val="18"/>
                <w:color w:val="auto"/>
              </w:rPr>
              <w:t>Financial Statement Schedule: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0000EE"/>
            </w:tcBorders>
            <w:gridSpan w:val="8"/>
          </w:tcPr>
          <w:p>
            <w:pPr>
              <w:spacing w:after="0" w:line="190"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Schedule II - Valuation and Qualifying Accounts for the years ended December 31, 2018, 2017, and 2016</w:t>
              </w:r>
            </w:hyperlink>
          </w:p>
        </w:tc>
        <w:tc>
          <w:tcPr>
            <w:tcW w:w="3220" w:type="dxa"/>
            <w:vAlign w:val="bottom"/>
            <w:gridSpan w:val="2"/>
          </w:tcPr>
          <w:p>
            <w:pPr>
              <w:spacing w:after="0"/>
              <w:rPr>
                <w:sz w:val="16"/>
                <w:szCs w:val="16"/>
                <w:color w:val="auto"/>
              </w:rPr>
            </w:pPr>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Financial Statement Schedule set forth above, all other required schedules have been omitted since the information is either included in the consolidated financial statements, not applicable or not required.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SEACOR Marine Holdings Inc. (a Delaware corporation) and subsidiaries (the “Company”) as of December 31, 2018 and 2017, the related consolidated statements of loss, comprehensive loss, changes in equity, and cash flows for each of the two years in the period ended December 31, 2018, and the related notes and schedule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Board of Directors and Stockholders of SEACOR Marine Holdings Inc.</w:t>
      </w:r>
    </w:p>
    <w:p>
      <w:pPr>
        <w:spacing w:after="0" w:line="225" w:lineRule="exact"/>
        <w:rPr>
          <w:sz w:val="20"/>
          <w:szCs w:val="20"/>
          <w:color w:val="auto"/>
        </w:rPr>
      </w:pPr>
    </w:p>
    <w:p>
      <w:pPr>
        <w:jc w:val="both"/>
        <w:ind w:left="140" w:right="20"/>
        <w:spacing w:after="0" w:line="259" w:lineRule="auto"/>
        <w:rPr>
          <w:sz w:val="20"/>
          <w:szCs w:val="20"/>
          <w:color w:val="auto"/>
        </w:rPr>
      </w:pPr>
      <w:r>
        <w:rPr>
          <w:rFonts w:ascii="Arial" w:cs="Arial" w:eastAsia="Arial" w:hAnsi="Arial"/>
          <w:sz w:val="18"/>
          <w:szCs w:val="18"/>
          <w:color w:val="auto"/>
        </w:rPr>
        <w:t>We have audited the accompanying consolidated statements of loss, comprehensive loss, changes in equity and cash flows of SEACOR Marine Holdings Inc. for the year ended December 31, 2016. Our audits also included the financial statement schedule listed in the Index at Item 15(a) for the year ended December 31, 2016. These financial statements and schedule are the responsibility of the Company's management. Our responsibility is to express an opinion on these financial statements and schedule based on our audit.</w:t>
      </w:r>
    </w:p>
    <w:p>
      <w:pPr>
        <w:spacing w:after="0" w:line="187" w:lineRule="exact"/>
        <w:rPr>
          <w:sz w:val="20"/>
          <w:szCs w:val="20"/>
          <w:color w:val="auto"/>
        </w:rPr>
      </w:pPr>
    </w:p>
    <w:p>
      <w:pPr>
        <w:jc w:val="both"/>
        <w:ind w:left="140"/>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jc w:val="both"/>
        <w:ind w:left="140"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operations and cash flows of SEACOR Marine Holdings Inc. for the year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95,195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110,234</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6"/>
              </w:rPr>
              <w:t>Trade, net of allowance for doubtful accounts of $860 and $4,039 in 2018 and 2017, respectively</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64,125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45,616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12,341</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3,756</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177,290</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1,242,733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1,179,836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(561,272)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(560,160)</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681,461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619,676</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70,157</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Net property and equipment</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770,379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689,833</w:t>
            </w:r>
          </w:p>
        </w:tc>
        <w:tc>
          <w:tcPr>
            <w:tcW w:w="10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Equity, and Advances to 50% or Less Owned Companies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92,169</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Construction Reserve Funds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28,061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45,361</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1,102,935</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1,008,504</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16,812</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22,858</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19,370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24,024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to SEACOR Holdings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Accrued wages and benefits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Accrued capital, repair and maintenance expenditures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18,886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19,618</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10,104</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19,828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11,879</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99,218</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Debt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387,854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292,041</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44,682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55,506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Gains and Other Liabilities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31,741</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548,000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485,338</w:t>
            </w:r>
          </w:p>
        </w:tc>
        <w:tc>
          <w:tcPr>
            <w:tcW w:w="10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SEACOR Marine Holdings Inc. stockholders' equity: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$.01 par value, 10,000,000 shares authorized; none issued nor outstanding</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100" w:type="dxa"/>
            <w:vAlign w:val="bottom"/>
          </w:tcPr>
          <w:p>
            <w:pPr>
              <w:ind w:left="640"/>
              <w:spacing w:after="0" w:line="201" w:lineRule="exact"/>
              <w:rPr>
                <w:sz w:val="20"/>
                <w:szCs w:val="20"/>
                <w:color w:val="auto"/>
              </w:rPr>
            </w:pPr>
            <w:r>
              <w:rPr>
                <w:rFonts w:ascii="Arial" w:cs="Arial" w:eastAsia="Arial" w:hAnsi="Arial"/>
                <w:sz w:val="18"/>
                <w:szCs w:val="18"/>
                <w:color w:val="auto"/>
                <w:w w:val="95"/>
              </w:rPr>
              <w:t>Common stock, $.01 par value, 60,000,000 shares authorized; 20,443,215 and 17,675,356 shares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issued in 2018 and 2017, respectively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303,996</w:t>
            </w: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216,511</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held in treasury of 4,007 and 0 in 2018 and 2017, respectively, at cost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Accumulated other comprehensive loss, net of tax</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(16,788)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(12,493)</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Noncontrolling interests in subsidiaries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29,404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14,975</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1,102,935</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1,008,504</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0" w:name="page81"/>
    <w:bookmarkEnd w:id="8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253,609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173,783</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186,566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Administrative and general</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52,813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56,217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62,779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311,625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278,595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274,302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Losses on Asset Dispositions and Impairments,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(23,547)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(66,763)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(128,359)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(174,888)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SEACOR Holdings management fees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SEACOR Holdings guarantee fees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Marketable security gains (losses),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Derivative gains,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20,256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losses,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11,336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tcPr>
          <w:p>
            <w:pPr>
              <w:spacing w:after="0" w:line="195" w:lineRule="exact"/>
              <w:rPr>
                <w:sz w:val="20"/>
                <w:szCs w:val="20"/>
                <w:color w:val="auto"/>
              </w:rPr>
            </w:pPr>
            <w:r>
              <w:rPr>
                <w:rFonts w:ascii="Arial" w:cs="Arial" w:eastAsia="Arial" w:hAnsi="Arial"/>
                <w:sz w:val="18"/>
                <w:szCs w:val="18"/>
                <w:color w:val="auto"/>
                <w:w w:val="99"/>
              </w:rPr>
              <w:t>Loss Before Income Tax Benefit and Equity in Earnings (Losses) of 50% or Less</w:t>
            </w:r>
          </w:p>
        </w:tc>
        <w:tc>
          <w:tcPr>
            <w:tcW w:w="340" w:type="dxa"/>
            <w:vAlign w:val="bottom"/>
          </w:tcPr>
          <w:p>
            <w:pPr>
              <w:spacing w:after="0"/>
              <w:rPr>
                <w:sz w:val="16"/>
                <w:szCs w:val="16"/>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(91,984)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(117,023)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(190,305)</w:t>
            </w:r>
          </w:p>
        </w:tc>
        <w:tc>
          <w:tcPr>
            <w:tcW w:w="0" w:type="dxa"/>
            <w:vAlign w:val="bottom"/>
          </w:tcPr>
          <w:p>
            <w:pPr>
              <w:spacing w:after="0"/>
              <w:rPr>
                <w:sz w:val="1"/>
                <w:szCs w:val="1"/>
                <w:color w:val="auto"/>
              </w:rPr>
            </w:pP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Owned Companies</w:t>
            </w:r>
          </w:p>
        </w:tc>
        <w:tc>
          <w:tcPr>
            <w:tcW w:w="3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(13,400)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(74,406)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(63,469)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(Losses) Earnings of 50% or Less Owned Companies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(42,617)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Equity in (Losses) Earnings of 50% or Less Owned Companies, Net of Tax</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(38,540)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Loss attributable to Noncontrolling Interests in Subsidiaries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(5,639)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SEACOR Marine Holdings Inc.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(32,901)</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 of SEACOR Marine Holdings Inc.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20,926,307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17,601,244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17,671,356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(82,052)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(38,540)</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(losses) gains,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20"/>
              <w:spacing w:after="0" w:line="201" w:lineRule="exact"/>
              <w:rPr>
                <w:sz w:val="20"/>
                <w:szCs w:val="20"/>
                <w:color w:val="auto"/>
              </w:rPr>
            </w:pPr>
            <w:r>
              <w:rPr>
                <w:rFonts w:ascii="Arial" w:cs="Arial" w:eastAsia="Arial" w:hAnsi="Arial"/>
                <w:sz w:val="18"/>
                <w:szCs w:val="18"/>
                <w:color w:val="auto"/>
                <w:w w:val="94"/>
              </w:rPr>
              <w:t>Reclassification of foreign currency translation losses to foreign currency losses,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(losses) gains on cash flow hedges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w w:val="99"/>
              </w:rPr>
              <w:t>Reclassification of derivative losses on cash flow hedges to interest expense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Reclassification of derivative losses on cash flow hedges to equity in (losses)</w:t>
            </w:r>
          </w:p>
        </w:tc>
        <w:tc>
          <w:tcPr>
            <w:tcW w:w="3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of 50% or less owned companies</w:t>
            </w:r>
          </w:p>
        </w:tc>
        <w:tc>
          <w:tcPr>
            <w:tcW w:w="3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5,375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(39,421)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 in Subsidiaries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(5,364)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SEACOR Marine Holdings Inc.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(34,057)</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13"/>
          </w:tcPr>
          <w:p>
            <w:pPr>
              <w:jc w:val="right"/>
              <w:spacing w:after="0"/>
              <w:rPr>
                <w:sz w:val="20"/>
                <w:szCs w:val="20"/>
                <w:color w:val="auto"/>
              </w:rPr>
            </w:pPr>
            <w:r>
              <w:rPr>
                <w:rFonts w:ascii="Arial" w:cs="Arial" w:eastAsia="Arial" w:hAnsi="Arial"/>
                <w:sz w:val="18"/>
                <w:szCs w:val="18"/>
                <w:b w:val="1"/>
                <w:bCs w:val="1"/>
                <w:color w:val="auto"/>
                <w:w w:val="95"/>
              </w:rPr>
              <w:t>SEACOR Marine Holdings Inc. Stockholders' Equity</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Non -</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Paid-in</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Treasury</w:t>
            </w: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Treasury</w:t>
            </w:r>
          </w:p>
        </w:tc>
        <w:tc>
          <w:tcPr>
            <w:tcW w:w="1020" w:type="dxa"/>
            <w:vAlign w:val="bottom"/>
            <w:gridSpan w:val="3"/>
          </w:tcPr>
          <w:p>
            <w:pPr>
              <w:ind w:left="6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Interests in</w:t>
            </w: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Capital</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Stock</w:t>
            </w:r>
          </w:p>
        </w:tc>
        <w:tc>
          <w:tcPr>
            <w:tcW w:w="1020" w:type="dxa"/>
            <w:vAlign w:val="bottom"/>
            <w:gridSpan w:val="3"/>
          </w:tcPr>
          <w:p>
            <w:pPr>
              <w:ind w:left="60"/>
              <w:spacing w:after="0"/>
              <w:rPr>
                <w:sz w:val="20"/>
                <w:szCs w:val="20"/>
                <w:color w:val="auto"/>
              </w:rPr>
            </w:pPr>
            <w:r>
              <w:rPr>
                <w:rFonts w:ascii="Arial" w:cs="Arial" w:eastAsia="Arial" w:hAnsi="Arial"/>
                <w:sz w:val="18"/>
                <w:szCs w:val="18"/>
                <w:b w:val="1"/>
                <w:bCs w:val="1"/>
                <w:color w:val="auto"/>
              </w:rPr>
              <w:t>Earnings</w:t>
            </w:r>
          </w:p>
        </w:tc>
        <w:tc>
          <w:tcPr>
            <w:tcW w:w="320" w:type="dxa"/>
            <w:vAlign w:val="bottom"/>
          </w:tcPr>
          <w:p>
            <w:pPr>
              <w:spacing w:after="0"/>
              <w:rPr>
                <w:sz w:val="20"/>
                <w:szCs w:val="20"/>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17,671,356</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381,459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689,854</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rPr>
              <w:t>Distributions to</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(132,047)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(133,150)</w:t>
            </w:r>
          </w:p>
        </w:tc>
        <w:tc>
          <w:tcPr>
            <w:tcW w:w="0" w:type="dxa"/>
            <w:vAlign w:val="bottom"/>
          </w:tcPr>
          <w:p>
            <w:pPr>
              <w:spacing w:after="0"/>
              <w:rPr>
                <w:sz w:val="1"/>
                <w:szCs w:val="1"/>
                <w:color w:val="auto"/>
              </w:rPr>
            </w:pPr>
          </w:p>
        </w:tc>
      </w:tr>
      <w:tr>
        <w:trPr>
          <w:trHeight w:val="216"/>
        </w:trPr>
        <w:tc>
          <w:tcPr>
            <w:tcW w:w="2340" w:type="dxa"/>
            <w:vAlign w:val="bottom"/>
          </w:tcPr>
          <w:p>
            <w:pPr>
              <w:ind w:left="340"/>
              <w:spacing w:after="0"/>
              <w:rPr>
                <w:sz w:val="20"/>
                <w:szCs w:val="20"/>
                <w:color w:val="auto"/>
              </w:rPr>
            </w:pPr>
            <w:r>
              <w:rPr>
                <w:rFonts w:ascii="Arial" w:cs="Arial" w:eastAsia="Arial" w:hAnsi="Arial"/>
                <w:sz w:val="18"/>
                <w:szCs w:val="18"/>
                <w:color w:val="auto"/>
                <w:w w:val="94"/>
              </w:rPr>
              <w:t>Other comprehensive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17,671,356</w:t>
            </w:r>
          </w:p>
        </w:tc>
        <w:tc>
          <w:tcPr>
            <w:tcW w:w="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249,412</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550,155</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rPr>
              <w:t>Distribution of SEACOR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340"/>
              <w:spacing w:after="0"/>
              <w:rPr>
                <w:sz w:val="20"/>
                <w:szCs w:val="20"/>
                <w:color w:val="auto"/>
              </w:rPr>
            </w:pPr>
            <w:r>
              <w:rPr>
                <w:rFonts w:ascii="Arial" w:cs="Arial" w:eastAsia="Arial" w:hAnsi="Arial"/>
                <w:sz w:val="18"/>
                <w:szCs w:val="18"/>
                <w:color w:val="auto"/>
                <w:w w:val="98"/>
              </w:rPr>
              <w:t>Marine restricted stock to</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340"/>
              <w:spacing w:after="0"/>
              <w:rPr>
                <w:sz w:val="20"/>
                <w:szCs w:val="20"/>
                <w:color w:val="auto"/>
              </w:rPr>
            </w:pPr>
            <w:r>
              <w:rPr>
                <w:rFonts w:ascii="Arial" w:cs="Arial" w:eastAsia="Arial" w:hAnsi="Arial"/>
                <w:sz w:val="18"/>
                <w:szCs w:val="18"/>
                <w:color w:val="auto"/>
              </w:rPr>
              <w:t>Company personnel by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340"/>
              <w:spacing w:after="0"/>
              <w:rPr>
                <w:sz w:val="20"/>
                <w:szCs w:val="20"/>
                <w:color w:val="auto"/>
              </w:rPr>
            </w:pPr>
            <w:r>
              <w:rPr>
                <w:rFonts w:ascii="Arial" w:cs="Arial" w:eastAsia="Arial" w:hAnsi="Arial"/>
                <w:sz w:val="18"/>
                <w:szCs w:val="18"/>
                <w:color w:val="auto"/>
              </w:rPr>
              <w:t>SEACOR Holdings</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 share awards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w w:val="97"/>
              </w:rPr>
              <w:t>Amortization of employee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share awards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Purchase of subsidiary</w:t>
            </w: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shares from noncontrolling</w:t>
            </w:r>
          </w:p>
        </w:tc>
        <w:tc>
          <w:tcPr>
            <w:tcW w:w="8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 net of tax</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(2,579)</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rPr>
              <w:t>Consolidation of 50% or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less owned companies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17,374</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17,374</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(32,901)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(38,540)</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rPr>
              <w:t>Other comprehensive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7"/>
                <w:szCs w:val="17"/>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7"/>
        </w:trPr>
        <w:tc>
          <w:tcPr>
            <w:tcW w:w="2340" w:type="dxa"/>
            <w:vAlign w:val="bottom"/>
          </w:tcPr>
          <w:p>
            <w:pPr>
              <w:spacing w:after="0"/>
              <w:rPr>
                <w:sz w:val="20"/>
                <w:szCs w:val="20"/>
                <w:color w:val="auto"/>
              </w:rPr>
            </w:pPr>
            <w:r>
              <w:rPr>
                <w:rFonts w:ascii="Arial" w:cs="Arial" w:eastAsia="Arial" w:hAnsi="Arial"/>
                <w:sz w:val="18"/>
                <w:szCs w:val="18"/>
                <w:color w:val="auto"/>
              </w:rPr>
              <w:t>income (loss)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17,675,356</w:t>
            </w:r>
          </w:p>
        </w:tc>
        <w:tc>
          <w:tcPr>
            <w:tcW w:w="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303,996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216,511</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14,975</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523,166</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rPr>
              <w:t>Impact of adoption of</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(12,069)</w:t>
            </w:r>
          </w:p>
        </w:tc>
        <w:tc>
          <w:tcPr>
            <w:tcW w:w="320" w:type="dxa"/>
            <w:vAlign w:val="bottom"/>
          </w:tcPr>
          <w:p>
            <w:pPr>
              <w:spacing w:after="0"/>
              <w:rPr>
                <w:sz w:val="17"/>
                <w:szCs w:val="17"/>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17"/>
        </w:trPr>
        <w:tc>
          <w:tcPr>
            <w:tcW w:w="2340" w:type="dxa"/>
            <w:vAlign w:val="bottom"/>
          </w:tcPr>
          <w:p>
            <w:pPr>
              <w:spacing w:after="0"/>
              <w:rPr>
                <w:sz w:val="20"/>
                <w:szCs w:val="20"/>
                <w:color w:val="auto"/>
              </w:rPr>
            </w:pPr>
            <w:r>
              <w:rPr>
                <w:rFonts w:ascii="Arial" w:cs="Arial" w:eastAsia="Arial" w:hAnsi="Arial"/>
                <w:sz w:val="18"/>
                <w:szCs w:val="18"/>
                <w:color w:val="auto"/>
              </w:rPr>
              <w:t>accounting principle</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 as adjusted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17,675,356</w:t>
            </w:r>
          </w:p>
        </w:tc>
        <w:tc>
          <w:tcPr>
            <w:tcW w:w="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303,996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204,442</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14,975</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511,097</w:t>
            </w:r>
          </w:p>
        </w:tc>
        <w:tc>
          <w:tcPr>
            <w:tcW w:w="0" w:type="dxa"/>
            <w:vAlign w:val="bottom"/>
          </w:tcPr>
          <w:p>
            <w:pPr>
              <w:spacing w:after="0"/>
              <w:rPr>
                <w:sz w:val="1"/>
                <w:szCs w:val="1"/>
                <w:color w:val="auto"/>
              </w:rPr>
            </w:pPr>
          </w:p>
        </w:tc>
      </w:tr>
      <w:tr>
        <w:trPr>
          <w:trHeight w:val="216"/>
        </w:trPr>
        <w:tc>
          <w:tcPr>
            <w:tcW w:w="2340" w:type="dxa"/>
            <w:vAlign w:val="bottom"/>
          </w:tcPr>
          <w:p>
            <w:pPr>
              <w:ind w:left="340"/>
              <w:spacing w:after="0"/>
              <w:rPr>
                <w:sz w:val="20"/>
                <w:szCs w:val="20"/>
                <w:color w:val="auto"/>
              </w:rPr>
            </w:pPr>
            <w:r>
              <w:rPr>
                <w:rFonts w:ascii="Arial" w:cs="Arial" w:eastAsia="Arial" w:hAnsi="Arial"/>
                <w:sz w:val="18"/>
                <w:szCs w:val="18"/>
                <w:color w:val="auto"/>
                <w:w w:val="89"/>
              </w:rPr>
              <w:t>Issuance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2,291,084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42,973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42,996</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62,809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62,809</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w w:val="97"/>
              </w:rPr>
              <w:t>Amortization of employee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share awards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3,494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66,625</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340" w:type="dxa"/>
            <w:vAlign w:val="bottom"/>
          </w:tcPr>
          <w:p>
            <w:pPr>
              <w:ind w:left="340"/>
              <w:spacing w:after="0"/>
              <w:rPr>
                <w:sz w:val="20"/>
                <w:szCs w:val="20"/>
                <w:color w:val="auto"/>
              </w:rPr>
            </w:pPr>
            <w:r>
              <w:rPr>
                <w:rFonts w:ascii="Arial" w:cs="Arial" w:eastAsia="Arial" w:hAnsi="Arial"/>
                <w:sz w:val="18"/>
                <w:szCs w:val="18"/>
                <w:color w:val="auto"/>
              </w:rPr>
              <w:t>Exercise of Warrants</w:t>
            </w:r>
          </w:p>
        </w:tc>
        <w:tc>
          <w:tcPr>
            <w:tcW w:w="820" w:type="dxa"/>
            <w:vAlign w:val="bottom"/>
          </w:tcPr>
          <w:p>
            <w:pPr>
              <w:jc w:val="right"/>
              <w:spacing w:after="0"/>
              <w:rPr>
                <w:sz w:val="20"/>
                <w:szCs w:val="20"/>
                <w:color w:val="auto"/>
              </w:rPr>
            </w:pPr>
            <w:r>
              <w:rPr>
                <w:rFonts w:ascii="Arial" w:cs="Arial" w:eastAsia="Arial" w:hAnsi="Arial"/>
                <w:sz w:val="18"/>
                <w:szCs w:val="18"/>
                <w:color w:val="auto"/>
              </w:rPr>
              <w:t>289,442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vesting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116,701</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340" w:type="dxa"/>
            <w:vAlign w:val="bottom"/>
          </w:tcPr>
          <w:p>
            <w:pPr>
              <w:ind w:left="340"/>
              <w:spacing w:after="0"/>
              <w:rPr>
                <w:sz w:val="20"/>
                <w:szCs w:val="20"/>
                <w:color w:val="auto"/>
              </w:rPr>
            </w:pPr>
            <w:r>
              <w:rPr>
                <w:rFonts w:ascii="Arial" w:cs="Arial" w:eastAsia="Arial" w:hAnsi="Arial"/>
                <w:sz w:val="18"/>
                <w:szCs w:val="18"/>
                <w:color w:val="auto"/>
              </w:rPr>
              <w:t>Director share awards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Acquisition of consolidated</w:t>
            </w: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(12,037)</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(12,037)</w:t>
            </w:r>
          </w:p>
        </w:tc>
        <w:tc>
          <w:tcPr>
            <w:tcW w:w="0" w:type="dxa"/>
            <w:vAlign w:val="bottom"/>
          </w:tcPr>
          <w:p>
            <w:pPr>
              <w:spacing w:after="0"/>
              <w:rPr>
                <w:sz w:val="1"/>
                <w:szCs w:val="1"/>
                <w:color w:val="auto"/>
              </w:rPr>
            </w:pPr>
          </w:p>
        </w:tc>
      </w:tr>
      <w:tr>
        <w:trPr>
          <w:trHeight w:val="202"/>
        </w:trPr>
        <w:tc>
          <w:tcPr>
            <w:tcW w:w="2340" w:type="dxa"/>
            <w:vAlign w:val="bottom"/>
          </w:tcPr>
          <w:p>
            <w:pPr>
              <w:ind w:left="340"/>
              <w:spacing w:after="0" w:line="201" w:lineRule="exact"/>
              <w:rPr>
                <w:sz w:val="20"/>
                <w:szCs w:val="20"/>
                <w:color w:val="auto"/>
              </w:rPr>
            </w:pPr>
            <w:r>
              <w:rPr>
                <w:rFonts w:ascii="Arial" w:cs="Arial" w:eastAsia="Arial" w:hAnsi="Arial"/>
                <w:sz w:val="18"/>
                <w:szCs w:val="18"/>
                <w:color w:val="auto"/>
                <w:w w:val="94"/>
              </w:rPr>
              <w:t>Issuance of noncontrolling</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31,010</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31,385</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(77,608)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(82,052)</w:t>
            </w:r>
          </w:p>
        </w:tc>
        <w:tc>
          <w:tcPr>
            <w:tcW w:w="0" w:type="dxa"/>
            <w:vAlign w:val="bottom"/>
          </w:tcPr>
          <w:p>
            <w:pPr>
              <w:spacing w:after="0"/>
              <w:rPr>
                <w:sz w:val="1"/>
                <w:szCs w:val="1"/>
                <w:color w:val="auto"/>
              </w:rPr>
            </w:pPr>
          </w:p>
        </w:tc>
      </w:tr>
      <w:tr>
        <w:trPr>
          <w:trHeight w:val="216"/>
        </w:trPr>
        <w:tc>
          <w:tcPr>
            <w:tcW w:w="2340" w:type="dxa"/>
            <w:vAlign w:val="bottom"/>
          </w:tcPr>
          <w:p>
            <w:pPr>
              <w:ind w:left="340"/>
              <w:spacing w:after="0"/>
              <w:rPr>
                <w:sz w:val="20"/>
                <w:szCs w:val="20"/>
                <w:color w:val="auto"/>
              </w:rPr>
            </w:pPr>
            <w:r>
              <w:rPr>
                <w:rFonts w:ascii="Arial" w:cs="Arial" w:eastAsia="Arial" w:hAnsi="Arial"/>
                <w:sz w:val="18"/>
                <w:szCs w:val="18"/>
                <w:color w:val="auto"/>
                <w:w w:val="94"/>
              </w:rPr>
              <w:t>Other comprehensive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Year Ended December 31,</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20,439,208</w:t>
            </w:r>
          </w:p>
        </w:tc>
        <w:tc>
          <w:tcPr>
            <w:tcW w:w="80" w:type="dxa"/>
            <w:vAlign w:val="bottom"/>
            <w:tcBorders>
              <w:left w:val="single" w:sz="8" w:color="CCEEFF"/>
            </w:tcBorders>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left w:val="single" w:sz="8" w:color="CCEEFF"/>
            </w:tcBorders>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415,372</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8"/>
              </w:rPr>
              <w:t>126,834</w:t>
            </w:r>
          </w:p>
        </w:tc>
        <w:tc>
          <w:tcPr>
            <w:tcW w:w="3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(16,788)</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29,404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554,935</w:t>
            </w:r>
          </w:p>
        </w:tc>
        <w:tc>
          <w:tcPr>
            <w:tcW w:w="0" w:type="dxa"/>
            <w:vAlign w:val="bottom"/>
          </w:tcPr>
          <w:p>
            <w:pPr>
              <w:spacing w:after="0"/>
              <w:rPr>
                <w:sz w:val="1"/>
                <w:szCs w:val="1"/>
                <w:color w:val="auto"/>
              </w:rPr>
            </w:pPr>
          </w:p>
        </w:tc>
      </w:tr>
      <w:tr>
        <w:trPr>
          <w:trHeight w:val="214"/>
        </w:trPr>
        <w:tc>
          <w:tcPr>
            <w:tcW w:w="23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2018</w:t>
            </w:r>
          </w:p>
        </w:tc>
        <w:tc>
          <w:tcPr>
            <w:tcW w:w="820" w:type="dxa"/>
            <w:vAlign w:val="bottom"/>
            <w:vMerge w:val="continue"/>
            <w:shd w:val="clear" w:color="auto" w:fill="CCEEFF"/>
          </w:tcPr>
          <w:p>
            <w:pPr>
              <w:spacing w:after="0"/>
              <w:rPr>
                <w:sz w:val="18"/>
                <w:szCs w:val="18"/>
                <w:color w:val="auto"/>
              </w:rPr>
            </w:pPr>
          </w:p>
        </w:tc>
        <w:tc>
          <w:tcPr>
            <w:tcW w:w="80" w:type="dxa"/>
            <w:vAlign w:val="bottom"/>
            <w:tcBorders>
              <w:left w:val="single" w:sz="8" w:color="CCEEFF"/>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 and should be read in conjunction herewith.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(82,052)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(38,540)</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Adjustments to reconcile net loss to net cash (used in) provided by operating</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62,779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financing cost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Amortization of deferred gains against charter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(8,118)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Debt discount and issue cost amortization,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Director share awards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Restricted stock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Restricted stock vesting</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Bad debt (recoveries)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Losses on asset dispositions and impairments,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23,547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 from other sales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Marketable security (gains) losses,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(10,931)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Proceeds from sale of marketable securities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51,877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Derivative (gains),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Cash settlements on derivative transactions,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losses,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(22,737)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(61,006)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Equity in (earnings) losses of 50% or less owned companies, net of tax</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Dividends received from 50% or less owned companies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(Increase) decrease in receivables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28,937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Decrease (increase) in prepaid expenses and 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7"/>
              </w:rPr>
              <w:t>Decrease in accounts payable, accrued expenses and other liabilities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28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(53,025)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34,739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(69,021)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settlements on derivative transactions,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Proceeds from disposition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10,843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of subsidiary to joint venture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Investments in and advances to 50% or less owned companies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(5,469)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Return of investments and advances from 50% or less owned companies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Capital distributions from equity investees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received on third-party leases and notes receivable,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decrease in construction reserve funds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32,848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notes due from equity investees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Cash assumed on consolidation of 50% or less owned companies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Business acquisitions, net of cash acquired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(31,423)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Payments on long-term debt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(11,926)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long-term debt, net of issue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 and warrants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Distribution of SEACOR Marine restricted stock to Company personnel by</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SEACOR Holdings</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Issuance of stock</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warrants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Purchase of subsidiary shares from noncontrolling interests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(3,693)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4"/>
              </w:rPr>
              <w:t>Effects of Exchange Rate Changes on Cash, Cash Equivalents and Restricted Cash</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(15,699)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(6,220)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96,852</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112,551</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707" w:gutter="0" w:footer="0" w:header="0"/>
        </w:sectPr>
      </w:pPr>
    </w:p>
    <w:p>
      <w:pPr>
        <w:spacing w:after="0" w:line="2" w:lineRule="exact"/>
        <w:rPr>
          <w:sz w:val="20"/>
          <w:szCs w:val="20"/>
          <w:color w:val="auto"/>
        </w:rPr>
      </w:pPr>
    </w:p>
    <w:p>
      <w:pPr>
        <w:jc w:val="center"/>
        <w:ind w:left="1000" w:right="980"/>
        <w:spacing w:after="0" w:line="277" w:lineRule="auto"/>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07" w:gutter="0" w:footer="0" w:header="0"/>
          <w:type w:val="continuous"/>
        </w:sectPr>
      </w:pPr>
    </w:p>
    <w:bookmarkStart w:id="84" w:name="page85"/>
    <w:bookmarkEnd w:id="8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ACCOUNTING POLICIES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Nature of Operations and Segmentation. </w:t>
      </w:r>
      <w:r>
        <w:rPr>
          <w:rFonts w:ascii="Arial" w:cs="Arial" w:eastAsia="Arial" w:hAnsi="Arial"/>
          <w:sz w:val="18"/>
          <w:szCs w:val="18"/>
          <w:color w:val="auto"/>
        </w:rPr>
        <w:t>The consolidated financial statements include the accounts of SEACOR Marine and its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(collectively referred to as the "Company"). The Company provides global marine and support transportation services to offshore oil, natural gas and windfarm facilities worldwide. The Company and its joint ventures operate a diverse fleet of offshore support and specialty vessels that (i) deliver cargo and personnel to offshore installations, (ii) handle anchors and mooring equipment required to tether rigs to the seabed, (iii) tow rigs and assist in placing them on location and moving them between regions, (iv) provide construction, well work-over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 The Company's fleet also features crew transfer vessels used primarily in windfarm operations.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standards require public business enterprises to report information about each of their operating business segments that exceed certain quantitative thresholds or meet certain other reporting requirements. Operating business segments have been defined as a component of an enterprise about which separate financial information is available and is evaluated regularly by the chief operating decision maker in assessing performance. The Company has identified the following five principal geographic regions as its reporting segments:</w:t>
      </w:r>
    </w:p>
    <w:p>
      <w:pPr>
        <w:spacing w:after="0" w:line="183"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 xml:space="preserve">United States, primarily Gulf of Mexico. </w:t>
      </w:r>
      <w:r>
        <w:rPr>
          <w:rFonts w:ascii="Arial" w:cs="Arial" w:eastAsia="Arial" w:hAnsi="Arial"/>
          <w:sz w:val="18"/>
          <w:szCs w:val="18"/>
          <w:color w:val="auto"/>
        </w:rPr>
        <w:t>The Company's vessels in this market support deepwater anchor handling, fast cargo transport,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cargo transport, well intervention, work-over, decommissioning, and diving operations.</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Africa, primarily West Africa. </w:t>
      </w:r>
      <w:r>
        <w:rPr>
          <w:rFonts w:ascii="Arial" w:cs="Arial" w:eastAsia="Arial" w:hAnsi="Arial"/>
          <w:sz w:val="17"/>
          <w:szCs w:val="17"/>
          <w:color w:val="auto"/>
        </w:rPr>
        <w:t>The Company's vessels in this area generally support projects for major oil companies, primarily in Angola.</w:t>
      </w:r>
    </w:p>
    <w:p>
      <w:pPr>
        <w:spacing w:after="0" w:line="237"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8"/>
          <w:szCs w:val="18"/>
          <w:b w:val="1"/>
          <w:bCs w:val="1"/>
          <w:color w:val="auto"/>
        </w:rPr>
        <w:t xml:space="preserve">Middle East and Asia. </w:t>
      </w:r>
      <w:r>
        <w:rPr>
          <w:rFonts w:ascii="Arial" w:cs="Arial" w:eastAsia="Arial" w:hAnsi="Arial"/>
          <w:sz w:val="18"/>
          <w:szCs w:val="18"/>
          <w:color w:val="auto"/>
        </w:rPr>
        <w:t>The Company's vessels in this area generally support exploration, personnel transport and seasonal construction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Egypt, Israel, Malaysia, Vietnam, Thailand and countries along the Arabian Gulf and Arabian Sea, such as Saudi Arabia, the United Arab Emirates and Qatar.</w:t>
      </w:r>
    </w:p>
    <w:p>
      <w:pPr>
        <w:spacing w:after="0" w:line="176" w:lineRule="exact"/>
        <w:rPr>
          <w:sz w:val="20"/>
          <w:szCs w:val="20"/>
          <w:color w:val="auto"/>
        </w:rPr>
      </w:pPr>
    </w:p>
    <w:p>
      <w:pPr>
        <w:jc w:val="both"/>
        <w:ind w:firstLine="810"/>
        <w:spacing w:after="0" w:line="258" w:lineRule="auto"/>
        <w:rPr>
          <w:sz w:val="20"/>
          <w:szCs w:val="20"/>
          <w:color w:val="auto"/>
        </w:rPr>
      </w:pPr>
      <w:r>
        <w:rPr>
          <w:rFonts w:ascii="Arial" w:cs="Arial" w:eastAsia="Arial" w:hAnsi="Arial"/>
          <w:sz w:val="18"/>
          <w:szCs w:val="18"/>
          <w:b w:val="1"/>
          <w:bCs w:val="1"/>
          <w:color w:val="auto"/>
        </w:rPr>
        <w:t xml:space="preserve">Brazil, Mexico, Central and South America. </w:t>
      </w:r>
      <w:r>
        <w:rPr>
          <w:rFonts w:ascii="Arial" w:cs="Arial" w:eastAsia="Arial" w:hAnsi="Arial"/>
          <w:sz w:val="18"/>
          <w:szCs w:val="18"/>
          <w:color w:val="auto"/>
        </w:rPr>
        <w:t>As of December 31, 2018, 34 vessels were located in this region, including seven owned and 27</w:t>
      </w:r>
      <w:r>
        <w:rPr>
          <w:rFonts w:ascii="Arial" w:cs="Arial" w:eastAsia="Arial" w:hAnsi="Arial"/>
          <w:sz w:val="18"/>
          <w:szCs w:val="18"/>
          <w:b w:val="1"/>
          <w:bCs w:val="1"/>
          <w:color w:val="auto"/>
        </w:rPr>
        <w:t xml:space="preserve"> </w:t>
      </w:r>
      <w:r>
        <w:rPr>
          <w:rFonts w:ascii="Arial" w:cs="Arial" w:eastAsia="Arial" w:hAnsi="Arial"/>
          <w:sz w:val="18"/>
          <w:szCs w:val="18"/>
          <w:color w:val="auto"/>
        </w:rPr>
        <w:t>joint-ventured through the Company's 49% noncontrolling interest in Mantenimiento Express Maritimo, S.A.P.I. de C.V. ("MexMar") and through a subsidiary of the Company's 49% noncontrolling interest in MEXMAR Offshore International LLC ("MEXMAR Offshore"). These vessels, consisting of a fleet of FSVs, supply, specialty and liftboat vessels, provide support for exploration and production activities in Mexico, Brazil and Guyana. From time to time, the Company's vessels work in Trinidad and Tobago, Colombia and Venezuela.</w:t>
      </w:r>
    </w:p>
    <w:p>
      <w:pPr>
        <w:spacing w:after="0" w:line="184" w:lineRule="exact"/>
        <w:rPr>
          <w:sz w:val="20"/>
          <w:szCs w:val="20"/>
          <w:color w:val="auto"/>
        </w:rPr>
      </w:pPr>
    </w:p>
    <w:p>
      <w:pPr>
        <w:jc w:val="both"/>
        <w:ind w:firstLine="810"/>
        <w:spacing w:after="0" w:line="261" w:lineRule="auto"/>
        <w:rPr>
          <w:sz w:val="20"/>
          <w:szCs w:val="20"/>
          <w:color w:val="auto"/>
        </w:rPr>
      </w:pPr>
      <w:r>
        <w:rPr>
          <w:rFonts w:ascii="Arial" w:cs="Arial" w:eastAsia="Arial" w:hAnsi="Arial"/>
          <w:sz w:val="18"/>
          <w:szCs w:val="18"/>
          <w:b w:val="1"/>
          <w:bCs w:val="1"/>
          <w:color w:val="auto"/>
        </w:rPr>
        <w:t xml:space="preserve">Europe, primarily North Sea. </w:t>
      </w:r>
      <w:r>
        <w:rPr>
          <w:rFonts w:ascii="Arial" w:cs="Arial" w:eastAsia="Arial" w:hAnsi="Arial"/>
          <w:sz w:val="18"/>
          <w:szCs w:val="18"/>
          <w:color w:val="auto"/>
        </w:rPr>
        <w:t>Demand for standby services developed in 1991 after the United Kingdom passed legislation requiring offshore</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operators to maintain higher specification standby safety vessels. The legislation requires a vessel to "stand by" to provide a means of evacuation and rescue for platform and rig personnel in the event of an emergency at an offshore installation. In addition, 40 vessels were located in this region supporting the construction and maintenance of offshore wind turbines, including 36 owned four joint-ventured.</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The Spin-off. </w:t>
      </w:r>
      <w:r>
        <w:rPr>
          <w:rFonts w:ascii="Arial" w:cs="Arial" w:eastAsia="Arial" w:hAnsi="Arial"/>
          <w:sz w:val="16"/>
          <w:szCs w:val="16"/>
          <w:color w:val="auto"/>
        </w:rPr>
        <w:t>SEACOR Marine was previously a subsidiary of SEACOR Holdings Inc. (along with its consolidated subsidiaries,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deemed to exist if the Company has greater than 50% of the voting rights of a subsidiary. All significant intercompany accounts and transactions are eliminated in the combination and consolidation.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ectPr>
          <w:pgSz w:w="11900" w:h="16838" w:orient="portrait"/>
          <w:cols w:equalWidth="0" w:num="1">
            <w:col w:w="11420"/>
          </w:cols>
          <w:pgMar w:left="240" w:top="118" w:right="239" w:bottom="136"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36" w:gutter="0" w:footer="0" w:header="0"/>
          <w:type w:val="continuous"/>
        </w:sectPr>
      </w:pPr>
    </w:p>
    <w:bookmarkStart w:id="85" w:name="page86"/>
    <w:bookmarkEnd w:id="8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Company contracts with various customers to carry out management services for vessels as agents for and on behalf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recognized revenue over the term of the contact while related costs are expensed as incurred (see Note 18).</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that does not meet these criteria is deferred until the criteria is met and such revenue is considered a contract liability. Contract liabilities, which are included in other current liabilities in the accompanying consolidated balance sheets, for the years ended December 31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10,104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Revenues deferred during the year</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 recognized during the year</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1,327</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10,104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6,953</w:t>
            </w:r>
          </w:p>
        </w:tc>
      </w:tr>
      <w:tr>
        <w:trPr>
          <w:trHeight w:val="20"/>
        </w:trPr>
        <w:tc>
          <w:tcPr>
            <w:tcW w:w="6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the Company recognized deferred revenues of $6.8 million related to the time charter of several offshore support vessels scheduled to be paid through the conveyance of an overriding royalty interest (the "Conveyance") in developmental oil and natural gas producing properties operated by a customer in the U.S. Gulf of Mexico. Payments under the Conveyance, and the timing of such payments, were contingent upon production and energy sale prices. On August 17, 2012, the customer filed a voluntary petition for Chapter 11 bankruptcy. The Company recognized these revenues in the quarter ending December 31, 2018 after receiving notification of a judgment in its favor. All costs and expenses related to these charters were recognized as incurred.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as of December 31, 2018, the Company deferred revenues of $1.3 million related to the time charter of offshore support vessels to customers from which collection was not reasonably assured. The Company will recognize revenues when collected or when collection is reasonably assured under ASC 606, with no right of return. All costs and expenses related to these charters were recognized as incurred.</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 From time to time, the Company may also participate in pooling arrangements. In a pooling arrangement, the time charter revenues of certain of the Company's vessels are shared with the time charter revenues of certain vessels of similar type owned by non-affiliated vessel owners based upon an agreed formula.</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Contract or charter durations may range from several days to several years. Longer duration charters are more common where equipment is not as readily available or specific equipment is required. In the North Sea, multi-year charters have been more common and constitute a significant portion of the North Sea market. Time charters in Asia have historically been less common and generally contracts or charters have terms of less than two years. In the Company's other operating areas,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The Company considers all highly liquid investments with an original maturity of three months or less, when purchased,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Cash equivalents consist of U.S. treasury securities, money market instruments, time deposits and overnight investments.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primarily relates to banking facility requirements.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cash, cash equivalents and restricted cash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95,195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110,234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117,309</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Cash equivalents</w:t>
            </w: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8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96,852</w:t>
            </w:r>
          </w:p>
        </w:tc>
        <w:tc>
          <w:tcPr>
            <w:tcW w:w="220" w:type="dxa"/>
            <w:vAlign w:val="bottom"/>
          </w:tcPr>
          <w:p>
            <w:pPr>
              <w:spacing w:after="0"/>
              <w:rPr>
                <w:sz w:val="18"/>
                <w:szCs w:val="18"/>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112,551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118,771</w:t>
            </w:r>
          </w:p>
        </w:tc>
      </w:tr>
      <w:tr>
        <w:trPr>
          <w:trHeight w:val="20"/>
        </w:trPr>
        <w:tc>
          <w:tcPr>
            <w:tcW w:w="6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Marketable equity securities with readily determinable fair values and debt securities are reported in the accompanying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sheets as marketable securities. These investments are stated at fair value, as determined by their market observable prices, with both realized and unrealized gains and losses reported in the accompanying consolidated statements of loss as marketable security losses, net. Short sales of marketable securities are stated at fair value in the accompanying consolidated balance sheets with both realized and unrealized losses reported in the accompanying consolidated statements of loss as marketable security gains (losses), net. Marketable securities are classified as trading securities for financial reporting purposes with gains and losses reported as operating activities in the accompanying consolidated statements of cash flows.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probable doubtful accounts; however, those provisions are estimates and actual results may materially differ from those estimates. Trade receivables are deemed uncollectible and are removed from accounts receivable and the allowance for doubtful accounts when collection efforts have been exhausted.</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construction 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which consist of fuel and supplies, are stated at the lower of cost (using the first-in, first-out method) or market.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records write-downs, as needed, to adjust the carrying amount of inventories to the lower of cost or market. In the year ended December 31, 2018, the Company recorded $0.2 million in inventory reserves. There were no inventory reserves during the years ended December 31, 2017 and 2016.</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the Company's useful life policy, in which case the Company depreciates such vessels based on its best estimate of remaining useful life, typically the next regulatory survey or certification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Offshore Support Vessels:</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Crew transfer vessels</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 offshore support vessels (excluding crew transfer)</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60" w:type="dxa"/>
            <w:vAlign w:val="bottom"/>
            <w:gridSpan w:val="4"/>
          </w:tcPr>
          <w:p>
            <w:pPr>
              <w:jc w:val="right"/>
              <w:spacing w:after="0"/>
              <w:rPr>
                <w:sz w:val="20"/>
                <w:szCs w:val="20"/>
                <w:color w:val="auto"/>
              </w:rPr>
            </w:pPr>
            <w:r>
              <w:rPr>
                <w:rFonts w:ascii="Arial" w:cs="Arial" w:eastAsia="Arial" w:hAnsi="Arial"/>
                <w:sz w:val="18"/>
                <w:szCs w:val="18"/>
                <w:color w:val="auto"/>
                <w:w w:val="98"/>
              </w:rPr>
              <w:t>The Company's property and equipment as of December 31 was as follows (in thousands):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0"/>
              </w:rPr>
              <w:t xml:space="preserve">Historical Cost </w:t>
            </w:r>
            <w:r>
              <w:rPr>
                <w:rFonts w:ascii="Arial" w:cs="Arial" w:eastAsia="Arial" w:hAnsi="Arial"/>
                <w:sz w:val="30"/>
                <w:szCs w:val="30"/>
                <w:b w:val="1"/>
                <w:bCs w:val="1"/>
                <w:color w:val="auto"/>
                <w:w w:val="90"/>
                <w:vertAlign w:val="superscript"/>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Depreciation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Book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gridSpan w:val="2"/>
            <w:shd w:val="clear" w:color="auto" w:fill="CCEEFF"/>
          </w:tcPr>
          <w:p>
            <w:pPr>
              <w:jc w:val="right"/>
              <w:ind w:right="296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Offshore support vessels:</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AHTS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(168,731)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3"/>
          </w:tcPr>
          <w:p>
            <w:pPr>
              <w:spacing w:after="0" w:line="256" w:lineRule="exact"/>
              <w:rPr>
                <w:sz w:val="20"/>
                <w:szCs w:val="20"/>
                <w:color w:val="auto"/>
              </w:rPr>
            </w:pPr>
            <w:r>
              <w:rPr>
                <w:rFonts w:ascii="Arial" w:cs="Arial" w:eastAsia="Arial" w:hAnsi="Arial"/>
                <w:sz w:val="18"/>
                <w:szCs w:val="18"/>
                <w:color w:val="auto"/>
              </w:rPr>
              <w:t>FSV</w:t>
            </w:r>
            <w:r>
              <w:rPr>
                <w:rFonts w:ascii="Arial" w:cs="Arial" w:eastAsia="Arial" w:hAnsi="Arial"/>
                <w:sz w:val="29"/>
                <w:szCs w:val="29"/>
                <w:color w:val="auto"/>
                <w:vertAlign w:val="superscript"/>
              </w:rPr>
              <w:t>(2)</w:t>
            </w:r>
          </w:p>
        </w:tc>
        <w:tc>
          <w:tcPr>
            <w:tcW w:w="7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404,310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(98,580)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Supply</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Standby safety</w:t>
            </w: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(97,951)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Specialty</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Liftboats</w:t>
            </w: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329,473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(71,887)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Crew transfer</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General machinery and spares</w:t>
            </w: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8"/>
                <w:szCs w:val="28"/>
                <w:color w:val="auto"/>
                <w:vertAlign w:val="superscript"/>
              </w:rPr>
              <w:t>(3)</w:t>
            </w:r>
          </w:p>
        </w:tc>
        <w:tc>
          <w:tcPr>
            <w:tcW w:w="7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1,242,733</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(561,272)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681,461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tcBorders>
              <w:bottom w:val="single" w:sz="8" w:color="auto"/>
            </w:tcBorders>
            <w:gridSpan w:val="2"/>
            <w:shd w:val="clear" w:color="auto" w:fill="CCEEFF"/>
          </w:tcPr>
          <w:p>
            <w:pPr>
              <w:jc w:val="right"/>
              <w:ind w:right="296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Offshore support vessels:</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AHTS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(174,159)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3"/>
          </w:tcPr>
          <w:p>
            <w:pPr>
              <w:spacing w:after="0" w:line="256" w:lineRule="exact"/>
              <w:rPr>
                <w:sz w:val="20"/>
                <w:szCs w:val="20"/>
                <w:color w:val="auto"/>
              </w:rPr>
            </w:pPr>
            <w:r>
              <w:rPr>
                <w:rFonts w:ascii="Arial" w:cs="Arial" w:eastAsia="Arial" w:hAnsi="Arial"/>
                <w:sz w:val="18"/>
                <w:szCs w:val="18"/>
                <w:color w:val="auto"/>
              </w:rPr>
              <w:t>FSV</w:t>
            </w:r>
            <w:r>
              <w:rPr>
                <w:rFonts w:ascii="Arial" w:cs="Arial" w:eastAsia="Arial" w:hAnsi="Arial"/>
                <w:sz w:val="29"/>
                <w:szCs w:val="29"/>
                <w:color w:val="auto"/>
                <w:vertAlign w:val="superscript"/>
              </w:rPr>
              <w:t>(2)</w:t>
            </w:r>
          </w:p>
        </w:tc>
        <w:tc>
          <w:tcPr>
            <w:tcW w:w="7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424,865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(89,980)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Supply</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Standby safety</w:t>
            </w:r>
          </w:p>
        </w:tc>
        <w:tc>
          <w:tcPr>
            <w:tcW w:w="7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118,414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(97,603)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Specialty</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Liftboats</w:t>
            </w: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196,504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(54,161)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Crew transfer</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General machinery and spares</w:t>
            </w:r>
          </w:p>
        </w:tc>
        <w:tc>
          <w:tcPr>
            <w:tcW w:w="7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(13,244)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8"/>
                <w:szCs w:val="28"/>
                <w:color w:val="auto"/>
                <w:vertAlign w:val="superscript"/>
              </w:rPr>
              <w:t>(3)</w:t>
            </w:r>
          </w:p>
        </w:tc>
        <w:tc>
          <w:tcPr>
            <w:tcW w:w="7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1,179,836</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(560,160)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619,676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property and equipment acquired in business acquisitions at acquisition date fair value, and net of the impact of recognized impairment charges.</w:t>
      </w:r>
    </w:p>
    <w:p>
      <w:pPr>
        <w:ind w:left="660" w:hanging="652"/>
        <w:spacing w:after="0" w:line="221"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Fast support vessels ("FSVs").</w:t>
      </w:r>
    </w:p>
    <w:p>
      <w:pPr>
        <w:ind w:left="660" w:hanging="652"/>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land, buildings, leasehold improvements, vehicles and other property and equipment.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totaled $72.2 million, $62.8 million and $58.0 million in 2018, 2017 and 2016, respectively.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interest costs incurred during the construction of vessels are capitalized as part of the vessels' carrying values and are amortized over such vessels' estimated useful lives. Capitalized interest totaled $2.4 million, $3.6 million and $7.0 million in 2018, 2017 and 2016, respectively.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During the year ended December 31, 2016, the Company wrote-off its intangible assets as part of recognized impairment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associated with its liftboat fleet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 During the year ended 2016, the Company recognized amortization expense of $0.1 million.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difficult conditions experienced in the offshore oil and natural gas markets beginning in the second half of 2014 and the corresponding reductions in utilization and rates per day worked of its fleet, the Company identified indicators of impairment and recognized impairment charges primarily associated with its AHTS fleet, its liftboat fleet, certain specialty vessels, vessels removed from service and goodwill.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ectPr>
          <w:pgSz w:w="11900" w:h="16838" w:orient="portrait"/>
          <w:cols w:equalWidth="0" w:num="1">
            <w:col w:w="11420"/>
          </w:cols>
          <w:pgMar w:left="240" w:top="118" w:right="239" w:bottom="825"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25" w:gutter="0" w:footer="0" w:header="0"/>
          <w:type w:val="continuous"/>
        </w:sectPr>
      </w:pPr>
    </w:p>
    <w:bookmarkStart w:id="88" w:name="page89"/>
    <w:bookmarkEnd w:id="8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year ended December 31, 2018, the Company recorded non-cash impairment charges of $14.6 million primarily associated with its AHTS fleet (four owned vessels and three leased-in vessels) and one specialty vessel. During the year ended December 31, 2017, the Company recorded non-cash impairment charges of $27.5 million primarily associated with its AHTS vessels, one leased-in supply vessel removed from service as it is not expected to be marketed prior to the expiration of its lease, one owned FSV removed from service and two owned in-service specialty vessels. During the year ended December 31, 2016, the Company recorded non-cash impairment charges of $119.7 million primarily associated with its AHTS fleet, its liftboat fleet and one specialty vessel. Estimated fair values for the Company's owned vessels were established by independent appraisers and other market data such as recent sales of similar vessels (see Note 10). If market conditions further decline from the depressed utilization and rates per day worked experience over the last three years, fair values based on future appraisals could decline significantly.</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FSVs), vessels required for customers to meet regulatory mandates and operating under multiple year contracts (e.g., standby safety vessels) or vessels that service customers outside of the offshore oil and natural gas market (e.g., crew transfer vessels).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vessel classes and individual vessels with indicators of impairment but not recently impaired as of December 31, 2018, the Company has estimated that their future undiscounted cash flows exceed their current carrying values.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Impairment of 50% or Less Owned Companies. </w:t>
      </w:r>
      <w:r>
        <w:rPr>
          <w:rFonts w:ascii="Arial" w:cs="Arial" w:eastAsia="Arial" w:hAnsi="Arial"/>
          <w:sz w:val="18"/>
          <w:szCs w:val="18"/>
          <w:color w:val="auto"/>
        </w:rPr>
        <w:t>Investments in 50% or less owned companies are reviewed periodically to assess whether there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years ended December 31, 2018, 2017 and 2016, the Company recognized impairment charges of $1.2 million, $8.8 million and $6.9 million, respectively, net of tax, related to its 50% or less owned companies (see Note 4).</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The Company recognizes 100% of the fair value of assets acquired, liabilities assumed, and noncontrolling interests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 (see Note 2).</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Debt Discount and Issue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discounts and costs incurred in connection with the issuance of debt are amortized over the life of the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using the effective interest rate method for term loans and straight-line method for revolving credit facilities and are included in interest expense in the accompanying consolidated statements of loss.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Self-insurance Liabilities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maintains marine hull, liability and war risk, general liability, workers compensation and other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customary in the industry in which it operates. Both the marine hull and liability policies have annual aggregate deductibles. Marine hull annual aggregate deductibles are accrued as claims are incurred while marine liability annual aggregate deductibles are accrued based on historical loss experience. Exposure to the health benefit plans are limited by maintaining stop-loss and aggregate liability coverage. To the extent that estimated self-insurance losses, including the accrual of annual aggregate deductibles, differ from actual losses realized, the Company's insurance reserves could differ significantly and may result in either higher or lower insurance expense in future periods.</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 assets and liabilities have been provided in recognition of the income tax effect attributable to the book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Global Intangible Low Taxed Income ("GILTI") regime effectively imposes a minimum tax on worldwide foreign earnings and subjects U.S. shareholders of controlled foreign corporations ("CFCs") to current taxation on certain income earned through a CFC. The Company has made the policy election to record any liability, associated with GILTI in the period in which it is incurred.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Spin-off,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ectPr>
          <w:pgSz w:w="11900" w:h="16838" w:orient="portrait"/>
          <w:cols w:equalWidth="0" w:num="1">
            <w:col w:w="11420"/>
          </w:cols>
          <w:pgMar w:left="240" w:top="118"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89" w:name="page90"/>
    <w:bookmarkEnd w:id="8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Deferred Gains - Vessel Sale-Leaseback Transactions and Financed Vessel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time to time, the Company enters into vessel sale-leaseback transactions with finance companies or provides seller financing on sales of its vessels to third-parties or to 50% or less owned companies. A portion of the gains realized from these transactions is not immediately recognized in income but rather is recorded in the accompanying consolidated balance sheets in deferred gains and other liabilities. In sale-leaseback transactions, gains are deferred to the extent of the present value of future minimum lease payments and are amortized as reductions to rental expense over the applicable lease terms (see Note 6). When we determine that future cash inflows do not support future lease cash obligations, the Company records an impairment expense for the amount of the cash flow shortage of all future lease costs, costs to maintain the vessel to the end of the lease term, and costs to return the vessel to its owner, less the amount of any unamortized deferred gains. In financed vessel sales, gains are deferred to the extent that the repayment of purchase notes is dependent on the future operations of the sold vessels and are amortized based on cash received from the buyers. Deferred gain activity related to these transactions for the years ended December 31 was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23,553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32,035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40,234</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5"/>
              </w:rPr>
              <w:t>Amortization of deferred gains included in operating expenses as reduction to rental</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expense</w:t>
            </w:r>
          </w:p>
        </w:tc>
        <w:tc>
          <w:tcPr>
            <w:tcW w:w="9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(8,037)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(8,118)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(8,199)</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Recognition of deferred gains included in losses on asset dispositions and</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impairments, net</w:t>
            </w:r>
          </w:p>
        </w:tc>
        <w:tc>
          <w:tcPr>
            <w:tcW w:w="9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11,026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Deferred Gains - Vessel Sales to the Company's 50% or Less Owned Companies. </w:t>
      </w:r>
      <w:r>
        <w:rPr>
          <w:rFonts w:ascii="Arial" w:cs="Arial" w:eastAsia="Arial" w:hAnsi="Arial"/>
          <w:sz w:val="18"/>
          <w:szCs w:val="18"/>
          <w:color w:val="auto"/>
        </w:rPr>
        <w:t>A portion of the gains realized from non-financed sales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vessels to its 50% or less owned companies has been deferred and recorded in the accompanying consolidated balance sheets in deferred gains and other liabilities. In most instances, the sale of a Company vessel to a 50% or less owned company is considered a sale of a business in which the Company relinquishes control to its 50% or less owned company resulting in gain recognition; however, the Company defers gains to the extent of any uncalled capital commitment it has with the 50% or less owned company. Deferred gain activity related to these transactions for the years ended December 31 was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Amortization of deferred gains included in losses on asset dispositions and</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impairments, net</w:t>
            </w:r>
          </w:p>
        </w:tc>
        <w:tc>
          <w:tcPr>
            <w:tcW w:w="10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w:t>
            </w:r>
          </w:p>
        </w:tc>
      </w:tr>
      <w:tr>
        <w:trPr>
          <w:trHeight w:val="20"/>
        </w:trPr>
        <w:tc>
          <w:tcPr>
            <w:tcW w:w="64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8"/>
                <w:szCs w:val="18"/>
                <w:color w:val="auto"/>
              </w:rPr>
            </w:pPr>
          </w:p>
        </w:tc>
        <w:tc>
          <w:tcPr>
            <w:tcW w:w="10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1,453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r>
      <w:tr>
        <w:trPr>
          <w:trHeight w:val="20"/>
        </w:trPr>
        <w:tc>
          <w:tcPr>
            <w:tcW w:w="6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The assets, liabilities and results of operations of certain consolidated subsidiaries are measured using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currency, which is the currency of the primary foreign economic environment in which they operate. Upon consolidating these subsidiaries with the Company, their assets and liabilities are translated to U.S. dollars at currency exchange rates as of the consolidated balance sheet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Transactions. </w:t>
      </w:r>
      <w:r>
        <w:rPr>
          <w:rFonts w:ascii="Arial" w:cs="Arial" w:eastAsia="Arial" w:hAnsi="Arial"/>
          <w:sz w:val="18"/>
          <w:szCs w:val="18"/>
          <w:color w:val="auto"/>
        </w:rPr>
        <w:t>Certain consolidated subsidiaries enter into transactions denominated in currencies other than their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Gains and losses resulting from changes in currency exchange rates between the functional currency and the currency in which a transaction is denominated are included in foreign currency losses, net in the accompanying consolidated statements of loss in the period in which the currency exchange rates change.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380" w:type="dxa"/>
            <w:vAlign w:val="bottom"/>
            <w:gridSpan w:val="21"/>
          </w:tcPr>
          <w:p>
            <w:pPr>
              <w:ind w:left="640"/>
              <w:spacing w:after="0"/>
              <w:rPr>
                <w:sz w:val="20"/>
                <w:szCs w:val="20"/>
                <w:color w:val="auto"/>
              </w:rPr>
            </w:pPr>
            <w:r>
              <w:rPr>
                <w:rFonts w:ascii="Arial" w:cs="Arial" w:eastAsia="Arial" w:hAnsi="Arial"/>
                <w:sz w:val="18"/>
                <w:szCs w:val="18"/>
                <w:b w:val="1"/>
                <w:bCs w:val="1"/>
                <w:i w:val="1"/>
                <w:iCs w:val="1"/>
                <w:color w:val="auto"/>
                <w:w w:val="89"/>
              </w:rPr>
              <w:t xml:space="preserve">Accumulated Other Comprehensive Loss. </w:t>
            </w:r>
            <w:r>
              <w:rPr>
                <w:rFonts w:ascii="Arial" w:cs="Arial" w:eastAsia="Arial" w:hAnsi="Arial"/>
                <w:sz w:val="18"/>
                <w:szCs w:val="18"/>
                <w:color w:val="auto"/>
                <w:w w:val="89"/>
              </w:rPr>
              <w:t>The components of accumulated other comprehensive loss were as follows (in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9"/>
          </w:tcPr>
          <w:p>
            <w:pPr>
              <w:jc w:val="right"/>
              <w:ind w:right="320"/>
              <w:spacing w:after="0"/>
              <w:rPr>
                <w:sz w:val="20"/>
                <w:szCs w:val="20"/>
                <w:color w:val="auto"/>
              </w:rPr>
            </w:pPr>
            <w:r>
              <w:rPr>
                <w:rFonts w:ascii="Arial" w:cs="Arial" w:eastAsia="Arial" w:hAnsi="Arial"/>
                <w:sz w:val="18"/>
                <w:szCs w:val="18"/>
                <w:b w:val="1"/>
                <w:bCs w:val="1"/>
                <w:color w:val="auto"/>
                <w:w w:val="94"/>
              </w:rPr>
              <w:t>SEACOR Marine Holdings Inc. Stockholders'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9"/>
              </w:rPr>
              <w:t>Noncontrolling Interests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Derivative</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Foreign</w:t>
            </w: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(Losses) 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(Losses) 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Cash Flow</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Cash Flow</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Comprehensive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Hedges, net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Hedges, net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tcPr>
          <w:p>
            <w:pPr>
              <w:spacing w:after="0"/>
              <w:rPr>
                <w:sz w:val="20"/>
                <w:szCs w:val="20"/>
                <w:color w:val="auto"/>
              </w:rPr>
            </w:pPr>
            <w:r>
              <w:rPr>
                <w:rFonts w:ascii="Arial" w:cs="Arial" w:eastAsia="Arial" w:hAnsi="Arial"/>
                <w:sz w:val="18"/>
                <w:szCs w:val="18"/>
                <w:color w:val="auto"/>
              </w:rPr>
              <w:t>Year Ended December 31, 2016</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4,397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18</w:t>
            </w:r>
          </w:p>
        </w:tc>
        <w:tc>
          <w:tcPr>
            <w:tcW w:w="36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Income tax (expense)</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280" w:type="dxa"/>
            <w:vAlign w:val="bottom"/>
            <w:gridSpan w:val="2"/>
          </w:tcPr>
          <w:p>
            <w:pPr>
              <w:spacing w:after="0" w:line="196" w:lineRule="exact"/>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7"/>
                <w:szCs w:val="17"/>
                <w:color w:val="auto"/>
              </w:rPr>
            </w:pPr>
          </w:p>
        </w:tc>
        <w:tc>
          <w:tcPr>
            <w:tcW w:w="13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(2,277)</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(4,249)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tcPr>
          <w:p>
            <w:pPr>
              <w:spacing w:after="0"/>
              <w:rPr>
                <w:sz w:val="20"/>
                <w:szCs w:val="20"/>
                <w:color w:val="auto"/>
              </w:rPr>
            </w:pPr>
            <w:r>
              <w:rPr>
                <w:rFonts w:ascii="Arial" w:cs="Arial" w:eastAsia="Arial" w:hAnsi="Arial"/>
                <w:sz w:val="18"/>
                <w:szCs w:val="18"/>
                <w:color w:val="auto"/>
              </w:rPr>
              <w:t>Year Ended December 31, 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(16,788)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line="253"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year ended December 31, 2017, income tax expense included income tax provisions of $4.5 million recognized as a result of new U.S. tax legislation signed into law on December 22, 2017.</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Loss Per Share. </w:t>
      </w:r>
      <w:r>
        <w:rPr>
          <w:rFonts w:ascii="Arial" w:cs="Arial" w:eastAsia="Arial" w:hAnsi="Arial"/>
          <w:sz w:val="16"/>
          <w:szCs w:val="16"/>
          <w:color w:val="auto"/>
        </w:rPr>
        <w:t>Basic loss per common share of the Company is computed based on the weighted average number of common shares issued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during the relevant periods. Diluted loss per common share of the Company is computed based on the weighted average number of common shares issued and outstanding plus the effect of potentially dilutive securities through the application of the treasury stock and if-converted methods. Dilutive securities for this purpose assumes restricted stock grants have vested, common shares have been issued pursuant to the exercise of outstanding stock options and common shares have been issued pursuant to the conversion of the Convertible Senior Notes. For the years ended December 31, 2018, 2017 and 2016, diluted loss per common share of the Company excluded 2,183,708 shares, 4,070,500 shares and 4,070,500 shares, respectively, issuable upon the conversion of the Convertible Senior Notes as the effect of their inclusion in the computation would be anti-dilutive or were contingent upon the Spin-off. In addition, for the years ended December 31, 2018 and 2017, diluted loss per common share of the Company excluded 192,346 shares and 121,693 shares, respectively, of restricted stock and 805,566 and 613,700 outstanding stock options as the effect of their inclusion in the computation would be anti-dilutive.</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New Accounting Pronouncements. </w:t>
      </w:r>
      <w:r>
        <w:rPr>
          <w:rFonts w:ascii="Arial" w:cs="Arial" w:eastAsia="Arial" w:hAnsi="Arial"/>
          <w:sz w:val="17"/>
          <w:szCs w:val="17"/>
          <w:color w:val="auto"/>
        </w:rPr>
        <w:t>On May 28, 2014, the Financial Accounting Standards Board ("FASB") issued Accounting Standards Update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 clarify the principles for recognizing revenue and to develop a common revenue standard and disclosure requirements. The new standard supersedes current revenue recognition requirements and industry-specific guidance. Under the new standard, revenue is recognized when a customer obtains control of promised goods or services in an amount that reflects the consideration the entity expects to receive in exchange for those goods or services. The Company adopted this new standard on January 1, 2018 using the modified retrospective approach by recognizing the cumulative effect of initially applying the new standard as an adjustment to the opening balance of retained earnings. The Company implemented the necessary changes to its business processes, systems and controls to support recognition and disclosure of this ASU upon adoption. The Company's revenues are primarily based on leases or rental agreements with customers which are not addressed in the new standard. As a result, the adoption of the new accounting standard did not have a material effect on the Company's consolidated financial position, results of operations or cash flows, but did result in increased disclosures related to revenue recognition policies.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25, 2016, the FASB issued a comprehensive new leasing standard meant to improve transparency and comparability among companies by requiring lessees to recognize a lease liability and a corresponding lease asset for virtually all lease contracts. It also requires additional disclosures about leasing arrangements. The Company will adopt the new standard on January 1, 2019 and will apply the transition provisions of the new standard at its adoption date with recognition of a cumulative-effect adjustment to the opening balance of retained earnings. The adoption of the new standard will have a material impact on the Company's consolidated financial position, results of operations and cash flows. The adjustment to the Company's balance sheet on January 1, 2019 will include the addition of $33.9 million of right-of-use assets, $32.1 million in lease liability, and a cumulative-effect adjustment to the opening balance of retained earnings of $1.8 million for certain of its equipment, office and land leases. In addition, unamortized deferred gains for four vessels leased under sale-leaseback arrangements will be fully recognized as an adjustment to the opening balance of retained earnings of $8.7 million, net of tax.</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24, 2016, the FASB issued a new accounting standard, which requires companies to account for the income tax effects of intercompany sales and transfers of assets other than inventory. The Company adopted the new standard on January 1, 2018, resulting in a reduction of $12.1 million to the Company's opening retained earnings.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On August 28,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new guidance modifies the disclosure requirements related to fair value measurement. The new guidance is effective for fiscal years beginning after December 15, 2019. The effects of this standard on our financial position or reporting is not expected to be material.</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August 29, 2018, the FASB issued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The new guidance reduces complexity for the accounting for costs of implementing a cloud computing service arrangement and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For public companies, the amendments in this ASU are effective for fiscal years, and interim periods within those fiscal years, beginning after December 15, 2019, with early adoption permitted. Implementation should be applied either retrospectively or prospectively to all implementation cost incurred after the date of adoption. The effects of this standard on our financial position, results of operations or cash flows are not expected to be material.</w:t>
      </w:r>
    </w:p>
    <w:p>
      <w:pPr>
        <w:sectPr>
          <w:pgSz w:w="11900" w:h="16838" w:orient="portrait"/>
          <w:cols w:equalWidth="0" w:num="1">
            <w:col w:w="11420"/>
          </w:cols>
          <w:pgMar w:left="240" w:top="118" w:right="239" w:bottom="393"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93" w:gutter="0" w:footer="0" w:header="0"/>
          <w:type w:val="continuous"/>
        </w:sectPr>
      </w:pPr>
    </w:p>
    <w:bookmarkStart w:id="91" w:name="page92"/>
    <w:bookmarkEnd w:id="9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Falcon Global Holdings</w:t>
      </w:r>
      <w:r>
        <w:rPr>
          <w:rFonts w:ascii="Arial" w:cs="Arial" w:eastAsia="Arial" w:hAnsi="Arial"/>
          <w:sz w:val="17"/>
          <w:szCs w:val="17"/>
          <w:color w:val="auto"/>
        </w:rPr>
        <w:t>. On February 8, 2018, the Company acquired a 72% controlling interest in Falcon Global Holdings LLC ("FGH"), a joint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between the Company and Montco Offshore, LLC ("MOI"). The Company and MOI contributed certain liftboat vessels and other related assets to FGH and its designated subsidiaries and assumed certain operating liabilities and indebtedness associated with the liftboat vessels and related assets, including a previous joint venture ("Falcon Global International" or "FGI") that owned and operated two liftboats. The transaction consolidated the 15 liftboat vessels operated by the Company and six liftboat vessels previously operated by MOI. The total capital contributed to FGH was approximately $112.5 million of which, $43.3 million was transferred from FGI, $18.8 million was contributed by MOI and recorded at fair value, with the remaining capital contributed by the Company. The Company performed a fair value analysis and the purchase price was allocated to the acquired assets and liabilities based on their fair values resulting in no goodwill being recorded.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Sea-Cat Crewzer</w:t>
      </w:r>
      <w:r>
        <w:rPr>
          <w:rFonts w:ascii="Arial" w:cs="Arial" w:eastAsia="Arial" w:hAnsi="Arial"/>
          <w:sz w:val="18"/>
          <w:szCs w:val="18"/>
          <w:color w:val="auto"/>
        </w:rPr>
        <w:t>. On April 28, 2017, the Company acquired a 100% controlling interest in Sea-Cat Crewzer, which owns and operates two high-speed offshore catamarans, through the acquisition of its partners' 50% ownership interest for $4.4 million in cash (see Note 4). The Company performed a fair value analysis and the purchase price was allocated to the acquired assets and liabilities based on their fair values resulting in no goodwill being recorded.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Sea-Cat Crewzer II</w:t>
      </w:r>
      <w:r>
        <w:rPr>
          <w:rFonts w:ascii="Arial" w:cs="Arial" w:eastAsia="Arial" w:hAnsi="Arial"/>
          <w:sz w:val="18"/>
          <w:szCs w:val="18"/>
          <w:color w:val="auto"/>
        </w:rPr>
        <w:t>. On April 28, 2017, the Company acquired a 100% controlling interest in Sea-Cat Crewzer II, which owns and operates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high-speed offshore catamarans, through the acquisition of its partners' 50% ownership interest for $11.3 million in cash (see Note 4). The Company performed a fair value analysis and the purchase price was allocated to the acquired assets and liabilities based on their fair values resulting in no goodwill being recorded.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Purchase Price Allocation. </w:t>
      </w:r>
      <w:r>
        <w:rPr>
          <w:rFonts w:ascii="Arial" w:cs="Arial" w:eastAsia="Arial" w:hAnsi="Arial"/>
          <w:sz w:val="18"/>
          <w:szCs w:val="18"/>
          <w:color w:val="auto"/>
        </w:rPr>
        <w:t>The allocation of the purchase price for the Company's acquisitions for the years ended December 31 was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Equity, and Advances to 50% or Less Owned Companies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(106,640)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Purchase price </w:t>
            </w:r>
            <w:r>
              <w:rPr>
                <w:rFonts w:ascii="Arial" w:cs="Arial" w:eastAsia="Arial" w:hAnsi="Arial"/>
                <w:sz w:val="24"/>
                <w:szCs w:val="24"/>
                <w:color w:val="auto"/>
                <w:vertAlign w:val="superscript"/>
              </w:rPr>
              <w:t>(1)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right="6160" w:hanging="652"/>
        <w:spacing w:after="0" w:line="291" w:lineRule="auto"/>
        <w:tabs>
          <w:tab w:leader="none" w:pos="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Purchase price in 2018 was used to pay MOI's debtor-in-possession obligations. Purchase price in 2017 is net of cash acquired totaling $5.9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ACQUISITIONS AND DISPOSITIONS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Equipment Additions. </w:t>
      </w:r>
      <w:r>
        <w:rPr>
          <w:rFonts w:ascii="Arial" w:cs="Arial" w:eastAsia="Arial" w:hAnsi="Arial"/>
          <w:sz w:val="17"/>
          <w:szCs w:val="17"/>
          <w:color w:val="auto"/>
        </w:rPr>
        <w:t>The Company's capital expenditures and payments on fair value derivative hedges were $52.0 million, $69.4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$101.3 million in 2018, 2017 and 2016, respectively. Deliveries of offshore support vessels for the years ended December 31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400" w:type="dxa"/>
            <w:vAlign w:val="bottom"/>
            <w:gridSpan w:val="2"/>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30"/>
                <w:szCs w:val="30"/>
                <w:b w:val="1"/>
                <w:bCs w:val="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r>
      <w:tr>
        <w:trPr>
          <w:trHeight w:val="210"/>
        </w:trPr>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FSV</w:t>
            </w:r>
          </w:p>
        </w:tc>
        <w:tc>
          <w:tcPr>
            <w:tcW w:w="1680" w:type="dxa"/>
            <w:vAlign w:val="bottom"/>
            <w:gridSpan w:val="3"/>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Supply</w:t>
            </w:r>
          </w:p>
        </w:tc>
        <w:tc>
          <w:tcPr>
            <w:tcW w:w="1680" w:type="dxa"/>
            <w:vAlign w:val="bottom"/>
            <w:gridSpan w:val="3"/>
          </w:tcPr>
          <w:p>
            <w:pPr>
              <w:jc w:val="right"/>
              <w:ind w:right="12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Specialty</w:t>
            </w:r>
          </w:p>
        </w:tc>
        <w:tc>
          <w:tcPr>
            <w:tcW w:w="1680" w:type="dxa"/>
            <w:vAlign w:val="bottom"/>
            <w:gridSpan w:val="3"/>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Liftboat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Crew transfer</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1160" w:type="dxa"/>
            <w:vAlign w:val="bottom"/>
            <w:shd w:val="clear" w:color="auto" w:fill="CCEEFF"/>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
        </w:trPr>
        <w:tc>
          <w:tcPr>
            <w:tcW w:w="1160" w:type="dxa"/>
            <w:vAlign w:val="bottom"/>
            <w:tcBorders>
              <w:bottom w:val="single" w:sz="8" w:color="auto"/>
            </w:tcBorders>
          </w:tcPr>
          <w:p>
            <w:pPr>
              <w:spacing w:after="0"/>
              <w:rPr>
                <w:sz w:val="3"/>
                <w:szCs w:val="3"/>
                <w:color w:val="auto"/>
              </w:rPr>
            </w:pPr>
          </w:p>
        </w:tc>
        <w:tc>
          <w:tcPr>
            <w:tcW w:w="5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76" w:lineRule="exact"/>
        <w:rPr>
          <w:sz w:val="20"/>
          <w:szCs w:val="20"/>
          <w:color w:val="auto"/>
        </w:rPr>
      </w:pPr>
    </w:p>
    <w:p>
      <w:pPr>
        <w:ind w:left="840" w:hanging="184"/>
        <w:spacing w:after="0" w:line="253" w:lineRule="auto"/>
        <w:tabs>
          <w:tab w:leader="none" w:pos="8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two AHTS vessels purchased from Managed Entity Seacor 88 and Seacor 888, and one crew transfer vessel purchased from the Company's joint venture FRS Windcat Offshore Logistics.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Equipment Dispositions. </w:t>
      </w:r>
      <w:r>
        <w:rPr>
          <w:rFonts w:ascii="Arial" w:cs="Arial" w:eastAsia="Arial" w:hAnsi="Arial"/>
          <w:sz w:val="18"/>
          <w:szCs w:val="18"/>
          <w:color w:val="auto"/>
        </w:rPr>
        <w:t>During the year ended December 31, 2018, the Company sold property and equipment for net proceeds of $18.6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($18.5 million in cash and $0.1 million in cash deposits previously received) and recorded gains of $5.9 million, all of which were recognized at the time of sale. In addition, the Company received $4.4 million in deposits on future property and equipment sales.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2017, the Company sold property and equipment for net proceeds of $11.2 million and gains of $3.9 million, all of which were recognized at the time of sale. In addition, the Company received $0.1 million in deposits on future property and equipment sales.</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2016, the Company sold property and equipment for net proceeds of $41.4 million and gains of $3.5 million, all of which were recognized at the time of sale. In addition, the Company received $0.5 million in deposits on future property and equipment sales.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3"/>
          </w:tcPr>
          <w:p>
            <w:pPr>
              <w:ind w:left="660"/>
              <w:spacing w:after="0"/>
              <w:rPr>
                <w:sz w:val="20"/>
                <w:szCs w:val="20"/>
                <w:color w:val="auto"/>
              </w:rPr>
            </w:pPr>
            <w:r>
              <w:rPr>
                <w:rFonts w:ascii="Arial" w:cs="Arial" w:eastAsia="Arial" w:hAnsi="Arial"/>
                <w:sz w:val="18"/>
                <w:szCs w:val="18"/>
                <w:color w:val="auto"/>
                <w:w w:val="94"/>
              </w:rPr>
              <w:t>Major equipment dispositions for the years ended December 31 were as follows:</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30"/>
                <w:szCs w:val="30"/>
                <w:b w:val="1"/>
                <w:bCs w:val="1"/>
                <w:color w:val="auto"/>
                <w:vertAlign w:val="superscript"/>
              </w:rPr>
              <w:t>(1)</w:t>
            </w:r>
          </w:p>
        </w:tc>
        <w:tc>
          <w:tcPr>
            <w:tcW w:w="260" w:type="dxa"/>
            <w:vAlign w:val="bottom"/>
          </w:tcPr>
          <w:p>
            <w:pPr>
              <w:spacing w:after="0"/>
              <w:rPr>
                <w:sz w:val="24"/>
                <w:szCs w:val="24"/>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r>
      <w:tr>
        <w:trPr>
          <w:trHeight w:val="210"/>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AHTS</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gridSpan w:val="3"/>
          </w:tcPr>
          <w:p>
            <w:pPr>
              <w:spacing w:after="0"/>
              <w:rPr>
                <w:sz w:val="20"/>
                <w:szCs w:val="20"/>
                <w:color w:val="auto"/>
              </w:rPr>
            </w:pPr>
            <w:r>
              <w:rPr>
                <w:rFonts w:ascii="Arial" w:cs="Arial" w:eastAsia="Arial" w:hAnsi="Arial"/>
                <w:sz w:val="18"/>
                <w:szCs w:val="18"/>
                <w:color w:val="auto"/>
              </w:rPr>
              <w:t>FSV</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Standby safety</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700" w:type="dxa"/>
            <w:vAlign w:val="bottom"/>
            <w:gridSpan w:val="3"/>
          </w:tcPr>
          <w:p>
            <w:pPr>
              <w:spacing w:after="0"/>
              <w:rPr>
                <w:sz w:val="20"/>
                <w:szCs w:val="20"/>
                <w:color w:val="auto"/>
              </w:rPr>
            </w:pPr>
            <w:r>
              <w:rPr>
                <w:rFonts w:ascii="Arial" w:cs="Arial" w:eastAsia="Arial" w:hAnsi="Arial"/>
                <w:sz w:val="18"/>
                <w:szCs w:val="18"/>
                <w:color w:val="auto"/>
              </w:rPr>
              <w:t>Supply</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Crew transfer</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3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60" w:type="dxa"/>
            <w:vAlign w:val="bottom"/>
            <w:shd w:val="clear" w:color="auto" w:fill="CCEEFF"/>
          </w:tcPr>
          <w:p>
            <w:pPr>
              <w:spacing w:after="0"/>
              <w:rPr>
                <w:sz w:val="21"/>
                <w:szCs w:val="21"/>
                <w:color w:val="auto"/>
              </w:rPr>
            </w:pPr>
          </w:p>
        </w:tc>
        <w:tc>
          <w:tcPr>
            <w:tcW w:w="5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35"/>
        </w:trPr>
        <w:tc>
          <w:tcPr>
            <w:tcW w:w="1160" w:type="dxa"/>
            <w:vAlign w:val="bottom"/>
            <w:tcBorders>
              <w:top w:val="single" w:sz="8" w:color="CCEEFF"/>
              <w:bottom w:val="single" w:sz="8" w:color="auto"/>
            </w:tcBorders>
          </w:tcPr>
          <w:p>
            <w:pPr>
              <w:spacing w:after="0"/>
              <w:rPr>
                <w:sz w:val="3"/>
                <w:szCs w:val="3"/>
                <w:color w:val="auto"/>
              </w:rPr>
            </w:pPr>
          </w:p>
        </w:tc>
        <w:tc>
          <w:tcPr>
            <w:tcW w:w="5240" w:type="dxa"/>
            <w:vAlign w:val="bottom"/>
            <w:tcBorders>
              <w:top w:val="single" w:sz="8" w:color="CCEEFF"/>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60" w:type="dxa"/>
            <w:vAlign w:val="bottom"/>
            <w:tcBorders>
              <w:top w:val="single" w:sz="8" w:color="CCEEFF"/>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r>
    </w:tbl>
    <w:p>
      <w:pPr>
        <w:spacing w:after="0" w:line="35" w:lineRule="exact"/>
        <w:rPr>
          <w:sz w:val="20"/>
          <w:szCs w:val="20"/>
          <w:color w:val="auto"/>
        </w:rPr>
      </w:pPr>
    </w:p>
    <w:p>
      <w:pPr>
        <w:ind w:left="660" w:hanging="652"/>
        <w:spacing w:after="0" w:line="253"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the sale of (i) a 51% interest in one supply vessel held by the joint venture Seacor Marlin LLC, (ii) one crew transfer vessel to the joint venture FRS Windcat Offshore Logistics and (iii) three vessels that were previously removed from service (one FSV, one tow-supply vessel and one supply vessel).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AT EQUITY, AND ADVANCES TO 50% OR LESS OWNED COMPANIES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Investments, at equity, and advances to 50% or less owned companies as of December 31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Ownership</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MexMar</w:t>
            </w:r>
          </w:p>
        </w:tc>
        <w:tc>
          <w:tcPr>
            <w:tcW w:w="2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49.0%</w:t>
            </w: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53,840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60,980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SEACOSCO</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3"/>
              </w:rPr>
              <w:t>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28,002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OSV Partners</w:t>
            </w:r>
          </w:p>
        </w:tc>
        <w:tc>
          <w:tcPr>
            <w:tcW w:w="2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30.4%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SEACOR Marlin</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3"/>
              </w:rPr>
              <w:t>49.0%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MEXMAR Offshore International</w:t>
            </w:r>
          </w:p>
        </w:tc>
        <w:tc>
          <w:tcPr>
            <w:tcW w:w="2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49.0%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Offshore Vessel Holdings</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3"/>
              </w:rPr>
              <w:t>49.0%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Dynamic Offshore Drilling</w:t>
            </w:r>
          </w:p>
        </w:tc>
        <w:tc>
          <w:tcPr>
            <w:tcW w:w="2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19.0%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Nautical Power</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3"/>
              </w:rPr>
              <w:t>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20.0% —</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right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50.0%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121,773</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92,169</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15"/>
          </w:tcPr>
          <w:p>
            <w:pPr>
              <w:ind w:left="720"/>
              <w:spacing w:after="0"/>
              <w:rPr>
                <w:sz w:val="20"/>
                <w:szCs w:val="20"/>
                <w:color w:val="auto"/>
              </w:rPr>
            </w:pPr>
            <w:r>
              <w:rPr>
                <w:rFonts w:ascii="Arial" w:cs="Arial" w:eastAsia="Arial" w:hAnsi="Arial"/>
                <w:sz w:val="18"/>
                <w:szCs w:val="18"/>
                <w:b w:val="1"/>
                <w:bCs w:val="1"/>
                <w:i w:val="1"/>
                <w:iCs w:val="1"/>
                <w:color w:val="auto"/>
                <w:w w:val="92"/>
              </w:rPr>
              <w:t xml:space="preserve">Condensed Financial Information of MexMar. </w:t>
            </w:r>
            <w:r>
              <w:rPr>
                <w:rFonts w:ascii="Arial" w:cs="Arial" w:eastAsia="Arial" w:hAnsi="Arial"/>
                <w:sz w:val="18"/>
                <w:szCs w:val="18"/>
                <w:color w:val="auto"/>
                <w:w w:val="92"/>
              </w:rPr>
              <w:t>Summarized financial information of MexMar as of and for the years ended December 31 was as</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follows (in thousands):</w:t>
            </w: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38,113</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Noncurrent assets</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215,207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194,990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147,043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7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57,003</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67,003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Costs and Expenses:</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and administrative</w:t>
            </w:r>
          </w:p>
        </w:tc>
        <w:tc>
          <w:tcPr>
            <w:tcW w:w="2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25,932</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37,613</w:t>
            </w:r>
          </w:p>
        </w:tc>
        <w:tc>
          <w:tcPr>
            <w:tcW w:w="0" w:type="dxa"/>
            <w:vAlign w:val="bottom"/>
          </w:tcPr>
          <w:p>
            <w:pPr>
              <w:spacing w:after="0"/>
              <w:rPr>
                <w:sz w:val="1"/>
                <w:szCs w:val="1"/>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16,295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15,977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13,958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42,227</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51,571</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Pr>
          <w:p>
            <w:pPr>
              <w:spacing w:after="0"/>
              <w:rPr>
                <w:sz w:val="18"/>
                <w:szCs w:val="18"/>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14,776</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21,621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720" w:type="dxa"/>
            <w:vAlign w:val="bottom"/>
            <w:gridSpan w:val="2"/>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5,584</w:t>
            </w:r>
          </w:p>
        </w:tc>
        <w:tc>
          <w:tcPr>
            <w:tcW w:w="38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9,233</w:t>
            </w:r>
          </w:p>
        </w:tc>
        <w:tc>
          <w:tcPr>
            <w:tcW w:w="160" w:type="dxa"/>
            <w:vAlign w:val="bottom"/>
            <w:tcBorders>
              <w:lef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413"/>
        </w:trPr>
        <w:tc>
          <w:tcPr>
            <w:tcW w:w="404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jc w:val="right"/>
              <w:ind w:right="550"/>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b w:val="1"/>
          <w:bCs w:val="1"/>
          <w:i w:val="1"/>
          <w:iCs w:val="1"/>
          <w:color w:val="auto"/>
        </w:rPr>
        <w:t xml:space="preserve">Condensed Financial Information of Falcon Global, Sea-Cat Crewzer and Sea-Cat Crewzer II. </w:t>
      </w:r>
      <w:r>
        <w:rPr>
          <w:rFonts w:ascii="Arial" w:cs="Arial" w:eastAsia="Arial" w:hAnsi="Arial"/>
          <w:sz w:val="18"/>
          <w:szCs w:val="18"/>
          <w:color w:val="auto"/>
        </w:rPr>
        <w:t>Summarized financial information as of 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years ended December 31 was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30"/>
                <w:szCs w:val="30"/>
                <w:b w:val="1"/>
                <w:bCs w:val="1"/>
                <w:color w:val="auto"/>
                <w:vertAlign w:val="superscript"/>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4"/>
                <w:szCs w:val="24"/>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5,075</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21,611</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and administrative</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12,837</w:t>
            </w:r>
          </w:p>
        </w:tc>
      </w:tr>
      <w:tr>
        <w:trPr>
          <w:trHeight w:val="216"/>
        </w:trPr>
        <w:tc>
          <w:tcPr>
            <w:tcW w:w="502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3,694</w:t>
            </w: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16,531</w:t>
            </w:r>
          </w:p>
        </w:tc>
      </w:tr>
      <w:tr>
        <w:trPr>
          <w:trHeight w:val="20"/>
        </w:trPr>
        <w:tc>
          <w:tcPr>
            <w:tcW w:w="116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2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(1,001)</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5,080</w:t>
            </w: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29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(2,699)</w:t>
            </w:r>
          </w:p>
        </w:tc>
        <w:tc>
          <w:tcPr>
            <w:tcW w:w="48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778</w:t>
            </w:r>
          </w:p>
        </w:tc>
      </w:tr>
      <w:tr>
        <w:trPr>
          <w:trHeight w:val="35"/>
        </w:trPr>
        <w:tc>
          <w:tcPr>
            <w:tcW w:w="1160" w:type="dxa"/>
            <w:vAlign w:val="bottom"/>
            <w:tcBorders>
              <w:top w:val="single" w:sz="8" w:color="CCEEFF"/>
              <w:bottom w:val="single" w:sz="8" w:color="auto"/>
            </w:tcBorders>
          </w:tcPr>
          <w:p>
            <w:pPr>
              <w:spacing w:after="0"/>
              <w:rPr>
                <w:sz w:val="3"/>
                <w:szCs w:val="3"/>
                <w:color w:val="auto"/>
              </w:rPr>
            </w:pPr>
          </w:p>
        </w:tc>
        <w:tc>
          <w:tcPr>
            <w:tcW w:w="3860" w:type="dxa"/>
            <w:vAlign w:val="bottom"/>
            <w:tcBorders>
              <w:top w:val="single" w:sz="8" w:color="CCEEFF"/>
            </w:tcBorders>
          </w:tcPr>
          <w:p>
            <w:pPr>
              <w:spacing w:after="0"/>
              <w:rPr>
                <w:sz w:val="3"/>
                <w:szCs w:val="3"/>
                <w:color w:val="auto"/>
              </w:rPr>
            </w:pPr>
          </w:p>
        </w:tc>
        <w:tc>
          <w:tcPr>
            <w:tcW w:w="2600" w:type="dxa"/>
            <w:vAlign w:val="bottom"/>
            <w:tcBorders>
              <w:top w:val="single" w:sz="8" w:color="CCEEFF"/>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4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40" w:type="dxa"/>
            <w:vAlign w:val="bottom"/>
            <w:tcBorders>
              <w:top w:val="single" w:sz="8" w:color="CCEEFF"/>
            </w:tcBorders>
          </w:tcPr>
          <w:p>
            <w:pPr>
              <w:spacing w:after="0"/>
              <w:rPr>
                <w:sz w:val="3"/>
                <w:szCs w:val="3"/>
                <w:color w:val="auto"/>
              </w:rPr>
            </w:pPr>
          </w:p>
        </w:tc>
      </w:tr>
    </w:tbl>
    <w:p>
      <w:pPr>
        <w:spacing w:after="0" w:line="3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2017 activity through date of acquisition or consolidation. No activity in 2018 due to acquisition in 2017.</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Combined Condensed Financial Information of Other Investees (excluding MexMar, Falcon Global, Sea-Cat Crewzer and Sea-Cat Crewzer II).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Summarized financial information of the Company's other investees, at equity, as of and for the years ended December 31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3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61,287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61,360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Noncurrent assets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352,421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247,038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14,603</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209,752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138,789</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54,853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77,571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and administrative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16"/>
        </w:trPr>
        <w:tc>
          <w:tcPr>
            <w:tcW w:w="62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12,198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64,317</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on Asset Dispositions and Impairments, Net</w:t>
            </w: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(9,351)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18,463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(20,383)</w:t>
            </w: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6,451</w:t>
            </w: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(19,229)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and 2017, cumulative undistributed net earnings of all 50% or less owned companies included in the Company's consolidated retained earnings were $28.5 million and $46.1 million, respectively.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MexMar. </w:t>
      </w:r>
      <w:r>
        <w:rPr>
          <w:rFonts w:ascii="Arial" w:cs="Arial" w:eastAsia="Arial" w:hAnsi="Arial"/>
          <w:sz w:val="17"/>
          <w:szCs w:val="17"/>
          <w:color w:val="auto"/>
        </w:rPr>
        <w:t>MexMar owns and operates 16 offshore support vessels in Mexico. During the year ended December 31, 2018, MexMar returned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provided capital advances of $9.8 million, which was used by the Company to invest in two new joint ventures, MexMar Offshore International LLC ("MexMar Offshore International") and Offshore Vessel Holdings ("OVH"). During the year ended December 31, 2017, MexMar returned advances of $7.4 million in cash to the Company. During the year ended December 31, 2016, the Company made advances of $7.4 million in cash and sold two offshore support vessels for $34.0 million in cash to MexMar. During the years ended December 31, 2018, 2017 and 2016, the Company received $0.3 million, $0.3 million and $0.3 million, respectively, of vessel management fees from MexMar. During the year ended December 31, 2016, the Company charged MexMar $5.1 million to charter certain vessels under bareboat and time charter arrangements.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SEACOSCO. </w:t>
      </w:r>
      <w:r>
        <w:rPr>
          <w:rFonts w:ascii="Arial" w:cs="Arial" w:eastAsia="Arial" w:hAnsi="Arial"/>
          <w:sz w:val="17"/>
          <w:szCs w:val="17"/>
          <w:color w:val="auto"/>
        </w:rPr>
        <w:t>On January 17, 2018, the Company announced the formation of SEACOSCO Offshore LLC ("SEACOSCO"), a Marshall Islands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entity jointly owned by the Company and affiliates of COSCO SHIPPING GROUP ("COSCO SHIPPING"). SEACOSCO entered into contracts for the purchase of eight Rolls-Royce designed, new construction platform supply vessels ("PSVs") from COSCO SHIPPING HEAVY INDUSTRY (GUANGDONG) CO., LTD (the "Shipyard"), an affiliate of COSCO SHIPPING for approximately $163.3 million, of which 70% will be financed by the Shipyard, and secured by the PSVs on a non-recourse basis to the Company. SEACOSCO took delivery of two vessels in the quarter ending March 31, 2018, took title to another five of the PSVs in the quarter ending June 30, 2018, and expects to take title to one vessel in 2019. Thereafter, the Shipyard, at its cost, will store the six undelivered PSVs at its facility for periods ranging from six to 18 months. The Company owns an unconsolidated 50% interest in SEACOSCO. During the year ended December 31, 2018, the Company contributed capital of $29.6 million in cash. The expected remaining capital commitment for vessel construction of approximately $2.0 million will be due in the first quarter of 2019. The Company will be responsible for full commercial, operational, and technical management of the vessels on a worldwide basis. Currently, there is one vessel on a firm five-year charter.</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OSV Partners. </w:t>
      </w:r>
      <w:r>
        <w:rPr>
          <w:rFonts w:ascii="Arial" w:cs="Arial" w:eastAsia="Arial" w:hAnsi="Arial"/>
          <w:sz w:val="16"/>
          <w:szCs w:val="16"/>
          <w:color w:val="auto"/>
        </w:rPr>
        <w:t>SEACOR OSV Partners GP LLC and SEACOR OSV Partners I LP (collectively "OSV Partners") own and operate five offshore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 vessels. OSV Partners had been in non-compliance with certain financial covenants under its term loan facility since December 31, 2017 On September 28, 2018, such facility, was restructured to, among other things, extend its maturity to September 28, 2021, and in connection therewith, the Company participated in a $5.0 million preferred equity offering of OSV Partners and subordinated loan in the amount of $5.0 million, investing $1.1 million in such preferred equity (and committing to invest an additional $1.1 million in such preferred equity if called by the general partner of OSV Partners prior to September 30, 2020) and providing $2.1 million of such loan. The lenders to OSV Partners have no recourse to the Company for outstanding amounts under the facility, and the Company is not obligated to participate in any future investment in or loan any money to OSV Partners. During the year ended December 31, 2017, the Company participated in a $6.0 million preferred equity offering of OSV Partners and invested $2.3 million in support of the venture. During the year ended December 31, 2016, the Company contributed capital of $1.2 million in cash to OSV Partners. During the years ended December 31, 2018, 2017 and 2016, the Company received $0.6 million, $0.6 million, and $0.5 million, respectively, of vessel management fees from OSV Partners.</w:t>
      </w:r>
    </w:p>
    <w:p>
      <w:pPr>
        <w:sectPr>
          <w:pgSz w:w="11900" w:h="16838" w:orient="portrait"/>
          <w:cols w:equalWidth="0" w:num="1">
            <w:col w:w="11420"/>
          </w:cols>
          <w:pgMar w:left="240" w:top="118" w:right="239" w:bottom="1068"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68" w:gutter="0" w:footer="0" w:header="0"/>
          <w:type w:val="continuous"/>
        </w:sectPr>
      </w:pPr>
    </w:p>
    <w:bookmarkStart w:id="95" w:name="page96"/>
    <w:bookmarkEnd w:id="9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SEACOR Marlin. </w:t>
      </w:r>
      <w:r>
        <w:rPr>
          <w:rFonts w:ascii="Arial" w:cs="Arial" w:eastAsia="Arial" w:hAnsi="Arial"/>
          <w:sz w:val="18"/>
          <w:szCs w:val="18"/>
          <w:color w:val="auto"/>
        </w:rPr>
        <w:t>The Company created a new subsidiary, SEACOR Marlin LLC ("SMLLC") and contributed the Seacor Marlin supply vessel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SMLLC. On September 13, 2018, the Company sold 51% of SMLLC to MOMI, a wholly-owned subsidiary of MexMar, for $8.0 million in cash, which generated a gain of $0.4 million. The Seacor Marlin supply vessel was pledged as collateral under the MexMar credit facility, for which the Company receives an annual collateral fee.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MexMar Offshore International. </w:t>
      </w:r>
      <w:r>
        <w:rPr>
          <w:rFonts w:ascii="Arial" w:cs="Arial" w:eastAsia="Arial" w:hAnsi="Arial"/>
          <w:sz w:val="18"/>
          <w:szCs w:val="18"/>
          <w:color w:val="auto"/>
        </w:rPr>
        <w:t>On December 20, 2018, UP Offshore, a leading provider of offshore support vessel services to the energy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Brazil, was acquired by MEXMAR Offshore, a new joint venture company that is 49% owned by SMHI, and 51% owned by a subsidiary of CME. Of UP Offshore's 14 vessel fleet, 12 vessels are located and registered in Brazil and two are located and registered in the United Kingdom. 11 of UP Offshore’s vessels are platform supply vessels ("PSVs"), two are remotely operated vehicle ("ROV") support vessels and one is an offshore terminal vessel. MEXMAR Offshore acquired UP Offshore for nominal consideration, refinanced its existing debt to fund capital expenditures on two vessels and a $10.0 million loan to fund working capital requirements.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Offshore Vessel Holdings. </w:t>
      </w:r>
      <w:r>
        <w:rPr>
          <w:rFonts w:ascii="Arial" w:cs="Arial" w:eastAsia="Arial" w:hAnsi="Arial"/>
          <w:sz w:val="18"/>
          <w:szCs w:val="18"/>
          <w:color w:val="auto"/>
        </w:rPr>
        <w:t>On December 28, 2018, the Company invested $4.9 million for a 49% share in OVH joint venture. The joint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used to invest in offshore assets or business internationally.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Dynamic Offshore Drilling. </w:t>
      </w:r>
      <w:r>
        <w:rPr>
          <w:rFonts w:ascii="Arial" w:cs="Arial" w:eastAsia="Arial" w:hAnsi="Arial"/>
          <w:sz w:val="18"/>
          <w:szCs w:val="18"/>
          <w:color w:val="auto"/>
        </w:rPr>
        <w:t>Dynamic Offshore Drilling Ltd. ("Dynamic Offshore Drilling") was established to construct and operate a jack-up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rig that was delivered in the first quarter of 2013. During the year ended December 31, 2017, the Company recognized an impairment charge of $8.3 million, net of tax, for an-other-than-temporary decline in the fair value of its equity investment upon Dynamic Offshore Drilling's unsuccessful bid on a charter renewal with a customer. During the year ended December 31, 2018, the Company recognized equity losses in Dynamic Offshore Drilling of $2.7 million and determined that its $2.3 million investment in the joint venture is not impaired.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Nautical Power. </w:t>
      </w:r>
      <w:r>
        <w:rPr>
          <w:rFonts w:ascii="Arial" w:cs="Arial" w:eastAsia="Arial" w:hAnsi="Arial"/>
          <w:sz w:val="18"/>
          <w:szCs w:val="18"/>
          <w:color w:val="auto"/>
        </w:rPr>
        <w:t>In the quarter ending September 30, 2018, the joint venture repaid the Company's $6.4 million investment in Nautical Power,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("Nautical Power") in cash.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Falcon Global. </w:t>
      </w:r>
      <w:r>
        <w:rPr>
          <w:rFonts w:ascii="Arial" w:cs="Arial" w:eastAsia="Arial" w:hAnsi="Arial"/>
          <w:sz w:val="18"/>
          <w:szCs w:val="18"/>
          <w:color w:val="auto"/>
        </w:rPr>
        <w:t>Falcon Global was formed to construct and operate two foreign-flag liftboats. During the three months ended March 31, 2017,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its partner each contributed additional capital of $0.4 million, and the Company made working capital advances of $2.0 million to Falcon Global. In March 2017, the Company's partner declined to participate in a capital call from Falcon Global and, as a consequence, the Company obtained 100% voting control of Falcon Global in accordance with the terms of the operating agreement. The impact of consolidating Falcon Global's net assets effective March 31, 2017 to the Company's financial position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7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Investments, at Equity, and Advances to 50% or Less Owned Companies</w:t>
            </w:r>
          </w:p>
        </w:tc>
        <w:tc>
          <w:tcPr>
            <w:tcW w:w="27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(19,374)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Accounts payable</w:t>
            </w:r>
          </w:p>
        </w:tc>
        <w:tc>
          <w:tcPr>
            <w:tcW w:w="27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3,201</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Long-Term Debt</w:t>
            </w:r>
          </w:p>
        </w:tc>
        <w:tc>
          <w:tcPr>
            <w:tcW w:w="27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58,335</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27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17,374</w:t>
            </w:r>
          </w:p>
        </w:tc>
      </w:tr>
    </w:tbl>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Sea-Cat Crewzer II. </w:t>
      </w:r>
      <w:r>
        <w:rPr>
          <w:rFonts w:ascii="Arial" w:cs="Arial" w:eastAsia="Arial" w:hAnsi="Arial"/>
          <w:sz w:val="17"/>
          <w:szCs w:val="17"/>
          <w:color w:val="auto"/>
        </w:rPr>
        <w:t>Sea-Cat Crewzer II owns and operates two high-speed offshore catamarans. On April 28, 2017, the Company acquired a 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controlling interest in Sea-Cat Crewzer II through the acquisition of its partners' 50% ownership interest for $11.3 million in cash (see Note 2).</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Sea-Cat Crewzer. </w:t>
      </w:r>
      <w:r>
        <w:rPr>
          <w:rFonts w:ascii="Arial" w:cs="Arial" w:eastAsia="Arial" w:hAnsi="Arial"/>
          <w:sz w:val="17"/>
          <w:szCs w:val="17"/>
          <w:color w:val="auto"/>
        </w:rPr>
        <w:t>Sea-Cat Crewzer owns and operates two high-speed offshore catamarans. On April 28, 2017, the Company acquired a 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controlling interest in Sea-Cat Crewzer through the acquisition of its partners' 50% ownership interest for $4.4 million in cash (see Note 2).</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The Company's other 50% or less owned companies own and operate eight vessels. During the year ended December 31, 2018,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dividends of $1.7 million from these 50% or less owned companies. In addition, during the year ended December 31, 2018, the Company recognized impairment charges of $1.2 million, net of tax, to reduce its investment carrying value in a certain 50% or less owned company to zero. During the year ended December 31, 2017, the Company received dividends of $2.6 million, made capital contributions and advances of $0.8 million and received repayments on advances of $0.2 million with these 50% or less owned companies. In addition, during the year ended December 31, 2017, the Company recognized impairment charges of $0.5 million, net of tax, for an other-than-temporary decline in the fair value of its investment in a certain 50% or less owned company. During the year ended December 31, 2016, the Company received dividends of $0.8 million from these 50% or less owned companies and made capital contributions of $0.5 million to these 50% or less owned companies. In addition, during the year ended December 31, 2016, the Company recognized impairment charges of $0.5 million, net of tax, for an other-than-temporary decline in the fair value of its investment in a certain 50% or less owned company and recognized $2.7 million, net of tax, for its proportionate share of impairment charges recognized by certain of its 50% or less owned companies related to offshore support vessels used in their operations. During the years ended December 31, 2018, 2017 and 2016, the Company received $0.3 million, $0.7 million, and $0.8 million, respectively, of vessel management fees from these 50% or less owned companies.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Two of the Company's 50% or less owned companies obtained bank debt to finance the acquisition of offshore support vessels. The debt is secured by, among other things, a first preferred mortgage on the vessels. The banks also have the authority to require the Company and its partners to fund uncalled capital commitments, as defined in the partnership agreements. In such event, the Company would be required to contribute its allocable share of uncalled capital, which was $0.8 million in the aggregate as of December 31, 2018.</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guarantees certain of the outstanding charter receivables of one of its managed 50% or less owned companies if a customer defaults in payment and the Company either fails to take enforcement action against the defaulting customer or fails to assign its right of recovery against the defaulting customer. As of December 31, 2018, the Company's contingent guarantee for the outstanding charter receivables was $0.3 million.</w:t>
      </w:r>
    </w:p>
    <w:p>
      <w:pPr>
        <w:sectPr>
          <w:pgSz w:w="11900" w:h="16838" w:orient="portrait"/>
          <w:cols w:equalWidth="0" w:num="1">
            <w:col w:w="11420"/>
          </w:cols>
          <w:pgMar w:left="240" w:top="118" w:right="239" w:bottom="595"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95" w:gutter="0" w:footer="0" w:header="0"/>
          <w:type w:val="continuous"/>
        </w:sectPr>
      </w:pPr>
    </w:p>
    <w:bookmarkStart w:id="96" w:name="page97"/>
    <w:bookmarkEnd w:id="9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RESERVE FUNDS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has established, pursuant to Section 511 of the Merchant Marine Act, 1936, as amended, construction reserve fund accounts subject to agreements with the Maritime Administration. In accordance with this statute, the Company is permitted to deposit proceeds from the sale of certain vessels into the construction reserve fund accounts and defer the taxable gains realized from the sale of those vessels. Qualified withdrawals from the construction reserve fund accounts are only permitted for the purpose of acquiring qualified U.S.-flag vessels as defined in the statute and approved by the Maritime Administration. To the extent that sales proceeds are reinvested in replacement vessels, the carryover depreciable tax basis of the vessels originally sold is attributed to the U.S.-flag vessels acquired using such qualified withdrawals. The construction reserve funds must be committed for expenditure within three years of the date of sale of the equipment, subject to two one-year extensions that can be granted at the discretion of the Maritime Administration or be released for the Company's general use as nonqualified withdrawals. For nonqualified withdrawals, the Company is obligated to pay taxes on the previously deferred gains at the prevailing statutory tax rate plus penalties and interest thereon for the period such taxes were deferred.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2017 and 2016, the Company's construction reserve funds are classified as non-current assets in the accompanying consolidated balance sheets as the Company has the intent and ability to use the funds to acquire equipment. Construction reserve fund transactions for the years ended December 31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Withdrawals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(17,300)</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(39,163)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(87,820)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Deposits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6,315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27,414</w:t>
            </w:r>
          </w:p>
        </w:tc>
      </w:tr>
      <w:tr>
        <w:trPr>
          <w:trHeight w:val="20"/>
        </w:trPr>
        <w:tc>
          <w:tcPr>
            <w:tcW w:w="6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(17,300)</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(32,848)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(60,406)</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the Company leases eight offshore support vessels as well as certain facilities and other equipment. These leasing agreements have been classified as operating leases for financial reporting purposes, and the related rental fees are charged as expenses over the lease terms. The leases typically contain purchase and lease renewal options or rights of first refusal with respect to the sale or lease of the equipment. The lease terms range in duration from one to three years. Certain of the equipment leases are the result of sale-leaseback transactions with finance companies and certain of the gains arising from such sale-leaseback transactions have been deferred in the accompanying consolidated balance sheets and are being amortized as reductions in rental expense over the lease terms (see Note 1).</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rental expense for the Company's operating leases for the years ended December 31, 2018, 2017 and 2016 totaled $13.3 million, $14.5 million, and $19.4 million, respectively. Future minimum payments in the years ended December 31 under operating leases that have a remaining term in excess of one year as of December 31, 2018 were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$ 14,288</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2020</w:t>
            </w:r>
          </w:p>
        </w:tc>
        <w:tc>
          <w:tcPr>
            <w:tcW w:w="4320" w:type="dxa"/>
            <w:vAlign w:val="bottom"/>
          </w:tcPr>
          <w:p>
            <w:pPr>
              <w:jc w:val="right"/>
              <w:spacing w:after="0"/>
              <w:rPr>
                <w:sz w:val="20"/>
                <w:szCs w:val="20"/>
                <w:color w:val="auto"/>
              </w:rPr>
            </w:pPr>
            <w:r>
              <w:rPr>
                <w:rFonts w:ascii="Arial" w:cs="Arial" w:eastAsia="Arial" w:hAnsi="Arial"/>
                <w:sz w:val="18"/>
                <w:szCs w:val="18"/>
                <w:color w:val="auto"/>
              </w:rPr>
              <w:t>13,826</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43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2023 and beyond</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performed an impairment analysis and determined that some of the leased offshore support vessels are impaired due to an operating or cash flow loss currently and in the forecasted future. The Company recorded impairment losses of $6.8 million for three such leases for the years ended December 31, 2018 and $5.4 million for one such lease for the year ended December 31, 2017. A liability was recorded to reflect the amount of future lease payments, expenses required to maintain the vessels, and expenses required to return the vessels to their owners at the end of the lease term, offset by unamortized deferred gain on the sale-leaseback of the vessels.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February 25, 2016, the FASB issued a comprehensive new leasing standard meant to improve transparency and comparability among companies by requiring lessees to recognize a lease liability and a corresponding lease asset for virtually all lease contracts. It also requires additional disclosures about leasing arrangements. The Company will adopt the new standard on January 1, 2019 and will apply the transition provisions of the new standard at its adoption date with recognition of a cumulative-effect adjustment to the opening balance of retained earnings. The adoption of the new standard will have a material impact on the Company's consolidated financial position, results of operations and cash flows. The adjustment to the Company's balance sheet on January 1, 2019 include the addition of $33.9 million of right-of-use assets, $32.1 million in lease liability, and a cumulative-effect adjustment to the opening balance of retained earnings of $1.8 million for certain of its equipment, office and land leases. In addition, unamortized deferred gains for four vessels leased under sale-leaseback arrangements will be fully recognized as an adjustment to the opening balance of retained earnings of $8.7 million, net of tax.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long-term debt obligations as of December 31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Foreign Holdings Syndicated Credit Facility</w:t>
            </w:r>
          </w:p>
        </w:tc>
        <w:tc>
          <w:tcPr>
            <w:tcW w:w="2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126,750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Falcon Global USA Term Loan Facility</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Sea-Cat Crewzer III Term Loan Facility</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25,989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Windcat Workboats Facilities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Falcon Global USA Revolver</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SEACOR 88/888 Term Loan</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BNDES Equipment Construction Finance Notes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Falcon Global International Term Loan Facility</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Sea-Cat Crewzer II Term Loan Facility</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Sea-Cat Crewzer Term Loan Facility</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C-Lift Acquisition Notes</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Cypress CKOR Term Loan</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442,972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Portion due within one year</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Debt discount</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(32,005)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Issue costs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387,854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292,041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740" w:type="dxa"/>
            <w:vAlign w:val="bottom"/>
            <w:gridSpan w:val="5"/>
          </w:tcPr>
          <w:p>
            <w:pPr>
              <w:jc w:val="right"/>
              <w:ind w:right="540"/>
              <w:spacing w:after="0"/>
              <w:rPr>
                <w:sz w:val="20"/>
                <w:szCs w:val="20"/>
                <w:color w:val="auto"/>
              </w:rPr>
            </w:pPr>
            <w:r>
              <w:rPr>
                <w:rFonts w:ascii="Arial" w:cs="Arial" w:eastAsia="Arial" w:hAnsi="Arial"/>
                <w:sz w:val="18"/>
                <w:szCs w:val="18"/>
                <w:color w:val="auto"/>
                <w:w w:val="96"/>
              </w:rPr>
              <w:t>The Company's contractual long-term debt maturities for the years ended December 31 were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2020</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2022</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Years subsequent to 2023</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SEACOR Marine Foreign Holdings</w:t>
      </w:r>
      <w:r>
        <w:rPr>
          <w:rFonts w:ascii="Arial" w:cs="Arial" w:eastAsia="Arial" w:hAnsi="Arial"/>
          <w:sz w:val="16"/>
          <w:szCs w:val="16"/>
          <w:color w:val="auto"/>
        </w:rPr>
        <w:t>. On September 26, 2018, SEACOR Marine Foreign Holdings Inc. (“SMFH”), a wholly-owned subsidiary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SEACOR Marine, entered into a $130.0 million loan facility with a syndicate of lenders administered by DNB Bank ASA. SMFH's obligations pursuant to the loan facility are secured by mortgages on 20 vessels owned by the Company's vessel owning subsidiaries as well as an assignment of earnings from those subsidiaries. The loan matures in 2023 and bears interest at a variable rate based on LIBOR (currently 6.5625%). The obligations of SMFH under the loan facility are guaranteed by SEACOR Marine. The proceeds from the syndicated loan facility were used to pay off all obligations under other credit facilities of subsidiaries of the Company (Falcon Global International Term Loan Facility, Sea-Cat Crewzer II Term Loan Facility, Sea-Cat Crewzer Term Loan Facility and C-Lift Acquisition Notes totaling $101.3 million, consisting of $99.9 million principal and $1.4 million accrued interest), resulting in a net increase in term debt of $30.1 million. Principal payments of $3.3 million per quarter under the SMFH facility began in December 2018. As a result of this transaction, the Company recognized a loss of $0.6 million upon the extinguishment of debt. In October 2018, the Company entered into an interest rate swap agreement on the notional value at inception of $65.0 million related to this debt. The loan facility provides for customary events of default and has customary affirmative and negative covenants for transactions of this type that are applicable to SEACOR Marine, SMFH and its subsidiaries.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Convertible Senior Notes. </w:t>
      </w:r>
      <w:r>
        <w:rPr>
          <w:rFonts w:ascii="Arial" w:cs="Arial" w:eastAsia="Arial" w:hAnsi="Arial"/>
          <w:sz w:val="17"/>
          <w:szCs w:val="17"/>
          <w:color w:val="auto"/>
        </w:rPr>
        <w:t>On December 1, 2015, the Company issued $175.0 million in aggregate principal amount of its Convertible Senior Notes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“Convertible Senior Notes”), at an interest rate of 3.75%, due December 1, 2022, to investment funds managed and controlled by the Carlyle Group (collectively “Carlyle”). The Convertible Senior Notes are convertible into shares of Common Stock at a conversion rate of 23.26 shares per $1,000 in principal amount of such notes, subject to certain conditions, or, into Warrants to purchase an equal number of shares of Common Stock at an exercise price of $0.01 per share in order to facilitate the Company's compliance with the provisions of the Jones Act. The indenture governing the Convertible Senior Notes contains customary events of default with respect to the Convertible Senior Notes.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completion of the Spin-off, the Company bifurcated the embedded conversion option liability of $27.3 million from the Convertible Senior Notes and recorded an additional debt discount (see Notes 9 and 10). The adjusted unamortized debt discount and issue costs are being amortized as additional non-cash interest expense over the remaining maturity of the debt for an overall effective interest rate of 7.95% and the changes in the fair value of the bifurcated derivative are recorded as derivative income or loss.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2, 2018, the Company and Carlyle entered into the Exchange pursuant to which Carlyle exchanged $50 million in principal amount of the Convertible Senior Notes for Warrants to purchase 1,886,792 shares of Common Stock (to facilitate compliance with the provisions of the Jones Act) at an exercise price of $0.01 per share, subject to adjustments (the “Carlyle Warrants”), representing an implied exchange rate of approximately 37.73 shares per $1,000 in principal amount of the Convertible Senior Notes (equivalent to an exchange price of $26.50 per share). The Carlyle Warrants have a 25-year term, which commenced May 2, 2018. The Company and Carlyle also amended the $125.0 million in principal amount of Convertible Senior Notes that remained outstanding following the Exchange to (i) increase the interest rate from 3.75% per annum to 4.25% per annum and (ii) extend the maturity date of the Convertible Senior Notes by 12 months to December 1, 2023. Interest on the Convertible Senior Notes is payable semi-annually on June 15 and December 15 of each year.</w:t>
      </w:r>
    </w:p>
    <w:p>
      <w:pPr>
        <w:sectPr>
          <w:pgSz w:w="11900" w:h="16838" w:orient="portrait"/>
          <w:cols w:equalWidth="0" w:num="1">
            <w:col w:w="11420"/>
          </w:cols>
          <w:pgMar w:left="240" w:top="118" w:right="239" w:bottom="406"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406" w:gutter="0" w:footer="0" w:header="0"/>
          <w:type w:val="continuous"/>
        </w:sectPr>
      </w:pPr>
    </w:p>
    <w:bookmarkStart w:id="98" w:name="page99"/>
    <w:bookmarkEnd w:id="9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Falcon Global USA. </w:t>
      </w:r>
      <w:r>
        <w:rPr>
          <w:rFonts w:ascii="Arial" w:cs="Arial" w:eastAsia="Arial" w:hAnsi="Arial"/>
          <w:sz w:val="16"/>
          <w:szCs w:val="16"/>
          <w:color w:val="auto"/>
        </w:rPr>
        <w:t>On February 8, 2018, a wholly-owned subsidiary of SEACOR Marine and MOI formed and capitalized a joint venture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Falcon Global Holdings LLC.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FGH and its designated subsidiaries and FGH and its designated subsidiaries assumed certain operating liabilities and indebtedness associated with the liftboat vessels and related assets. On February 8, 2018, Falcon Global USA LLC (“FGUSA”), a wholly-owned subsidiary of FGH, paid $15.0 million of MOI’s debtor-in-possession obligations and entered into a $131.1 million credit agreement comprised of a $116.1 million term loan (the “FGUSA Term Loan”) and a $15.0 million revolving loan facility (the “FGUSA Revolving Loan Facility”) bearing interest at a variable rate (currently 7.0625%), maturing in 2024 and secured by 15 vessels owned by wholly-owned subsidiaries of FGUSA (collectively, the “FGUSA Credit Facility”). The full amount of the FGUSA Term Loan and other amounts paid by affiliates of MOI satisfied in full the amounts outstanding under MOI’s pre-petition credit facilities. The FGUSA Credit Facility, apart from a guarantee of certain interest payments and participation fees for two years after the closing of the transactions, is non-recourse to SEACOR Marine and its subsidiaries other than FGUSA. The Company performed a fair market valuation of the debt reflecting a debt discount of $10.0 million, which will be amortized over the life of the FGUSA Credit Facility. Scheduled principal payments begin in 2020. During the year ending December 31, 2018, the Company borrowed $15.0 million under the FGUSA Revolving Loan Facility for working capital purposes and made principal payments of $7.0 million under the term loan facility after sale of two collateralized vessels. The Company consolidates FGH as the Company holds 72% of the equity interest in FGH and is entitled to appoint a majority of the board of managers of FGH.</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Sea-Cat Crewzer III Term Loan Facility. </w:t>
      </w:r>
      <w:r>
        <w:rPr>
          <w:rFonts w:ascii="Arial" w:cs="Arial" w:eastAsia="Arial" w:hAnsi="Arial"/>
          <w:sz w:val="16"/>
          <w:szCs w:val="16"/>
          <w:color w:val="auto"/>
        </w:rPr>
        <w:t>On April 21, 2016, Sea-Cat Crewzer III LLC ("Sea-Cat Crewzer III") entered into a €27.6 million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facility (payable in US dollars) secured by the Company's vessels and fully guaranteed by SEACOR Marine. Borrowings under the facility bear interest at a Commercial Interest Reference Rate, currently 2.76%. During the years ended December 31, 2017 and 2016, Sea-Cat Crewzer III drew $7.1 million and $22.8 million, respectively, under the facility and incurred issue costs of $2.7 million in 2016 related to this facility. During the years ended December 31, 2018 and 2017, Sea-Cat Crewzer III made scheduled payments of $3.1 million and $0.6 million, respectively, related to this facility.</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Windcat Workboats Facilities. </w:t>
      </w:r>
      <w:r>
        <w:rPr>
          <w:rFonts w:ascii="Arial" w:cs="Arial" w:eastAsia="Arial" w:hAnsi="Arial"/>
          <w:sz w:val="16"/>
          <w:szCs w:val="16"/>
          <w:color w:val="auto"/>
        </w:rPr>
        <w:t>On May 24, 2016, Windcat Workboats entered into a €25.0 million revolving credit facility secured by 38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crew transfer vessel fleet. Borrowings under the facility bear interest at variable rates based on EURIBOR plus a margin ranging from 3.00% to 3.30% per annum plus mandatory lender costs and mature in 2021. A quarterly commitment fee is payable based on the unfunded portion of the commitment amount at rates ranging from 1.20% to 1.32% per annum. During the year ended December 31, 2016, Windcat Workboats drew $23.5 million (€21.0 million ) under the facility to repay all of its then outstanding debt totaling $22.9 million and incurred issuance costs of $0.6 million related to this facility.</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2018, the Company converted €6.0 million denominated debt to pound sterling denominated debt, paying off approximately $7.5 million in euro denominated debt and borrowing approximately $8.5 million in pound sterling denominated debt, resulting in a net increase in USD borrowings of $1.0 million to be used for future capital commitments.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SEACOR 88/888. </w:t>
      </w:r>
      <w:r>
        <w:rPr>
          <w:rFonts w:ascii="Arial" w:cs="Arial" w:eastAsia="Arial" w:hAnsi="Arial"/>
          <w:sz w:val="16"/>
          <w:szCs w:val="16"/>
          <w:color w:val="auto"/>
        </w:rPr>
        <w:t>On July 5, 2018, a wholly-owned subsidiary of SEACOR Marine entered into a new term loan of $11.0 million and used the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acquire two vessels that were previously managed (but not owned) by the Company. The term loan matures in 2023, bears interest at a variable rate (currently 5.9375%) and is secured by the two vessels. SEACOR Marine provided a limited guaranty of such loan under which claims recoverable from SEACOR Marine shall not exceed the lesser of (x) $5.5 million and (y) 50% of the obligations outstanding at the time a claim is made thereunder. In October 2018, the Company entered into an interest rate swap agreement on the notional value at inception of $5.5 million related to this loan.</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BNDES Equipment Construction Finance Notes. </w:t>
      </w:r>
      <w:r>
        <w:rPr>
          <w:rFonts w:ascii="Arial" w:cs="Arial" w:eastAsia="Arial" w:hAnsi="Arial"/>
          <w:sz w:val="18"/>
          <w:szCs w:val="18"/>
          <w:color w:val="auto"/>
        </w:rPr>
        <w:t>The Company financed the construction of two offshore support vessels in Brazil with Banco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Nacional de Desenvolvimento Economico e Social ("BNDES"), a Brazilian government-owned entity. The notes are secured by a first mortgage on these vessels and guaranteed by SEACOR Holdings. The notes bear interest at 4.00% per annum, require monthly principal and interest payments, and mature in July through October 2021. During the years ended December 31, 2018, 2017 and 2016, the Company made scheduled payments of $2.0 million, $2.0 million and $2.0 million, respectively.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Falcon Global International Term Loan Facility. </w:t>
      </w:r>
      <w:r>
        <w:rPr>
          <w:rFonts w:ascii="Arial" w:cs="Arial" w:eastAsia="Arial" w:hAnsi="Arial"/>
          <w:sz w:val="17"/>
          <w:szCs w:val="17"/>
          <w:color w:val="auto"/>
        </w:rPr>
        <w:t>On August 3, 2015, Falcon Global International entered into a term loan facility to finance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construction of two foreign-flag liftboats. The facility consisted of two tranches: (i) a $62.5 million facility to fund the construction costs of the liftboats ("Tranche A") and (ii) a $18.0 million facility for certain project costs ("Tranche B"). The facility was secured by the liftboats and is repayable over a five-year period that began after the completion of the construction of the liftboats and matures June 30, 2022. On November 3, 2017, Falcon Global International executed an amendment to its term loan facility, at a cost of $0.2 million, that required Falcon Global to maintain a debt service coverage ratio and a minimum cash balance on hand in excess of defined thresholds. In addition, the amendment required SEACOR Marine, as guarantor, to maintain a debt to capital ratio below a defined threshold and a minimum cash balance on hand in excess of a defined threshold.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2017, the Company's partner declined to participate in a capital call from Falcon Global International and, as a consequence, the Company obtained 100% voting control of Falcon Global International in accordance with the terms of the operating agreement. The Company consolidated into its financial statements Falcon Global International's then outstanding debt under this facility of $58.3 million, net of issue costs of $1.0 million, effective March 31, 2017 (see Note 4). During April 2017, the Tranche B facility was canceled prior to any funding. During the nine months ended December 31, 2017, Falcon Global made scheduled payments of $4.4 million under Tranche A.</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year ended December 31, 2018, Falcon Global International made scheduled payments of $3.0 million. The remaining principal balance of $51.9 million was paid off with the proceeds of SEACOR Marine Foreign Holdings Syndicated Facility on September 28, 2018.</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Sea-Cat Crewzer II Term Loan Facility. </w:t>
      </w:r>
      <w:r>
        <w:rPr>
          <w:rFonts w:ascii="Arial" w:cs="Arial" w:eastAsia="Arial" w:hAnsi="Arial"/>
          <w:sz w:val="18"/>
          <w:szCs w:val="18"/>
          <w:color w:val="auto"/>
        </w:rPr>
        <w:t>On April 28, 2017, the Company acquired a 100% controlling interest in Sea-Cat Crewzer II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its partners' 50% ownership interest (see Notes 2 and 4). Sea-Cat Crewzer II had a term loan facility that matured in 2019 which was secured by a first preferred mortgage on its vessels. On December 19, 2017, Sea-Cat Crewzer II executed an amendment, at a cost of $0.1 million, that replaced SEACOR Holdings with SEACOR Marine as guarantor and required SEACOR Marine to maintain a debt to capital ratio below a defined threshold and a minimum cash balance on hand in excess of a defined threshold. The facility called for quarterly payments of principal and interest with a balloon payment of $17.3 million due at maturity. The interest rate was fixed at 1.52%, inclusive of an interest rate swap, plus a margin ranging from 2.10% to 2.75% subject to the level of funded debt (overall rate of 5.64% as of December 31, 2017). In the year ended December 31, 2017, the Company made scheduled payments of $1.2 million.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 ended December 31, 2018, Sea-Cat Crewzer II made scheduled payments of $1.8 million. The remaining principal balance of $19.1 million was paid off by the SEACOR Marine Foreign Holdings Syndicated Facility on September 28, 2018.</w:t>
      </w:r>
    </w:p>
    <w:p>
      <w:pPr>
        <w:sectPr>
          <w:pgSz w:w="11900" w:h="16838" w:orient="portrait"/>
          <w:cols w:equalWidth="0" w:num="1">
            <w:col w:w="11420"/>
          </w:cols>
          <w:pgMar w:left="240" w:top="118"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p>
    <w:p>
      <w:pPr>
        <w:sectPr>
          <w:pgSz w:w="11900" w:h="16838" w:orient="portrait"/>
          <w:cols w:equalWidth="0" w:num="1">
            <w:col w:w="11420"/>
          </w:cols>
          <w:pgMar w:left="240" w:top="118" w:right="239" w:bottom="0" w:gutter="0" w:footer="0" w:header="0"/>
          <w:type w:val="continuous"/>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Sea-Cat Crewzer Term Loan Facility. </w:t>
      </w:r>
      <w:r>
        <w:rPr>
          <w:rFonts w:ascii="Arial" w:cs="Arial" w:eastAsia="Arial" w:hAnsi="Arial"/>
          <w:sz w:val="18"/>
          <w:szCs w:val="18"/>
          <w:color w:val="auto"/>
        </w:rPr>
        <w:t>On April 28, 2017, the Company acquired a 100% controlling interest in Sea-Cat Crewzer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its partners' 50% ownership interest (see Notes 2 and 4). Sea-Cat Crewzer had a term loan facility that matures in 2019 which was secured by a first preferred mortgage on its vessels. On December 19, 2017, Sea-Cat Crewzer executed an amendment, at a cost of $0.1 million, that replaced SEACOR Holdings with SEACOR Marine as guarantor and required SEACOR Marine to maintain a debt to capital ratio below a defined threshold and a minimum cash balance on hand in excess of a defined threshold. The facility called for quarterly payments of principal and interest with a balloon payment of $15.3 million due at maturity. The interest rate was fixed at 1.52%, inclusive of an interest rate swap, plus a margin ranging from 2.10% to 2.75% subject to the level of funded debt (overall rate of 5.64% as of December 31, 2017). In the year ended December 31, 2017, the Company made scheduled payments of $1.1 million.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2018, Sea-Cat Crewzer made scheduled payments of $1.6 million. The remaining principal balance of $16.9 million was paid off by the SEACOR Marine Foreign Holdings Syndicated Facility on September 28, 2018.</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C-Lift Acquisition Notes. </w:t>
      </w:r>
      <w:r>
        <w:rPr>
          <w:rFonts w:ascii="Arial" w:cs="Arial" w:eastAsia="Arial" w:hAnsi="Arial"/>
          <w:sz w:val="16"/>
          <w:szCs w:val="16"/>
          <w:color w:val="auto"/>
        </w:rPr>
        <w:t>The Company assumed these notes following the purchase of its partner's 50% interest in C-Lift. The notes were secured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 first mortgage on two liftboats. On December 13, 2017, C-Lift executed an amendment, at a cost of $0.1 million, that replaced SEACOR Holdings with SEACOR Marine as guarantor and required SEACOR Marine to maintain a debt to capital ratio below a defined threshold and a minimum cash balance on hand in excess of a defined threshold. The notes bore interest at variable rates based on LIBOR plus a fixed margin and resets quarterly. The notes matured in December 2019. During the years ended December 31, 2017 and 2016, the Company made scheduled payments of $1.5 million and $1.7 million, respectively.</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2018, C-Lift made scheduled payments of $4.0 million. The remaining principal balance of $12.0 million was paid off by the SEACOR Marine Foreign Holdings Syndicated Facility on September 28, 2018</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Cypress CKOR Term Loan. </w:t>
      </w:r>
      <w:r>
        <w:rPr>
          <w:rFonts w:ascii="Arial" w:cs="Arial" w:eastAsia="Arial" w:hAnsi="Arial"/>
          <w:sz w:val="18"/>
          <w:szCs w:val="18"/>
          <w:color w:val="auto"/>
        </w:rPr>
        <w:t>On December 12, 2016, the Company obtained a 100% controlling interest in Cypress CKOR, an owner of one offshore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vessel, for one dollar and the assumption of $3.1 million in debt (see Note 2). During the years ended December 31, 2017 and 2016, the Company made scheduled payments of $1.2 million and $0.6 million, respectively. In the year ended December 31, 2018, the note was paid in full with payments of $1.3 million.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As of December 31, 2018, the Company had outstanding letters of credit totaling $2.8 million for one lease obligation and labor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performance guarantees.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December 22, 2017, the U.S. Tax Cuts and Jobs Act (the “Tax Act”) was enacted into law. The Tax Act significantly revised the U.S. corporate income tax system. The Tax 66Act established the following new provisions that affected our 2018 income taxes:</w:t>
      </w:r>
    </w:p>
    <w:p>
      <w:pPr>
        <w:spacing w:after="0" w:line="170" w:lineRule="exact"/>
        <w:rPr>
          <w:sz w:val="20"/>
          <w:szCs w:val="20"/>
          <w:color w:val="auto"/>
        </w:rPr>
      </w:pPr>
    </w:p>
    <w:p>
      <w:pPr>
        <w:ind w:left="820" w:hanging="164"/>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U.S. Federal Corporate Income Tax Rate from 35% to 21%;</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created a new provision to tax the income of foreign subsidiaries referred to as GILTI;</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generally eliminated U.S. Federal tax on dividends from foreign subsidiaries;</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created a limitation on deductible interest expense (Sec 163(j));</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established new limitations on the deductibility on compensation for Covered Employees (Sec 162(m)); and</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changed rules regarding utilization and the carryforward period of Net Operating Losses (“NOL’s”) generated after December 31, 2017.</w:t>
      </w:r>
    </w:p>
    <w:p>
      <w:pPr>
        <w:spacing w:after="0" w:line="2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arriving at the 2018 results the Company took into account the impacts of the Tax Act based on our interpretation of the provisions enacted and the proposed regulations issued as of this date. It is anticipated that the IRS and the Department of Treasury will issue additional guidance in the future that could result in changes to previous filed provisions.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GILTI regime effectively imposes a minimum tax on worldwide foreign earnings and subjects U.S. shareholders of controlled foreign corporations ("CFC's) to current taxation on certain income earned through a CFC. For the period ending December 31, 2018, the Company did not have net income for GILTI purposes. The Company has made the policy election to record any liability associated with GILTI in the period in which it is incurred.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Loss before income tax benefit and equity in earnings (losses) of 50% or less owned companies derived from U.S. and foreign companies for the years ended December 31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(90,696)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(169,523)</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Foreign</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(45,112)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(28,095)</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7,313</w:t>
            </w: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(91,984)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(117,023)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(190,305)</w:t>
            </w:r>
          </w:p>
        </w:tc>
      </w:tr>
      <w:tr>
        <w:trPr>
          <w:trHeight w:val="20"/>
        </w:trPr>
        <w:tc>
          <w:tcPr>
            <w:tcW w:w="2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740" w:type="dxa"/>
            <w:vAlign w:val="bottom"/>
            <w:gridSpan w:val="9"/>
          </w:tcPr>
          <w:p>
            <w:pPr>
              <w:jc w:val="right"/>
              <w:ind w:right="860"/>
              <w:spacing w:after="0"/>
              <w:rPr>
                <w:sz w:val="20"/>
                <w:szCs w:val="20"/>
                <w:color w:val="auto"/>
              </w:rPr>
            </w:pPr>
            <w:r>
              <w:rPr>
                <w:rFonts w:ascii="Arial" w:cs="Arial" w:eastAsia="Arial" w:hAnsi="Arial"/>
                <w:sz w:val="18"/>
                <w:szCs w:val="18"/>
                <w:color w:val="auto"/>
                <w:w w:val="96"/>
              </w:rPr>
              <w:t>The components of income tax expense (benefit) for the years ended December 31 were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Federal</w:t>
            </w:r>
          </w:p>
        </w:tc>
        <w:tc>
          <w:tcPr>
            <w:tcW w:w="3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5,987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(16,705)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(20,718)</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Foreign</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(15,421)</w:t>
            </w: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3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(47,692)</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State</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(22,737)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(61,006)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(48,048)</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(74,406)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(63,469)</w:t>
            </w:r>
          </w:p>
        </w:tc>
      </w:tr>
      <w:tr>
        <w:trPr>
          <w:trHeight w:val="656"/>
        </w:trPr>
        <w:tc>
          <w:tcPr>
            <w:tcW w:w="20" w:type="dxa"/>
            <w:vAlign w:val="bottom"/>
          </w:tcPr>
          <w:p>
            <w:pPr>
              <w:spacing w:after="0"/>
              <w:rPr>
                <w:sz w:val="24"/>
                <w:szCs w:val="24"/>
                <w:color w:val="auto"/>
              </w:rPr>
            </w:pPr>
          </w:p>
        </w:tc>
        <w:tc>
          <w:tcPr>
            <w:tcW w:w="328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91</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the Company’s net operating loss carryforwards excluded potential tax benefits of $3.9 million as a result of uncertainty regarding interpretation of the Tax Act. Subsequent guidelines have confirmed that the Company should recognize the tax benefits of $3.9 million and therefore, for the year ending December 31, 2018, the Company removed the uncertain tax position previously established against the net operating loss carryforwards.</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During the preparation of the 2017 federal income tax return, the Company’s management realized that they had overestimated the available foreign taxes that could be credited against the 2017 transition tax. This resulted in an additional tax liability of $3.4 million on its 2017 federal income tax return. This additional liability was recorded as a return-to-provision adjustment to tax expense during the year ended December 31, 2018.</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2018, the Company incurred a current tax liability of $1.4 million related to the non-qualified withdrawal of funds from a Capital Construction Fund (“CCF”) by a partnership in which the Company held a 50% interest. The Company had previously recorded a deferred tax liability in connection with this CCF fund.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difference between the statutory federal income tax rate for the Company and the effective income tax rate for the years ended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U.S. federal income tax law changes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SEACOR Holdings share awards to Company personnel</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0.2 %</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2.3 %</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1.8 %</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Exclusion of foreign subsidiaries with accumulated losses and withholding tax</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9.3 %</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2.7 %</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0.2 %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0.0 %</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0.4 %</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r>
      <w:tr>
        <w:trPr>
          <w:trHeight w:val="20"/>
        </w:trPr>
        <w:tc>
          <w:tcPr>
            <w:tcW w:w="63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63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6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ending December 31, 2018, the Company’s effective income tax rate of 14.5% was lower than the Company’s statutory tax rate of 21% primarily due to foreign subsidiaries with current losses for which there is no current or future federal income tax benefit.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ending December 31, 2017, the Company's effective income tax rate of 63.6% was higher than the Company's statutory tax rate of 35% primarily due to income tax benefits of $43.7 million recognized as a result of the Tax Act. The majority of the income tax benefits recognized were due to a reduction in U.S. tax rates from 35% to 21% applied to the Company's domestic basis differences and the elimination of previously accrued deferred taxes on the unremitted earnings of the Company's foreign subsidiaries.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deferred income tax liabilities as of December 31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65,880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55,262</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50% or Less Owned Companies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65,421</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Net Operating Loss Carryforwards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10,484</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44,682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55,506</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above, the Section 163(j) interest deduction limitations were amended to limit the ability of the Company to deduct net interest expense to thirty percent of adjusted taxable income. For the year ended December 31, 2018, $7.3 million of interest expense was suspended and will be available to be deducted in future years subject to the 30% limitation. Future utilization of NOL’s arising in tax years after December 31, 2017 are limited to eighty percent of taxable income and are allowed to be carried forward indefinitely. As of December 31, 2018, the Company has $42.2 million of net operating losses generated prior to December 31, 2017 and $57.6 million of net operating losses generated in the current year. Net operating losses generated in 2017 may carry forward 20 years (expiring in 2037). The 2018 NOL will carry forward indefinitely with no expiration period but its utilization will be subject to an annual 80 percent of taxable income limitation.</w:t>
      </w:r>
    </w:p>
    <w:p>
      <w:pPr>
        <w:spacing w:after="0" w:line="189" w:lineRule="exact"/>
        <w:rPr>
          <w:sz w:val="20"/>
          <w:szCs w:val="20"/>
          <w:color w:val="auto"/>
        </w:rPr>
      </w:pPr>
    </w:p>
    <w:p>
      <w:pPr>
        <w:jc w:val="center"/>
        <w:ind w:left="560" w:right="340"/>
        <w:spacing w:after="0" w:line="277" w:lineRule="auto"/>
        <w:rPr>
          <w:sz w:val="20"/>
          <w:szCs w:val="20"/>
          <w:color w:val="auto"/>
        </w:rPr>
      </w:pPr>
      <w:r>
        <w:rPr>
          <w:rFonts w:ascii="Arial" w:cs="Arial" w:eastAsia="Arial" w:hAnsi="Arial"/>
          <w:sz w:val="18"/>
          <w:szCs w:val="18"/>
          <w:color w:val="auto"/>
        </w:rPr>
        <w:t>As of December 31, 2018 and 2017, the Company's valuation allowance of $0.6 million related to various state net operating loss carryforwards.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18"/>
          <w:szCs w:val="18"/>
          <w:b w:val="1"/>
          <w:bCs w:val="1"/>
          <w:color w:val="auto"/>
        </w:rPr>
        <w:t>DERIVATIVE INSTRUMENTS AND HEDGING STRATEGIES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Derivative instruments are classified as either assets or liabilities based on their individual fair values. The fair values of the Company's derivative instruments as of December 31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Derivative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7"/>
              </w:rPr>
              <w:t>Derivative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Derivative</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Asset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Liability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Asset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rate swap agreements (cash flow hedges)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Current</w:t>
            </w:r>
          </w:p>
        </w:tc>
        <w:tc>
          <w:tcPr>
            <w:tcW w:w="12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w w:val="97"/>
              </w:rPr>
              <w:t>Derivatives not designated as hedging instruments: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Conversion option liability on Convertible Senior Notes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Long-Term</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Current</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6,898</w:t>
            </w:r>
          </w:p>
        </w:tc>
      </w:tr>
      <w:tr>
        <w:trPr>
          <w:trHeight w:val="211"/>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_________________</w:t>
            </w: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Fair Value Hedges. </w:t>
      </w:r>
      <w:r>
        <w:rPr>
          <w:rFonts w:ascii="Arial" w:cs="Arial" w:eastAsia="Arial" w:hAnsi="Arial"/>
          <w:sz w:val="18"/>
          <w:szCs w:val="18"/>
          <w:color w:val="auto"/>
        </w:rPr>
        <w:t>From time to time, the Company may designate certain of its foreign currency exchange contracts as fair value hedges in respect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capital commitments denominated in foreign currencies. By entering into these foreign currency exchange contracts, the Company may fix a portion of its capital commitments denominated in foreign currencies in U.S. dollars to protect against currency fluctuations. During the year ended December 31, 2017, the Company recognized gains of $0.1 million on these contracts which were recognized to the corresponding hedged equipment included in construction in progress in the accompanying consolidated balance sheets. During the year ended December 31, 2016, the Company recognized losses of $0.8 million on these contracts which were recognized to the corresponding hedged equipment included in construction in progress in the accompanying consolidated balance sheets.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Cash Flow Hedges. </w:t>
      </w:r>
      <w:r>
        <w:rPr>
          <w:rFonts w:ascii="Arial" w:cs="Arial" w:eastAsia="Arial" w:hAnsi="Arial"/>
          <w:sz w:val="17"/>
          <w:szCs w:val="17"/>
          <w:color w:val="auto"/>
        </w:rPr>
        <w:t>The Company and certain of its 50% or less owned companies have interest rate swap agreements designated as cash flow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hedges at their inception. By entering into these interest rate swap agreements, the Company and its 50% or less owned companies have converted the variable LIBOR or EURIBOR component of certain of their outstanding borrowings to a fixed interest rate. The Company recognized losses on derivative instruments designated as cash flow hedges of $1.6 million for the year ended December 31, 2018, gains of $0.2 million for the year ended December 31, 2017 and losses of $2.5 million for the year ended December 31, 2016 as a component of other comprehensive loss. As of December 31, 2018, the interest rate swaps held by the Company and certain of the Company's 50% or less owned companies were as follows:</w:t>
      </w:r>
    </w:p>
    <w:p>
      <w:pPr>
        <w:spacing w:after="0" w:line="178" w:lineRule="exact"/>
        <w:rPr>
          <w:sz w:val="20"/>
          <w:szCs w:val="20"/>
          <w:color w:val="auto"/>
        </w:rPr>
      </w:pPr>
    </w:p>
    <w:p>
      <w:pPr>
        <w:jc w:val="both"/>
        <w:ind w:left="820" w:hanging="164"/>
        <w:spacing w:after="0" w:line="264"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Windcat Workboats had two interest rate swap agreements maturing in 2021 that call for the Company to pay a fixed rate of interest of (0.03%) plus margin on the aggregate notional value of €15.0 million ($17.2 million) and receive a variable interest rate based on EURIBOR on the aggregate notional value;</w:t>
      </w:r>
    </w:p>
    <w:p>
      <w:pPr>
        <w:spacing w:after="0" w:line="208" w:lineRule="exact"/>
        <w:rPr>
          <w:rFonts w:ascii="Arial" w:cs="Arial" w:eastAsia="Arial" w:hAnsi="Arial"/>
          <w:sz w:val="18"/>
          <w:szCs w:val="18"/>
          <w:color w:val="auto"/>
        </w:rPr>
      </w:pPr>
    </w:p>
    <w:p>
      <w:pPr>
        <w:jc w:val="both"/>
        <w:ind w:left="820" w:hanging="164"/>
        <w:spacing w:after="0" w:line="264"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SEACOR Marine Foreign Holdings had an interest rate swap agreement maturing in 2023 that calls for SMFH to pay a fixed rate of interest of 3.32% plus margin on the amortized notional value of $9.8 million and receive a variable interest rate based on LIBOR on the amortized notional value;</w:t>
      </w:r>
    </w:p>
    <w:p>
      <w:pPr>
        <w:spacing w:after="0" w:line="208" w:lineRule="exact"/>
        <w:rPr>
          <w:rFonts w:ascii="Arial" w:cs="Arial" w:eastAsia="Arial" w:hAnsi="Arial"/>
          <w:sz w:val="18"/>
          <w:szCs w:val="18"/>
          <w:color w:val="auto"/>
        </w:rPr>
      </w:pPr>
    </w:p>
    <w:p>
      <w:pPr>
        <w:ind w:left="820" w:right="320" w:hanging="164"/>
        <w:spacing w:after="0" w:line="238" w:lineRule="auto"/>
        <w:tabs>
          <w:tab w:leader="none" w:pos="820" w:val="left"/>
        </w:tabs>
        <w:numPr>
          <w:ilvl w:val="0"/>
          <w:numId w:val="57"/>
        </w:numPr>
        <w:rPr>
          <w:rFonts w:ascii="Arial" w:cs="Arial" w:eastAsia="Arial" w:hAnsi="Arial"/>
          <w:sz w:val="22"/>
          <w:szCs w:val="22"/>
          <w:color w:val="auto"/>
        </w:rPr>
      </w:pPr>
      <w:r>
        <w:rPr>
          <w:rFonts w:ascii="Arial" w:cs="Arial" w:eastAsia="Arial" w:hAnsi="Arial"/>
          <w:sz w:val="18"/>
          <w:szCs w:val="18"/>
          <w:color w:val="auto"/>
        </w:rPr>
        <w:t>SEACOR Marine Foreign Holdings had an interest rate swap agreement maturing in 2023 that calls for SMFH to pay a fixed rate of interest of 3.195% plus margin on the amortized notional value of $54.1 million and receive a variable interest rate based on LIBOR on the amortized notional value;</w:t>
      </w:r>
    </w:p>
    <w:p>
      <w:pPr>
        <w:spacing w:after="0" w:line="202" w:lineRule="exact"/>
        <w:rPr>
          <w:rFonts w:ascii="Arial" w:cs="Arial" w:eastAsia="Arial" w:hAnsi="Arial"/>
          <w:sz w:val="22"/>
          <w:szCs w:val="22"/>
          <w:color w:val="auto"/>
        </w:rPr>
      </w:pPr>
    </w:p>
    <w:p>
      <w:pPr>
        <w:ind w:left="820" w:hanging="164"/>
        <w:spacing w:after="0" w:line="342" w:lineRule="auto"/>
        <w:tabs>
          <w:tab w:leader="none" w:pos="8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SEACOR 88/888 had an interest rate swap agreement maturing in 2023 that calls for Seacor 88/888 to pay a fixed rate of interest of 3.5% plus margin on the amortized notional value of $5.5 million and receive a variable interest rate based on LIBOR on the amortized notional value; and</w:t>
      </w:r>
    </w:p>
    <w:p>
      <w:pPr>
        <w:spacing w:after="0" w:line="150" w:lineRule="exact"/>
        <w:rPr>
          <w:rFonts w:ascii="Arial" w:cs="Arial" w:eastAsia="Arial" w:hAnsi="Arial"/>
          <w:sz w:val="16"/>
          <w:szCs w:val="16"/>
          <w:color w:val="auto"/>
        </w:rPr>
      </w:pPr>
    </w:p>
    <w:p>
      <w:pPr>
        <w:jc w:val="both"/>
        <w:ind w:left="820" w:hanging="164"/>
        <w:spacing w:after="0" w:line="264"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MexMar had five interest rate swap agreements with maturities in 2023 that call for MexMar to pay a fixed rate of interest ranging from 1.71% to 2.10% plus margin on the aggregate amortized notional value of $97.0 million and receive a variable interest rate based on LIBOR on the aggregate amortized notional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Derivative Instruments. </w:t>
      </w:r>
      <w:r>
        <w:rPr>
          <w:rFonts w:ascii="Arial" w:cs="Arial" w:eastAsia="Arial" w:hAnsi="Arial"/>
          <w:sz w:val="17"/>
          <w:szCs w:val="17"/>
          <w:color w:val="auto"/>
        </w:rPr>
        <w:t>The Company utilizes derivative instruments to manage the volatility of cash flows due to fluctuating interest rates.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instruments not qualifying for the normal purchase and normal sale exception are recorded on the balance sheets at fair value. The treatment of the periodic changes in fair value will depend on whether the derivative is designated and effective as a hedge for accounting purposes.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derivative qualifies for hedge accounting and is designated as a cash flow hedge, the effective portion of the change in fair value of the derivative is deferred in Accumulated Other Comprehensive Income (“AOCI”), a component of owners’ equity, and reclassified to earnings when the forecasted transaction occurs. Cash flows from a derivative instrument designated as a hedge are classified in the same category as the cash flows from the item being hedged. As such, we include the cash flows from interest rate derivative instruments in interest expense.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derivative does not qualify as a hedge or is not designated as a hedge, the gain or loss resulting from the change in fair value on the derivative is recognized currently in earnings as a component of other income (expense).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formally document all relationships between hedging instruments and hedged items, as well as its risk management objectives and strategy for undertaking the hedge. This documentation includes the specific identification of the hedging instrument and the hedged item, the nature of the risk being hedged and the manner in which the hedging instrument’s effectiveness will be assessed. At the inception of the hedge, and on an ongoing basis, we assess whether the derivatives used in hedging transactions are highly effective in offsetting changes in cash flows of hedged items.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relationship between the hedging instrument and the hedged item must be highly effective in achieving the offset of changes in cash flows attributable to the hedged risk both at the inception of the contract and on an ongoing basis. We measure hedge ineffectiveness on a quarterly basis and reclassify any ineffective portion of the gain or loss related to the change in fair value to earnings in the current period.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discontinue hedge accounting on a prospective basis when a hedge instrument is terminated or ceases to be highly effective. Gains and losses deferred in AOCI related to cash flow hedges for which hedge accounting has been discontinued remain deferred until the forecasted transaction occurs. If it is no longer probable that a hedged forecasted transaction will occur, deferred gains or losses on the hedging instrument are reclassified to earnings immediately.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balance sheet classification purposes, we analyze the fair values of the derivative instruments on a contract by contract basis and report the related fair values and any related collateral by counterparty on a gross basis.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liability of $6.9 million as of December 31, 2018. The estimated fair value is net of an adjustment for credit risk based on the default probabilities by year as indicated by market quotes for the counterparties’ credit default swap rates. The credit risk adjustment was immaterial for all periods presented.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reflect amounts recorded in Other Comprehensive Income (“OCI”) and amounts reclassified from OCI to revenue and expense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6420" w:type="dxa"/>
            <w:vAlign w:val="bottom"/>
            <w:gridSpan w:val="11"/>
          </w:tcPr>
          <w:p>
            <w:pPr>
              <w:ind w:left="1300"/>
              <w:spacing w:after="0"/>
              <w:rPr>
                <w:sz w:val="20"/>
                <w:szCs w:val="20"/>
                <w:color w:val="auto"/>
              </w:rPr>
            </w:pPr>
            <w:r>
              <w:rPr>
                <w:rFonts w:ascii="Arial" w:cs="Arial" w:eastAsia="Arial" w:hAnsi="Arial"/>
                <w:sz w:val="18"/>
                <w:szCs w:val="18"/>
                <w:b w:val="1"/>
                <w:bCs w:val="1"/>
                <w:color w:val="auto"/>
                <w:w w:val="92"/>
              </w:rPr>
              <w:t>Gain (Loss) Recognized in OCI on Derivatives (Effective Portion)</w:t>
            </w:r>
          </w:p>
        </w:tc>
        <w:tc>
          <w:tcPr>
            <w:tcW w:w="0" w:type="dxa"/>
            <w:vAlign w:val="bottom"/>
          </w:tcPr>
          <w:p>
            <w:pPr>
              <w:spacing w:after="0"/>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 contracts</w:t>
            </w:r>
          </w:p>
        </w:tc>
        <w:tc>
          <w:tcPr>
            <w:tcW w:w="23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(1,939)</w:t>
            </w: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Joint venture interest rate swap contracts</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auto"/>
            </w:tcBorders>
            <w:gridSpan w:val="10"/>
            <w:shd w:val="clear" w:color="auto" w:fill="CCEEFF"/>
          </w:tcPr>
          <w:p>
            <w:pPr>
              <w:spacing w:after="0"/>
              <w:rPr>
                <w:sz w:val="20"/>
                <w:szCs w:val="20"/>
                <w:color w:val="auto"/>
              </w:rPr>
            </w:pPr>
            <w:r>
              <w:rPr>
                <w:rFonts w:ascii="Arial" w:cs="Arial" w:eastAsia="Arial" w:hAnsi="Arial"/>
                <w:sz w:val="18"/>
                <w:szCs w:val="18"/>
                <w:b w:val="1"/>
                <w:bCs w:val="1"/>
                <w:color w:val="auto"/>
                <w:w w:val="91"/>
              </w:rPr>
              <w:t>Gain (Loss) Reclassified from OCI into Income (Effective Portion)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 of Gain</w:t>
            </w: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23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the balance sheet and through earnings rather than being deferred until the anticipated transaction settles. The use of mark-to-market accounting for financial instruments can cause non-cash earnings volatility due to changes in the underlying commodity price indices.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Other Derivative Instruments. </w:t>
      </w:r>
      <w:r>
        <w:rPr>
          <w:rFonts w:ascii="Arial" w:cs="Arial" w:eastAsia="Arial" w:hAnsi="Arial"/>
          <w:sz w:val="18"/>
          <w:szCs w:val="18"/>
          <w:color w:val="auto"/>
        </w:rPr>
        <w:t>The Company recognized gains (losses) on derivative instruments not designated as hedging instruments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8"/>
                <w:szCs w:val="18"/>
                <w:b w:val="1"/>
                <w:bCs w:val="1"/>
                <w:color w:val="auto"/>
              </w:rPr>
              <w:t>Derivative gains (losses), net</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20,422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Options on equities</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Forward currency exchange, option and future contracts</w:t>
            </w:r>
          </w:p>
        </w:tc>
        <w:tc>
          <w:tcPr>
            <w:tcW w:w="10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0"/>
        </w:trPr>
        <w:tc>
          <w:tcPr>
            <w:tcW w:w="6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20,256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conversion option liability relates to the bifurcated embedded conversion option in the Convertible Senior Notes (See Notes 7 and 10).</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certain of the Company's 50% or less owned companies have entered into interest rate swap agreements for the general purpose of providing protection against increases in interest rates, which might lead to higher interest costs. As of December 31, 2018, the interest rate swaps held by the Company or its 50% or less owned companies were as follows:</w:t>
      </w:r>
    </w:p>
    <w:p>
      <w:pPr>
        <w:sectPr>
          <w:pgSz w:w="11900" w:h="16838" w:orient="portrait"/>
          <w:cols w:equalWidth="0" w:num="1">
            <w:col w:w="11420"/>
          </w:cols>
          <w:pgMar w:left="240" w:top="118" w:right="239" w:bottom="0" w:gutter="0" w:footer="0" w:header="0"/>
        </w:sectPr>
      </w:pPr>
    </w:p>
    <w:bookmarkStart w:id="105" w:name="page106"/>
    <w:bookmarkEnd w:id="105"/>
    <w:p>
      <w:pPr>
        <w:jc w:val="both"/>
        <w:ind w:left="164" w:hanging="164"/>
        <w:spacing w:after="0" w:line="264" w:lineRule="auto"/>
        <w:tabs>
          <w:tab w:leader="none" w:pos="1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OSV Partners had two interest rate swap agreements with maturities in 2020 that call for OSV Partners to pay a fixed rate of interest ranging from 1.89% to 2.27% plus margin on the aggregate amortized notional value of $27.9 million and receive a variable interest rate based on LIBOR on the aggregate amortized notional value.</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2017, the Company held positions in publicly traded equity options that convey the right or obligation to engage in a future transaction on the underlying equity security or index. The Company's investment in equity options primarily included positions in energy related businesses. These contracts were typically entered into to mitigate the risk of changes in market value of marketable security positions that the Company was either about to acquire, had acquired or was about to dispose.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enters and settles forward currency exchange, option and future contracts with respect to various foreign currencies. These contracts enable the Company to buy currencies in the future at fixed exchange rates, which could offset possible consequences of changes in currency exchange rates with respect to the Company's business conducted outside of the United States. The Company generally does not enter into contracts with forward settlement dates beyond twelve to eighteen months. There are no outstanding contracts at December 31, 2018.</w:t>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inputs are quoted prices in active markets for identical assets or liabilities. </w:t>
      </w:r>
      <w:r>
        <w:rPr>
          <w:rFonts w:ascii="Arial" w:cs="Arial" w:eastAsia="Arial" w:hAnsi="Arial"/>
          <w:sz w:val="17"/>
          <w:szCs w:val="17"/>
          <w:i w:val="1"/>
          <w:iCs w:val="1"/>
          <w:color w:val="auto"/>
        </w:rPr>
        <w:t>Level 2</w:t>
      </w:r>
      <w:r>
        <w:rPr>
          <w:rFonts w:ascii="Arial" w:cs="Arial" w:eastAsia="Arial" w:hAnsi="Arial"/>
          <w:sz w:val="17"/>
          <w:szCs w:val="17"/>
          <w:color w:val="auto"/>
        </w:rPr>
        <w:t xml:space="preserve"> inputs are observable inputs other than quoted prices included in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inputs are unobservable inputs that are supported by little or no market activity and are significant to the fair value of the assets or liabilities.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financial assets and liabilities as of December 31 that are measured at fair value on a recurring basis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30"/>
                <w:szCs w:val="30"/>
                <w:b w:val="1"/>
                <w:bCs w:val="1"/>
                <w:color w:val="auto"/>
                <w:vertAlign w:val="superscript"/>
              </w:rPr>
              <w:t>(1)</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gridSpan w:val="2"/>
            <w:shd w:val="clear" w:color="auto" w:fill="CCEEFF"/>
          </w:tcPr>
          <w:p>
            <w:pPr>
              <w:jc w:val="right"/>
              <w:ind w:right="296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reserve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28,221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 (included in other current liabilities)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5,276</w:t>
            </w:r>
          </w:p>
        </w:tc>
      </w:tr>
      <w:tr>
        <w:trPr>
          <w:trHeight w:val="216"/>
        </w:trPr>
        <w:tc>
          <w:tcPr>
            <w:tcW w:w="20" w:type="dxa"/>
            <w:vAlign w:val="bottom"/>
          </w:tcPr>
          <w:p>
            <w:pPr>
              <w:spacing w:after="0"/>
              <w:rPr>
                <w:sz w:val="18"/>
                <w:szCs w:val="18"/>
                <w:color w:val="auto"/>
              </w:rPr>
            </w:pPr>
          </w:p>
        </w:tc>
        <w:tc>
          <w:tcPr>
            <w:tcW w:w="6260" w:type="dxa"/>
            <w:vAlign w:val="bottom"/>
            <w:tcBorders>
              <w:bottom w:val="single" w:sz="8" w:color="auto"/>
            </w:tcBorders>
            <w:gridSpan w:val="2"/>
            <w:shd w:val="clear" w:color="auto" w:fill="CCEEFF"/>
          </w:tcPr>
          <w:p>
            <w:pPr>
              <w:jc w:val="right"/>
              <w:ind w:right="296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 (included in other receivables)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Construction reserve funds</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45,361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Derivative instruments (included in other current liabilities)</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w:t>
            </w:r>
          </w:p>
        </w:tc>
      </w:tr>
      <w:tr>
        <w:trPr>
          <w:trHeight w:val="54"/>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3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 the year ended December 31, 2018, the Company recognized a $1.6 million gain in the fair market valuation of the Convertible Senior Notes, as valued by an independent third-party.</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Level 3 Measurement. </w:t>
      </w:r>
      <w:r>
        <w:rPr>
          <w:rFonts w:ascii="Arial" w:cs="Arial" w:eastAsia="Arial" w:hAnsi="Arial"/>
          <w:sz w:val="17"/>
          <w:szCs w:val="17"/>
          <w:color w:val="auto"/>
        </w:rPr>
        <w:t>The fair value of the conversion option liability on the Convertible Senior Notes is estimated with significant inputs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both observable and unobservable in the market and therefore is considered 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marine transportation and energy industries.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40" w:type="dxa"/>
            <w:vAlign w:val="bottom"/>
            <w:gridSpan w:val="10"/>
          </w:tcPr>
          <w:p>
            <w:pPr>
              <w:jc w:val="right"/>
              <w:spacing w:after="0"/>
              <w:rPr>
                <w:sz w:val="20"/>
                <w:szCs w:val="20"/>
                <w:color w:val="auto"/>
              </w:rPr>
            </w:pPr>
            <w:r>
              <w:rPr>
                <w:rFonts w:ascii="Arial" w:cs="Arial" w:eastAsia="Arial" w:hAnsi="Arial"/>
                <w:sz w:val="18"/>
                <w:szCs w:val="18"/>
                <w:color w:val="auto"/>
                <w:w w:val="96"/>
              </w:rPr>
              <w:t>The estimated fair value of the Company's other financial assets and liabilities as of December 31 were as follows (in 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Carrying</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Estimated Fair Value</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760" w:type="dxa"/>
            <w:vAlign w:val="bottom"/>
            <w:gridSpan w:val="2"/>
            <w:shd w:val="clear" w:color="auto" w:fill="CCEEFF"/>
          </w:tcPr>
          <w:p>
            <w:pPr>
              <w:jc w:val="right"/>
              <w:ind w:right="14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w w:val="94"/>
              </w:rPr>
              <w:t>Investments, at cost, in 50% or less owned companies (included in</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w w:val="91"/>
              </w:rPr>
              <w:t>see below</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404,666</w:t>
            </w:r>
          </w:p>
        </w:tc>
        <w:tc>
          <w:tcPr>
            <w:tcW w:w="1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388,949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760" w:type="dxa"/>
            <w:vAlign w:val="bottom"/>
            <w:gridSpan w:val="2"/>
            <w:shd w:val="clear" w:color="auto" w:fill="CCEEFF"/>
          </w:tcPr>
          <w:p>
            <w:pPr>
              <w:jc w:val="right"/>
              <w:ind w:right="14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112,551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112,551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w w:val="94"/>
              </w:rPr>
              <w:t>Investments, at cost, in 50% or less owned companies (included in</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w w:val="96"/>
              </w:rPr>
              <w:t>see below</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314,899</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291,932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carrying value of cash, cash equivalents and restricted cash approximates fair value. The fair value of the Company's long-term debt was estimated by using discounted cash flow analysis based on estimated current rates for similar types of arrangements. It was not practicable to estimate the fair value of the Company's investments, at cost, in 50% or less owned companies because of the lack of a quoted market price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non-financial assets and liabilities that were measured at fair value during the years ended December 31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CCEEFF"/>
          </w:tcPr>
          <w:p>
            <w:pPr>
              <w:jc w:val="right"/>
              <w:ind w:right="28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AHTS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Liftboats</w:t>
            </w:r>
          </w:p>
        </w:tc>
        <w:tc>
          <w:tcPr>
            <w:tcW w:w="1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134,775</w:t>
            </w:r>
          </w:p>
        </w:tc>
      </w:tr>
      <w:tr>
        <w:trPr>
          <w:trHeight w:val="198"/>
        </w:trPr>
        <w:tc>
          <w:tcPr>
            <w:tcW w:w="20" w:type="dxa"/>
            <w:vAlign w:val="bottom"/>
          </w:tcPr>
          <w:p>
            <w:pPr>
              <w:spacing w:after="0"/>
              <w:rPr>
                <w:sz w:val="17"/>
                <w:szCs w:val="17"/>
                <w:color w:val="auto"/>
              </w:rPr>
            </w:pPr>
          </w:p>
        </w:tc>
        <w:tc>
          <w:tcPr>
            <w:tcW w:w="6380" w:type="dxa"/>
            <w:vAlign w:val="bottom"/>
            <w:gridSpan w:val="2"/>
          </w:tcPr>
          <w:p>
            <w:pPr>
              <w:spacing w:after="0" w:line="198" w:lineRule="exact"/>
              <w:rPr>
                <w:sz w:val="20"/>
                <w:szCs w:val="20"/>
                <w:color w:val="auto"/>
              </w:rPr>
            </w:pPr>
            <w:r>
              <w:rPr>
                <w:rFonts w:ascii="Arial" w:cs="Arial" w:eastAsia="Arial" w:hAnsi="Arial"/>
                <w:sz w:val="18"/>
                <w:szCs w:val="18"/>
                <w:color w:val="auto"/>
              </w:rPr>
              <w:t>Specialty</w:t>
            </w:r>
          </w:p>
        </w:tc>
        <w:tc>
          <w:tcPr>
            <w:tcW w:w="1180" w:type="dxa"/>
            <w:vAlign w:val="bottom"/>
          </w:tcPr>
          <w:p>
            <w:pPr>
              <w:spacing w:after="0"/>
              <w:rPr>
                <w:sz w:val="17"/>
                <w:szCs w:val="17"/>
                <w:color w:val="auto"/>
              </w:rPr>
            </w:pPr>
          </w:p>
        </w:tc>
        <w:tc>
          <w:tcPr>
            <w:tcW w:w="460" w:type="dxa"/>
            <w:vAlign w:val="bottom"/>
            <w:gridSpan w:val="2"/>
          </w:tcPr>
          <w:p>
            <w:pPr>
              <w:ind w:left="140"/>
              <w:spacing w:after="0" w:line="19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4,500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r>
      <w:tr>
        <w:trPr>
          <w:trHeight w:val="234"/>
        </w:trPr>
        <w:tc>
          <w:tcPr>
            <w:tcW w:w="20" w:type="dxa"/>
            <w:vAlign w:val="bottom"/>
          </w:tcPr>
          <w:p>
            <w:pPr>
              <w:spacing w:after="0"/>
              <w:rPr>
                <w:sz w:val="20"/>
                <w:szCs w:val="20"/>
                <w:color w:val="auto"/>
              </w:rPr>
            </w:pPr>
          </w:p>
        </w:tc>
        <w:tc>
          <w:tcPr>
            <w:tcW w:w="626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AHTS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FSV</w:t>
            </w:r>
          </w:p>
        </w:tc>
        <w:tc>
          <w:tcPr>
            <w:tcW w:w="11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w:t>
            </w:r>
          </w:p>
        </w:tc>
        <w:tc>
          <w:tcPr>
            <w:tcW w:w="1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Investments, at equity, in 50% or less owned companies</w:t>
            </w:r>
          </w:p>
        </w:tc>
        <w:tc>
          <w:tcPr>
            <w:tcW w:w="118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20,658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20,430</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During the years ended December 31, 2018 and 2017, the Company recognized impairment charges of $14.6 million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$27.5 million, respectively, associated with certain offshore support vessels (see Note 1). The </w:t>
      </w:r>
      <w:r>
        <w:rPr>
          <w:rFonts w:ascii="Arial" w:cs="Arial" w:eastAsia="Arial" w:hAnsi="Arial"/>
          <w:sz w:val="16"/>
          <w:szCs w:val="16"/>
          <w:i w:val="1"/>
          <w:iCs w:val="1"/>
          <w:color w:val="auto"/>
        </w:rPr>
        <w:t>Level 2</w:t>
      </w:r>
      <w:r>
        <w:rPr>
          <w:rFonts w:ascii="Arial" w:cs="Arial" w:eastAsia="Arial" w:hAnsi="Arial"/>
          <w:sz w:val="16"/>
          <w:szCs w:val="16"/>
          <w:color w:val="auto"/>
        </w:rPr>
        <w:t xml:space="preserve"> fair values were determined based on the contracted sales prices of the property and equipment, sales prices of similar property and equipment or scrap value, as applicable. The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values were determined based on third-party valuations using significant inputs that are unobservable in the market. Due to limited market transactions, the primary valuation methodology applied by the appraisers was an estimated cost approach less estimated economic depreciation for comparably aged and conditioned assets less estimated economic obsolescence based on market data or utilization and rates per day worked trending of the vessels since 2014.</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significant unobservable inputs used in the fair value measurement for the AHTS fleet during 2018 listed above were contributed by MOI to wholly-owned subsidiaries of FGH and recorded at fair value.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values were determined based on two separate third-party valuations using significant inputs that are unobservable in the market. Due to limited market transactions, the primary valuation methodology applied by both appraisers was an estimated cost approach less economic depreciation for comparable aged vessels.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 of the vessels was based on a simple average between the two appraisals.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Investments, at equity, in 50% or less owned companies. </w:t>
      </w:r>
      <w:r>
        <w:rPr>
          <w:rFonts w:ascii="Arial" w:cs="Arial" w:eastAsia="Arial" w:hAnsi="Arial"/>
          <w:sz w:val="18"/>
          <w:szCs w:val="18"/>
          <w:color w:val="auto"/>
        </w:rPr>
        <w:t>During the year ended December 31, 2018, the Company marked its investments to zero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certain of its 50% of less owned companies. December 31, 2017, the Company marked its investments to fair value in certain of its 50% or less owned companies. The </w:t>
      </w:r>
      <w:r>
        <w:rPr>
          <w:rFonts w:ascii="Arial" w:cs="Arial" w:eastAsia="Arial" w:hAnsi="Arial"/>
          <w:sz w:val="18"/>
          <w:szCs w:val="18"/>
          <w:i w:val="1"/>
          <w:iCs w:val="1"/>
          <w:color w:val="auto"/>
        </w:rPr>
        <w:t>Level 2</w:t>
      </w:r>
      <w:r>
        <w:rPr>
          <w:rFonts w:ascii="Arial" w:cs="Arial" w:eastAsia="Arial" w:hAnsi="Arial"/>
          <w:sz w:val="18"/>
          <w:szCs w:val="18"/>
          <w:color w:val="auto"/>
        </w:rPr>
        <w:t xml:space="preserve"> fair values were determined based on the purchase price of acquired interests or sales prices of similar equipment held in the venture. The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fair values were determined based on third-party valuations using significant inputs that are unobservable in the market. The Company's partner declined to participate in a capital call from Falcon Global during 2017 and, as a consequence, the Company obtained 100% voting control of Falcon Global in accordance with the terms of the operating agreement (see Note 4). Upon the change in control, the Company's investment in Falcon Global was deemed to approximate fair value.</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8" w:name="page109"/>
    <w:bookmarkEnd w:id="10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26, 2018, the Company closed a private placement of its Common Stock and Warrants to purchase its Common Stock (which were issued to certain investors in place of Common Stock to facilitate compliance with Jones Act restrictions) for aggregate gross proceeds of $56,855,000 (the “PIPE Private Placement”) with certain qualified institutional buyers and other accredited investors. The PIPE Private Placement included the issuance of 2,168,586 shares of Common Stock (the “PIPE Shares”) and Warrants to purchase 674,164 shares of the Common Stock at an exercise price of $0.01 per share (the “PIPE Warrants”). The PIPE Warrants were issued to CME on April 26, 2018, have a 25-year term and an exercise price of $0.01 per share. On May 2, 2018 the Company and Carlyle entered into an amendment and exchange agreement pursuant to which Carlyle exchanged $50.0 million in principal amount of the Convertible Senior Notes for warrants in order to purchase 1,886,292 shares of common stock at an exercise price of $0.01 per shares (the “Exchange Warrants” and, together with the PIPE Warrants, the “Warrants”). The Exchange Warrants have a 25-year term, which commenced May 2, 2018. On May 31, 2018 and June 8, 2018, the 250,693 and 38,857 Warrants exercised, respectively for a penny per share which left 2,271,406 Warrants outstanding as of December 31, 2018.</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January 1, 2018, the Company adopted a new accounting standard issued by the FASB on October 24, 2016, which requires companies to account for the income tax effects of intercompany sales and transfers of assets other than inventory. The impact of the adoption of the new standard resulted in a reduction of $12.1 million to the Company’s opening retained earnings.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8, 2018, the Company formed FGH, a joint venture between the Company and MOI. In accordance with the terms of the Joint Venture Contribution and Formation Agreement, the Company and MOI contributed certain liftboat vessels and other related assets to the joint venture and assumed certain operating liabilities and indebtedness associated with the liftboat vessels and related assets. The transaction consolidated 15 liftboat vessels operated by the Company and six liftboat vessels previously operated by MOI. FGUSA, a wholly-owned subsidiary of FGH, paid $15.0 million of MOI's debtor-in-possession obligations and entered into a $131.1 million credit agreement comprised of the FGUSA Term Loan and the FGUSA Revolving Loan Facility. The Company performed a fair market valuation of the debt resulting in a debt discount of $9.5 million on the FGUSA Term Loan and $0.5 million debt discount on the FGUSA Revolving Loan Facility, which will be amortized over the life of the FGUSA Credit Facility. The debt discount on the FGUSA Revolving Loan Facility resulted in an adjustment of $0.4 million to stockholder's equity.</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26, 2018, the Company issued 103,213 shares of Common Stock to an accredited investor for a total of $1.8 million in gross proceeds pursuant to a private placement in reliance on the exemption from registration set forth in Section 4(a)(2) of the Securities Act.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26, 2018, the Company closed the PIPE Private Placement resulting in aggregate gross proceeds of $56.9 million. The PIPE Private Placement included the issuance of the PIPE Shares and the PIPE Warrants. The PIPE Shares and PIPE Warrants were issued in reliance upon the exemption from registration provided by Section 4(a)(2) of the Securities Act.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2, 2018, the Company and Carlyle entered into the Exchange pursuant to which Carlyle exchanged $50.0 million in principal amount of the Convertible Senior Notes for the Carlyle Warrants. The Carlyle Warrants were issued in reliance upon the exemption from registration provided by Section 4(a)(2) of the Securities Act.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31, 2018 and June 8, 2018, there were 250,693 and 38,857 warrants exercised, respectively for a penny per share. There were 108 shares of Common Stock held in treasury in exchange for the payment of the penny per warrant on certain of the warrants converted.</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IN SUBSIDIARIES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Noncontrolling interests in the Company's consolidated subsidiaries as of December 31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Noncontrolling</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Falcon Global Holdings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Windcat Workboats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29,404</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14,975</w:t>
            </w:r>
          </w:p>
        </w:tc>
      </w:tr>
      <w:tr>
        <w:trPr>
          <w:trHeight w:val="20"/>
        </w:trPr>
        <w:tc>
          <w:tcPr>
            <w:tcW w:w="6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Falcon Global Holdings. </w:t>
      </w:r>
      <w:r>
        <w:rPr>
          <w:rFonts w:ascii="Arial" w:cs="Arial" w:eastAsia="Arial" w:hAnsi="Arial"/>
          <w:sz w:val="17"/>
          <w:szCs w:val="17"/>
          <w:color w:val="auto"/>
        </w:rPr>
        <w:t>On February 8, 2018, a wholly-owned subsidiary of SEACOR Marine and MOI formed and capitalized a joint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named Falcon Global Holdings LLC to operate the Company's liftboat fleet.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FGH and its designated subsidiaries and FGH and its designated subsidiaries assumed certain operating liabilities and indebtedness associated with the liftboat vessels and related assets. The transaction consolidates the 15 liftboat vessels operated by the Company and six liftboat vessels previously operated by MOI. The total capital contributed to FGH was approximately $112.5 million of which, $43.3 million was transferred from FGI and $18.8 million was contributed by MOI and recorded at fair value, with the remaining capital contributed by the Company. The Company consolidates FGH as the Company holds 72% of the equity interest in FGH and is entitled to appoint a majority of the board of managers of FGH.</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2018, the net loss of FGH was $14.3 million, of which $4.0 million was attributable to noncontrolling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net assets of FGH were $98.1 million.</w:t>
      </w:r>
    </w:p>
    <w:p>
      <w:pPr>
        <w:sectPr>
          <w:pgSz w:w="11900" w:h="16838" w:orient="portrait"/>
          <w:cols w:equalWidth="0" w:num="1">
            <w:col w:w="11420"/>
          </w:cols>
          <w:pgMar w:left="240" w:top="118" w:right="239" w:bottom="204" w:gutter="0" w:footer="0" w:header="0"/>
        </w:sectPr>
      </w:pP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04" w:gutter="0" w:footer="0" w:header="0"/>
          <w:type w:val="continuous"/>
        </w:sectPr>
      </w:pPr>
    </w:p>
    <w:bookmarkStart w:id="109" w:name="page110"/>
    <w:bookmarkEnd w:id="10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Windcat Workboats. </w:t>
      </w:r>
      <w:r>
        <w:rPr>
          <w:rFonts w:ascii="Arial" w:cs="Arial" w:eastAsia="Arial" w:hAnsi="Arial"/>
          <w:sz w:val="17"/>
          <w:szCs w:val="17"/>
          <w:color w:val="auto"/>
        </w:rPr>
        <w:t>Windcat Workboats Holdings Ltd. ("Windcat Workboats") owns and operates the Company's crew transfer vessels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used to move personnel and supplies in the major offshore wind markets of Europe. During the year ended December 31, 2017, the Company acquired an additional 12.5% of Windcat Workboats from noncontrolling interests for $3.7 million. As of December 31, 2018 and 2017, the net assets of Windcat Workboats were $16.9 million and $21.1 million, respectively. During the year ended December 31, 2018, the net loss of Windcat Workboats was $3.1 million, of which $0.4 million was attributable to noncontrolling interests. During the year ended December 31, 2017, the net loss of Windcat Workboats was $2.1 million, of which $0.4 million was attributable to noncontrolling interests. During the year ended December 31, 2016, the net loss of Windcat Workboats was $4.5 million, of which $1.1 million was attributable to noncontrolling interests.</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SAVINGS AND MULTI-EMPLOYER PENSION PLANS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SEACOR Marine Savings Plan. </w:t>
      </w:r>
      <w:r>
        <w:rPr>
          <w:rFonts w:ascii="Arial" w:cs="Arial" w:eastAsia="Arial" w:hAnsi="Arial"/>
          <w:sz w:val="18"/>
          <w:szCs w:val="18"/>
          <w:color w:val="auto"/>
        </w:rPr>
        <w:t>On January 1, 2016, the Company's eligible U.S. based employees were transferred from the SEACOR Holdings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sponsored defined contribution plan to the "SEACOR Marine 401(k) Plan," a new Company sponsored defined contribution plan (the "Savings Plan"). Effective upon the June 1, 2017 Spin-off, the Company discontinued its contribution to the Savings Plan up until January 1, 2019, at which time the Company's contribution will be limited to 1.0% of an employee's wages. The Savings Plan costs for the year ended December 31, 2018 and 2017 were not material.</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MNOPF and MNRPF. </w:t>
      </w:r>
      <w:r>
        <w:rPr>
          <w:rFonts w:ascii="Arial" w:cs="Arial" w:eastAsia="Arial" w:hAnsi="Arial"/>
          <w:sz w:val="17"/>
          <w:szCs w:val="17"/>
          <w:color w:val="auto"/>
        </w:rPr>
        <w:t>Certain of the Company's subsidiaries are participating employers in two industry-wide, multi-employer, defined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pension funds in the United Kingdom: the U.K Merchant Navy Officers Pension Fund ("MNOPF") and the U.K. Merchant Navy Ratings Pension Fund ("MNRPF"). The Company's participation in the MNOPF and MNRPF began with the acquisition of the Stirling group of companies in 2001 and relates to the current and former employment of certain officers and ratings by the Company and/or Stirling's predecessors from 1978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direction of a court order, any funding deficit of the MNOPF is to be remedied through funding contributions from all participating current and former employers. Prior to 2015, the Company was invoiced and expensed $19.4 million for its allocated share of the then cumulative funding deficits, including portions deemed uncollectible due to the non-existence or liquidation of certain former employers. On November 7, 2018, the Company received notice from MNOPF that there was a deficit of £9.0 million existed but noted that the trustee did not propose to collect any additional funds in respect of such deficit. Depending on the results of future valuations, it is possible that the MNOPF will experience further funding deficits requiring the Company to recognize payroll related expenses in the periods the notice is received. As of December 31, 2018, the current liability and long-term liability due were $1.5 million and $1.9 million, respectively.</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cumulative funding deficits of the MNRPF were being recovered by additional annual contributions from current employers that were subject to adjustment following the results of future tri-annual actuarial valuations. In 2015, the Company was invoiced and expensed $6.9 million for its share of a funding deficit in the MNRPF. The Company had a repayment plan with the Trustees of the MNRPF for the amount to be repaid in full by October 30, 2018 and the amounts were settled by that date. On July 20, 2018, the Company was notified of additional contributions due and recognized in the second quarter of 2018 payroll related expenses of $1.19 million (£0.9 million) for its allocated share of the cumulative funding deficit including portions deemed uncollectible due to the non-existence or liquidation of certain former employers. The first installments for these additional contributions were invoiced in September 2018 and paid in October 2018 and the final installments will be invoiced in September 2019 for payment in October 2019. Depending upon the results of future actuarial valuations it is possible that the plan could experience further funding deficits that will require the Company to recognize payroll related operating expenses for those periods. As of December 31, 2018, the current liability was $0.4 million.</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Other Plans. </w:t>
      </w:r>
      <w:r>
        <w:rPr>
          <w:rFonts w:ascii="Arial" w:cs="Arial" w:eastAsia="Arial" w:hAnsi="Arial"/>
          <w:sz w:val="18"/>
          <w:szCs w:val="18"/>
          <w:color w:val="auto"/>
        </w:rPr>
        <w:t>Certain employees participate in other defined contribution plans in various international regions including the United Kingdom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Singapore. During the years ended December 31, 2018, 2017 and 2016, the Company incurred costs of $0.7 million per annum in the aggregate related to these plans, primarily from employer matching contributions.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Equity Incentive Plan. </w:t>
      </w:r>
      <w:r>
        <w:rPr>
          <w:rFonts w:ascii="Arial" w:cs="Arial" w:eastAsia="Arial" w:hAnsi="Arial"/>
          <w:sz w:val="17"/>
          <w:szCs w:val="17"/>
          <w:color w:val="auto"/>
        </w:rPr>
        <w:t>During 2017, the Company adopted the SEACOR Marine Holdings Inc. 2017 Equity Incentive Plan (the "2017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Plan authorizes the Compensation Committee, or another committee designated by the Board and made up of two or more non-employee directors and outside directors, to provide equity-based or other incentive-based compensation for the purpose of attracting and retaining the Company and its affiliates' directors, employees and certain consultants, and providing those directors, employees and consultants incentive opportunities and rewards for superior performance. The Board has authorized the issuance of 2,174,000 shares of Common Stock in connection with awards pursuant to the 2017 Plan, which is equal to 10% of the total number shares of SEACOR Marine Common Stock. The types of awards under the 2017 Plan may include stock options, stock appreciation rights, restricted stock and restricted stock units, performance awards and other stock-based awards. As of December 31, 2018, a total of 1,157,924 shares remained available for issuance under the 2017 Plan.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Restricted stock typically vests from one to four years after the date of grant and options to purchase shares of Common Stock typically vest and become exercisable from one to four years after date of grant. Options to purchase shares of Common Stock granted under the 2017 Plan expire no later than the tenth anniversary of the date of grant. In the event of a participant's death, retirement, termination by the Company without cause or a change in control of the Company, as defined in the 2017 Plan, restricted stock vests immediately and in the event of participant's death or retirement, options to purchase shares of Common Stock vest and become immediately exercisable.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Distribution of SEACOR Marine Restricted Stock by SEACOR Holdings. </w:t>
      </w:r>
      <w:r>
        <w:rPr>
          <w:rFonts w:ascii="Arial" w:cs="Arial" w:eastAsia="Arial" w:hAnsi="Arial"/>
          <w:sz w:val="18"/>
          <w:szCs w:val="18"/>
          <w:color w:val="auto"/>
        </w:rPr>
        <w:t>Certain officers and employees of the Company previously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through participation in SEACOR Holdings share award plans. Pursuant to the Employee Matters Agreement with SEACOR Holdings, participating Company personnel vested in all outstanding SEACOR Holdings share awards upon the Spin-off in 2017 and received SEACOR Marine restricted stock from the Spin-off distribution in connection with outstanding SEACOR Holdings restricted stock held. As a consequence, the Company paid SEACOR Holdings $2.7 million upon completion of the Spin-off for the distribution of 120,693 shares of SEACOR Marine restricted stock, which is being amortized over the participants' remaining original vesting periods (see Note 16).</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During 2017, the Company adopted the SEACOR Marine Holdings Inc. 2017 Employee Stock Purchase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"Marine ESPP"). The Marine ESPP, if implemented by the Company's board of directors, will permit the Company to offer shares of its Common Stock for purchase by eligible employees at a price equal to 85% of the lesser of (i) the fair market value of a share of its Common Stock on the first day of the offering period or (ii) the fair market value of a share of its Common Stock on the last day of the offering period. There are 300,000 shares of the Company's Common Stock reserved for issuance under the Marine ESPP during the ten years following its adoption.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Share Award Transactions. </w:t>
      </w:r>
      <w:r>
        <w:rPr>
          <w:rFonts w:ascii="Arial" w:cs="Arial" w:eastAsia="Arial" w:hAnsi="Arial"/>
          <w:sz w:val="16"/>
          <w:szCs w:val="16"/>
          <w:color w:val="auto"/>
        </w:rPr>
        <w:t>The following transactions have occurred in connection with the Company's share-based compensation under the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during the years ended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Stock Awards Granted</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19,285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Activity:</w:t>
            </w:r>
          </w:p>
        </w:tc>
        <w:tc>
          <w:tcPr>
            <w:tcW w:w="2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Outstanding as of the beginning of year</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121,693</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 - 2017 Plan</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w w:val="98"/>
              </w:rPr>
              <w:t>Distributed by SEACOR Holdings in connection with the Spin-off</w:t>
            </w:r>
          </w:p>
        </w:tc>
        <w:tc>
          <w:tcPr>
            <w:tcW w:w="274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49,947</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27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the end of year</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192,346</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 Activity:</w:t>
            </w:r>
          </w:p>
        </w:tc>
        <w:tc>
          <w:tcPr>
            <w:tcW w:w="2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Outstanding as of the beginning of year</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613,700</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 - 2017 Plan</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258,491</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66,625</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2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Expired</w:t>
            </w:r>
          </w:p>
        </w:tc>
        <w:tc>
          <w:tcPr>
            <w:tcW w:w="27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the end of year</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805,566</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613,700</w:t>
            </w:r>
          </w:p>
        </w:tc>
        <w:tc>
          <w:tcPr>
            <w:tcW w:w="0" w:type="dxa"/>
            <w:vAlign w:val="bottom"/>
          </w:tcPr>
          <w:p>
            <w:pPr>
              <w:spacing w:after="0"/>
              <w:rPr>
                <w:sz w:val="1"/>
                <w:szCs w:val="1"/>
                <w:color w:val="auto"/>
              </w:rPr>
            </w:pPr>
          </w:p>
        </w:tc>
      </w:tr>
      <w:tr>
        <w:trPr>
          <w:trHeight w:val="872"/>
        </w:trPr>
        <w:tc>
          <w:tcPr>
            <w:tcW w:w="20" w:type="dxa"/>
            <w:vAlign w:val="bottom"/>
          </w:tcPr>
          <w:p>
            <w:pPr>
              <w:spacing w:after="0"/>
              <w:rPr>
                <w:sz w:val="24"/>
                <w:szCs w:val="24"/>
                <w:color w:val="auto"/>
              </w:rPr>
            </w:pPr>
          </w:p>
        </w:tc>
        <w:tc>
          <w:tcPr>
            <w:tcW w:w="536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tcPr>
          <w:p>
            <w:pPr>
              <w:jc w:val="right"/>
              <w:ind w:right="2230"/>
              <w:spacing w:after="0"/>
              <w:rPr>
                <w:sz w:val="20"/>
                <w:szCs w:val="20"/>
                <w:color w:val="auto"/>
              </w:rPr>
            </w:pPr>
            <w:r>
              <w:rPr>
                <w:rFonts w:ascii="Arial" w:cs="Arial" w:eastAsia="Arial" w:hAnsi="Arial"/>
                <w:sz w:val="18"/>
                <w:szCs w:val="18"/>
                <w:color w:val="auto"/>
              </w:rPr>
              <w:t>99</w:t>
            </w:r>
          </w:p>
        </w:tc>
        <w:tc>
          <w:tcPr>
            <w:tcW w:w="1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2018, the Company recognized $4.4 million of compensation expense related to stock awards, restricted stock and stock options granted to employees and directors under the 2017 Plan. As of December 31, 2018, the Company had approximately $6.8 million in total unrecognized compensation costs. The weighted average period over which the compensation cost of non-vested awards will be recognized is approximately 1.7982 and 1.4542 years for stock options and restricted stock, respectively.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2017, the Company recognized $0.8 million of compensation expense related to stock awards, restricted stock and stock options granted to employees and directors under the 2017 Plan and $0.6 million of compensation expense related to SEACOR Marine restricted stock distributed to employees by SEACOR Holdings in connection with the Spin-off (collectively referred to as "share awards"). As of December 31, 2017, the Company had approximately $5.2 million in total unrecognized compensation costs.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weighted average fair value of restricted stock granted under the 2017 Plan was $21.63 and $12.50 for the year ended December 31, 2018 and 2017, respectively. The fair value was based the closing price of the Company's stock on the day of the grant. The weighted average fair value of stock options granted under the 2017 Plan was $9.99 and $6.42 for the year ended December 31, 2018 and 2017, respectively. The fair value of each option granted during the years ended December 31, 2018 and 2017, was estimated on the date of grant using the Black-Scholes option pricing model with the following assumptions: (a) no dividend yield; (b) weighted average expected volatility of 50.4 and 52.5, respectively; (c) weighted average discount rate of 2.79% and 2.22%, respectively and (d) expected life of 6.00 years. The intrinsic value of stock options exercised during 2018 was $0.8 million.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2018, the number of shares and the weighted average grant price of restricted stock transactions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44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b w:val="1"/>
                <w:bCs w:val="1"/>
                <w:color w:val="auto"/>
              </w:rPr>
              <w:t>Restricted Stock</w:t>
            </w:r>
          </w:p>
        </w:tc>
      </w:tr>
      <w:tr>
        <w:trPr>
          <w:trHeight w:val="191"/>
        </w:trPr>
        <w:tc>
          <w:tcPr>
            <w:tcW w:w="7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Weight Average</w:t>
            </w:r>
          </w:p>
        </w:tc>
      </w:tr>
      <w:tr>
        <w:trPr>
          <w:trHeight w:val="234"/>
        </w:trPr>
        <w:tc>
          <w:tcPr>
            <w:tcW w:w="79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Grant Price</w:t>
            </w:r>
          </w:p>
        </w:tc>
        <w:tc>
          <w:tcPr>
            <w:tcW w:w="24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24.01</w:t>
            </w: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120,600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r>
      <w:tr>
        <w:trPr>
          <w:trHeight w:val="21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24.85</w:t>
            </w: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Non-Vested as of December 31,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22.32</w:t>
            </w:r>
          </w:p>
        </w:tc>
      </w:tr>
      <w:tr>
        <w:trPr>
          <w:trHeight w:val="20"/>
        </w:trPr>
        <w:tc>
          <w:tcPr>
            <w:tcW w:w="7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the number of shares and the weighted average exercise price on stock option transactions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3440" w:type="dxa"/>
            <w:vAlign w:val="bottom"/>
            <w:tcBorders>
              <w:bottom w:val="single" w:sz="8" w:color="auto"/>
            </w:tcBorders>
            <w:gridSpan w:val="5"/>
          </w:tcPr>
          <w:p>
            <w:pPr>
              <w:ind w:left="1160"/>
              <w:spacing w:after="0"/>
              <w:rPr>
                <w:sz w:val="20"/>
                <w:szCs w:val="20"/>
                <w:color w:val="auto"/>
              </w:rPr>
            </w:pPr>
            <w:r>
              <w:rPr>
                <w:rFonts w:ascii="Arial" w:cs="Arial" w:eastAsia="Arial" w:hAnsi="Arial"/>
                <w:sz w:val="18"/>
                <w:szCs w:val="18"/>
                <w:b w:val="1"/>
                <w:bCs w:val="1"/>
                <w:color w:val="auto"/>
              </w:rPr>
              <w:t>Stock Options</w:t>
            </w:r>
          </w:p>
        </w:tc>
      </w:tr>
      <w:tr>
        <w:trPr>
          <w:trHeight w:val="191"/>
        </w:trPr>
        <w:tc>
          <w:tcPr>
            <w:tcW w:w="116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Weight Average</w:t>
            </w:r>
          </w:p>
        </w:tc>
      </w:tr>
      <w:tr>
        <w:trPr>
          <w:trHeight w:val="234"/>
        </w:trPr>
        <w:tc>
          <w:tcPr>
            <w:tcW w:w="11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Number of 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Grant Price</w:t>
            </w:r>
          </w:p>
        </w:tc>
        <w:tc>
          <w:tcPr>
            <w:tcW w:w="240" w:type="dxa"/>
            <w:vAlign w:val="bottom"/>
          </w:tcPr>
          <w:p>
            <w:pPr>
              <w:spacing w:after="0"/>
              <w:rPr>
                <w:sz w:val="20"/>
                <w:szCs w:val="20"/>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613,700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258,491</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19.70</w:t>
            </w: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66,625</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r>
      <w:tr>
        <w:trPr>
          <w:trHeight w:val="20"/>
        </w:trPr>
        <w:tc>
          <w:tcPr>
            <w:tcW w:w="116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color w:val="auto"/>
              </w:rPr>
              <w:t>Non-Vested as of December 31, 2018</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805,566</w:t>
            </w:r>
          </w:p>
        </w:tc>
        <w:tc>
          <w:tcPr>
            <w:tcW w:w="1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14.81</w:t>
            </w: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798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Exercisable as of December 31, 2018</w:t>
            </w:r>
            <w:r>
              <w:rPr>
                <w:rFonts w:ascii="Arial" w:cs="Arial" w:eastAsia="Arial" w:hAnsi="Arial"/>
                <w:sz w:val="22"/>
                <w:szCs w:val="22"/>
                <w:color w:val="auto"/>
                <w:vertAlign w:val="superscript"/>
              </w:rPr>
              <w:t>(1)</w:t>
            </w:r>
          </w:p>
        </w:tc>
        <w:tc>
          <w:tcPr>
            <w:tcW w:w="17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261,691</w:t>
            </w:r>
          </w:p>
        </w:tc>
        <w:tc>
          <w:tcPr>
            <w:tcW w:w="1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14.02</w:t>
            </w:r>
          </w:p>
        </w:tc>
      </w:tr>
      <w:tr>
        <w:trPr>
          <w:trHeight w:val="35"/>
        </w:trPr>
        <w:tc>
          <w:tcPr>
            <w:tcW w:w="1160" w:type="dxa"/>
            <w:vAlign w:val="bottom"/>
            <w:tcBorders>
              <w:top w:val="single" w:sz="8" w:color="CCEEFF"/>
              <w:bottom w:val="single" w:sz="8" w:color="auto"/>
            </w:tcBorders>
          </w:tcPr>
          <w:p>
            <w:pPr>
              <w:spacing w:after="0"/>
              <w:rPr>
                <w:sz w:val="3"/>
                <w:szCs w:val="3"/>
                <w:color w:val="auto"/>
              </w:rPr>
            </w:pPr>
          </w:p>
        </w:tc>
        <w:tc>
          <w:tcPr>
            <w:tcW w:w="6820" w:type="dxa"/>
            <w:vAlign w:val="bottom"/>
            <w:tcBorders>
              <w:top w:val="single" w:sz="8" w:color="CCEEFF"/>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140" w:type="dxa"/>
            <w:vAlign w:val="bottom"/>
            <w:tcBorders>
              <w:top w:val="single" w:sz="8" w:color="CCEEFF"/>
            </w:tcBorders>
          </w:tcPr>
          <w:p>
            <w:pPr>
              <w:spacing w:after="0"/>
              <w:rPr>
                <w:sz w:val="3"/>
                <w:szCs w:val="3"/>
                <w:color w:val="auto"/>
              </w:rPr>
            </w:pPr>
          </w:p>
        </w:tc>
        <w:tc>
          <w:tcPr>
            <w:tcW w:w="1360" w:type="dxa"/>
            <w:vAlign w:val="bottom"/>
            <w:tcBorders>
              <w:top w:val="single" w:sz="8" w:color="CCEEFF"/>
            </w:tcBorders>
          </w:tcPr>
          <w:p>
            <w:pPr>
              <w:spacing w:after="0"/>
              <w:rPr>
                <w:sz w:val="3"/>
                <w:szCs w:val="3"/>
                <w:color w:val="auto"/>
              </w:rPr>
            </w:pPr>
          </w:p>
        </w:tc>
        <w:tc>
          <w:tcPr>
            <w:tcW w:w="240" w:type="dxa"/>
            <w:vAlign w:val="bottom"/>
            <w:tcBorders>
              <w:top w:val="single" w:sz="8" w:color="CCEEFF"/>
            </w:tcBorders>
          </w:tcPr>
          <w:p>
            <w:pPr>
              <w:spacing w:after="0"/>
              <w:rPr>
                <w:sz w:val="3"/>
                <w:szCs w:val="3"/>
                <w:color w:val="auto"/>
              </w:rPr>
            </w:pPr>
          </w:p>
        </w:tc>
      </w:tr>
    </w:tbl>
    <w:p>
      <w:pPr>
        <w:spacing w:after="0" w:line="3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weighted average remaining contractual term is 8.9849 years.</w:t>
      </w:r>
    </w:p>
    <w:p>
      <w:pPr>
        <w:spacing w:after="0" w:line="208" w:lineRule="exact"/>
        <w:rPr>
          <w:sz w:val="20"/>
          <w:szCs w:val="20"/>
          <w:color w:val="auto"/>
        </w:rPr>
      </w:pPr>
    </w:p>
    <w:p>
      <w:pPr>
        <w:ind w:firstLine="1225"/>
        <w:spacing w:after="0" w:line="308" w:lineRule="auto"/>
        <w:rPr>
          <w:sz w:val="20"/>
          <w:szCs w:val="20"/>
          <w:color w:val="auto"/>
        </w:rPr>
      </w:pPr>
      <w:r>
        <w:rPr>
          <w:rFonts w:ascii="Arial" w:cs="Arial" w:eastAsia="Arial" w:hAnsi="Arial"/>
          <w:sz w:val="17"/>
          <w:szCs w:val="17"/>
          <w:color w:val="auto"/>
        </w:rPr>
        <w:t>As of December 31, 2018, there were 805,566 stock options outstanding with a weighted average exercise price of $14.81 and a weighted average remaining contractual term of 9.0224 years. As of December 31, 2018, there was no aggregate intrinsic value for options outstanding.</w:t>
      </w:r>
    </w:p>
    <w:p>
      <w:pPr>
        <w:spacing w:after="0" w:line="386"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provided services of $0.1 million to SEACOR Holdings during each of the years ended December 31, 2017 and 2016.</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Spin-off, SEACOR Marine entered into certain agreements with SEACOR Holdings that govern SEACOR Marine's relationship with SEACOR Holdings following the Spin-off, including a Distribution Agreement, two Transition Services Agreements, an Employee Matters Agreement and a Tax Matters Agreement.</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December 31, 2018, SEACOR Holdings had guaranteed $40.6 million for various obligations of the Company, including performance obligations under sale-leaseback arrangements (see Note 6) and invoiced amounts for funding deficits under the MNOPF (see Note 14). As of December 31, 2017, SEACOR Holdings had guaranteed $69.1 million for various obligations of the Company, including: BNDES Equipment Construction Finance Notes (see Note 8); letters of credit issued on behalf of the Company; performance obligations under sale-leaseback arrangements (see Note 6); and invoiced amounts for funding deficits under the MNOPF (see Note 15). Pursuant to a Transition Services Agreement with SEACOR Holdings, SEACOR Holdings charges the Company a fee of 0.5% on outstanding guaranteed amounts, which declines as the guaranteed obligations are settled by the Company. The Company recognized guarantee fees in connection with sale-leaseback arrangements of $0.3 million, $0.3 million and $0.4 million during 2018, 2017 and 2016, respectively, as additional leased-in equipment operating expenses in the accompanying consolidated statements of loss. Guarantee fees paid to SEACOR Holdings for all other obligations are recognized as SEACOR Holdings guarantee fees in the accompanying consolidated statements of loss.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one of the Transitions Services Agreements with SEACOR Holdings, the Company is obligated to reimburse SEACOR Holdings up to 50% of the severance and restructuring costs actually incurred by SEACOR Holdings as a result of the Spin-off up to, but not in excess of, $6.0 million (such that the Company shall not be obligated to pay more than $3.0 million). As of December 31, 2018 and 2017, the Company had reimbursed SEACOR Holdings severance and restructuring costs of $0 and $0.7 million, respectively, which were recognized as additional administrative and general expenses in the accompanying consolidated statements of loss.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Immediately preceding the Spin-off and pursuant to an Investment Agreement dated November 30, 2015 with the holders of the Convertible Senior Notes, the Company reimbursed SEACOR Holdings for the final settlement of non-deductible Spin-off related expenses of $3.4 million recognized as additional administrative and general expenses in the accompanying consolidated statements of loss.</w:t>
      </w:r>
    </w:p>
    <w:p>
      <w:pPr>
        <w:sectPr>
          <w:pgSz w:w="11900" w:h="16838" w:orient="portrait"/>
          <w:cols w:equalWidth="0" w:num="1">
            <w:col w:w="11420"/>
          </w:cols>
          <w:pgMar w:left="240" w:top="118"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18" w:right="239" w:bottom="0" w:gutter="0" w:footer="0" w:header="0"/>
          <w:type w:val="continuous"/>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completion of the Spin-off, the Company is no longer charged for management fees or shared services allocation (see below) for administrative support by SEACOR Holdings; however, the Company continues to be supported by SEACOR Holdings for corporate services pursuant to the Transition Services Agreements with SEACOR Holdings under which it was initially charged $6.3 million annually for these services. The fees incurred will decline as the services and functions provided by SEACOR Holdings are terminated and replicated within the Company. For the year ended December 31, 2018 and 2017, the Company incurred fees of $4.5 million and $3.3 million, respectively, for these services that were recognized as additional administrative and general expenses in the accompanying consolidated statements of loss.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Spin-off, certain costs and expenses of the Company were borne by SEACOR Holdings and charged to the Company. These costs and expenses are included in both operating and administrative and general expenses in the accompanying consolidated statements of loss and are summarized as follows for the years ended December 31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Participation in SEACOR Holdings employee benefit plans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3,702</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Participation in SEACOR Holdings share award plans</w:t>
            </w:r>
          </w:p>
        </w:tc>
        <w:tc>
          <w:tcPr>
            <w:tcW w:w="11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Shared services allocation for administrative support</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w:t>
            </w:r>
          </w:p>
        </w:tc>
      </w:tr>
      <w:tr>
        <w:trPr>
          <w:trHeight w:val="20"/>
        </w:trPr>
        <w:tc>
          <w:tcPr>
            <w:tcW w:w="64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6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11,214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12,655</w:t>
            </w:r>
          </w:p>
        </w:tc>
      </w:tr>
      <w:tr>
        <w:trPr>
          <w:trHeight w:val="20"/>
        </w:trPr>
        <w:tc>
          <w:tcPr>
            <w:tcW w:w="6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820" w:hanging="164"/>
        <w:spacing w:after="0" w:line="264"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SEACOR Holdings maintained self-insured health benefit plans for participating employees, including those of the Company, and charged the Company for its share of total plan costs incurred based on the percentage of its participating employees. Following the Spin-off, the Company no longer participates in SEACOR Holdings' self-insured health benefit plans;</w:t>
      </w:r>
    </w:p>
    <w:p>
      <w:pPr>
        <w:spacing w:after="0" w:line="208" w:lineRule="exact"/>
        <w:rPr>
          <w:rFonts w:ascii="Arial" w:cs="Arial" w:eastAsia="Arial" w:hAnsi="Arial"/>
          <w:sz w:val="18"/>
          <w:szCs w:val="18"/>
          <w:color w:val="auto"/>
        </w:rPr>
      </w:pPr>
    </w:p>
    <w:p>
      <w:pPr>
        <w:jc w:val="both"/>
        <w:ind w:left="820" w:hanging="164"/>
        <w:spacing w:after="0" w:line="271" w:lineRule="auto"/>
        <w:tabs>
          <w:tab w:leader="none" w:pos="8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certain officers and employees of the Company received compensation through participation in SEACOR Holdings' share award plans. The Company paid SEACOR Holdings for the fair value of its employees' share awards. Pursuant to the Employee Matters Agreement with SEACOR Holdings, participating Company personnel vested in all outstanding SEACOR Holdings share awards upon the Spin-off and received SEACOR Marine restricted stock from the Spin-off distribution in connection with outstanding SEACOR Holdings restricted stock held. As a consequence, the Company paid SEACOR Holdings $9.4 million upon completion of the Spin-off, including $2.7 million for the distribution of 120,693 shares of SEACOR Marine restricted stock (see Note 15), which is being amortized over the participants' remaining original vesting periods, and $6.7 million on the accelerated vesting of SEACOR Holdings share awards, which was immediately recognized. In addition, the Company recognized and paid share award expense of $1.7 million through the date of the Spin-off; and</w:t>
      </w:r>
    </w:p>
    <w:p>
      <w:pPr>
        <w:spacing w:after="0" w:line="205" w:lineRule="exact"/>
        <w:rPr>
          <w:rFonts w:ascii="Arial" w:cs="Arial" w:eastAsia="Arial" w:hAnsi="Arial"/>
          <w:sz w:val="17"/>
          <w:szCs w:val="17"/>
          <w:color w:val="auto"/>
        </w:rPr>
      </w:pPr>
    </w:p>
    <w:p>
      <w:pPr>
        <w:jc w:val="both"/>
        <w:ind w:left="820" w:hanging="164"/>
        <w:spacing w:after="0" w:line="312" w:lineRule="auto"/>
        <w:tabs>
          <w:tab w:leader="none" w:pos="8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prior to the Spin-off, SEACOR Holdings provided certain administrative support services to the Company under a shared services arrangement, including but not limited to payroll processing, information systems support, benefit plan management, cash disbursement support and treasury management. The Company was charged for its share of actual costs incurred generally based on volume processed or units supported.</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the Spin-off, SEACOR Holdings incurred various corporate costs in connection with providing certain corporate services, including, but not limited to, executive oversight, risk management, legal, accounting and tax, and charged quarterly management fees to the Company in order to fund its corporate overhead to cover such costs. Total management fees charged by SEACOR Holdings to the Company included actual corporate costs incurred plus a mark-up and were generally allocated within the consolidated group using income-based performance metrics reported by an operating segment in relation to SEACOR Holdings' other operating segments. On November 30, 2015, contemporaneously with the issuance of the Convertible Senior Notes, the Company and SEACOR Holdings entered into an agreement for SEACOR Holdings to provide these services at a fixed rate of $7.7 million per annum beginning December 1, 2015 until the Spin-off. The Company's incurred management fees from SEACOR Holdings were settled on a monthly basis and reported as SEACOR Holdings management fees in the accompanying consolidated statements of loss.</w:t>
      </w:r>
    </w:p>
    <w:p>
      <w:pPr>
        <w:spacing w:after="0" w:line="179" w:lineRule="exact"/>
        <w:rPr>
          <w:sz w:val="20"/>
          <w:szCs w:val="20"/>
          <w:color w:val="auto"/>
        </w:rPr>
      </w:pPr>
    </w:p>
    <w:p>
      <w:pPr>
        <w:jc w:val="both"/>
        <w:ind w:firstLine="1458"/>
        <w:spacing w:after="0" w:line="270" w:lineRule="auto"/>
        <w:rPr>
          <w:sz w:val="20"/>
          <w:szCs w:val="20"/>
          <w:color w:val="auto"/>
        </w:rPr>
      </w:pPr>
      <w:r>
        <w:rPr>
          <w:rFonts w:ascii="Arial" w:cs="Arial" w:eastAsia="Arial" w:hAnsi="Arial"/>
          <w:sz w:val="17"/>
          <w:szCs w:val="17"/>
          <w:color w:val="auto"/>
        </w:rPr>
        <w:t>Charles Fabrikant (Non-Executive Chairman of SEACOR Marine), John Gellert (President, Chief Executive Officer and Director of SEACOR Marine), other members of the Company's management and board of directors and other unaffiliated individuals indirectly invested in OSV Partners by purchasing interests from three unaffiliated limited partners of OSV Partners who wished to dispose of their interests. During 2018, OSV Partners raised $7.5 million of cash: $5 million in the form of second lien debt and $2.5 million in the form of class A preferred interests. As of December 31, 2018, limited liability companies controlled by management and directors of the Company had invested $1.5 million, or 3.9%, in the limited partner interests; $0.3 million, or 5.0%, in preferred interests; $0.2 million, or 3.9%, in the form of second lien debt; and $0.1 million, or 3.9%, in the class A preferred interests of OSV Partners. As of December 31, 2018, the investments of Messrs. Fabrikant and Gellert in such limited liability companies were $0.3 million and $0.4 million, respectively, representing 31.7% of such limited liability companies' membership interests. The Company owns 30.4% in the limited partner interests, 38.6% in the preferred interests, 43.0% of the second lien debt, and 43.0% in the class A preferred interest of OSV Partners. The general partner of OSV Partners is a joint venture managed by the Company and an unaffiliated third-party.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25, 2019, Seabulk Overseas Transport, Inc. ("Seabulk Overseas"), a wholly-owned subsidiary of SEACOR Marine, acquired a 6.25% minority interest in Windcat Workboats that it did not previously own upon the exercise of a put options by one of the two minority owners, each of whom is a member (or an affiliate of a member) of management of Windcat Workboats, pursuant to the terms of a certain Subscription and Shareholders Agreement, as amended, for consideration of £1,552,780 ($2.0 million). In addition, the other minority owner has exercised its put option to sell its 6.25% minority interest in Windcat Workboats to the Company, and the parties have not yet closed the sale. The two acquisitions will result in Seabulk Overseas owning 100% of Windcat Workboats, a consolidated subsidiary which owns and operates the Company's crew transfer vessels that are primarily used to move personnel and supplies in Europe’s offshore wind markets.</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4" w:name="page115"/>
    <w:bookmarkEnd w:id="1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2018, the Company had capital commitments of $78.2 million that included four FSVs, three supply vessels, two crew transfer vessels, and three platform supply vessels. The Company's capital commitments by year of expected payment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w w:val="84"/>
              </w:rPr>
              <w:t>2019</w:t>
            </w:r>
          </w:p>
        </w:tc>
        <w:tc>
          <w:tcPr>
            <w:tcW w:w="5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51,132</w:t>
            </w:r>
          </w:p>
        </w:tc>
      </w:tr>
      <w:tr>
        <w:trPr>
          <w:trHeight w:val="216"/>
        </w:trPr>
        <w:tc>
          <w:tcPr>
            <w:tcW w:w="5100" w:type="dxa"/>
            <w:vAlign w:val="bottom"/>
          </w:tcPr>
          <w:p>
            <w:pPr>
              <w:jc w:val="right"/>
              <w:ind w:right="4650"/>
              <w:spacing w:after="0"/>
              <w:rPr>
                <w:sz w:val="20"/>
                <w:szCs w:val="20"/>
                <w:color w:val="auto"/>
              </w:rPr>
            </w:pPr>
            <w:r>
              <w:rPr>
                <w:rFonts w:ascii="Arial" w:cs="Arial" w:eastAsia="Arial" w:hAnsi="Arial"/>
                <w:sz w:val="18"/>
                <w:szCs w:val="18"/>
                <w:color w:val="auto"/>
                <w:w w:val="84"/>
              </w:rPr>
              <w:t>2020</w:t>
            </w:r>
          </w:p>
        </w:tc>
        <w:tc>
          <w:tcPr>
            <w:tcW w:w="47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27,046</w:t>
            </w:r>
          </w:p>
        </w:tc>
        <w:tc>
          <w:tcPr>
            <w:tcW w:w="100" w:type="dxa"/>
            <w:vAlign w:val="bottom"/>
          </w:tcPr>
          <w:p>
            <w:pPr>
              <w:spacing w:after="0"/>
              <w:rPr>
                <w:sz w:val="18"/>
                <w:szCs w:val="18"/>
                <w:color w:val="auto"/>
              </w:rPr>
            </w:pPr>
          </w:p>
        </w:tc>
      </w:tr>
      <w:tr>
        <w:trPr>
          <w:trHeight w:val="230"/>
        </w:trPr>
        <w:tc>
          <w:tcPr>
            <w:tcW w:w="510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78,178</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indefinitely deferred an additional $20.2 million of orders with respect to tow FSVs for which the Company had previously reported unfunded capital commitments.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 things, claims by third-parties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growth prospects.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the Company leases five unimpaired offshore support vessels and certain facilities and other equipment. These leasing agreements have been classified as operating leases for financial reporting purposes and related rental fees are charged to expense over the lease terms. The leases generally contain purchase and lease renewal options or rights of first refusal with respect to the sale or lease of the equipment. The lease terms generally range in duration from one to three years (see Note 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$2.5 million available under its Windcat Workboats credit facilities.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SEGMENT INFORMATION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years ended December 31, 2018, 2017 and 2016, Perenco was responsible for $26.5 million or 10.3%, $26.8 million or 15.2% and $28.4 million or 13.2%, respectively, of the Company's total consolidated operating revenues. During the years ended December 31, 2018, 2017 and 2016, the ten largest customers of the Company accounted for approximately 47%, 59%, and 58%, respectively, of the Company's operating revenues. The loss of one or more of these customers could have a material adverse effect on the Company's results of operations and cash flows.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years ended December 31, 2018, 2017 and 2016, approximately 79%, 87%, and 85%, respectively, of the Company's operating revenues and $(1.3) million, $1.9 million, and $(4.2) million, respectively, of equity in (losses) earnings from 50% or less owned companies, net of tax, were derived from its foreign operations.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offshore support vessels are highly mobile and regularly and routinely move between countries within a geographic region of the world. In addition, these vessels may be redeployed among the geographic regions, subject to flag restrictions, as changes in market conditions dictate. Because of this asset mobility, operating revenues and long-lived assets in any one country and capital expenditures for long-lived assets and gains or losses on asset dispositions and impairments in any one geographic region are not considered meaningful.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tables summarize (in thousands) the operating results and property and equipment of the Company's reportable segments. Direct vessel profit is the Company's measure of segment profitability, a key metric in assessing the performance of its fleet. Direct vessel profit is defined as operating revenues less direct operating expenses excluding leased-in equipment expense. The Company utilizes direct vessel profit as its primary financial measure to analyze and compare the operating performance of its individual vessels, fleet categories, regions and combined fleet.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United States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Africa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Europe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Gulf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(primarily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of Mexico)</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North Sea)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2018</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72,188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4,635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49,185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23,532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75,820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64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9,614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64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20,864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17,320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10,467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15,144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Administrative and general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52,813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23,227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18,762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432,336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306,897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194,963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(224,737)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(55,206)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(81,378)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(57,002)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(142,949)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(561,272)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207,599</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225,519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52,014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681,462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20" w:type="dxa"/>
            <w:vAlign w:val="bottom"/>
            <w:gridSpan w:val="2"/>
          </w:tcPr>
          <w:p>
            <w:pPr>
              <w:spacing w:after="0" w:line="223"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351,748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140,335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260,002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137,983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59,716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949,784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Total assets exclude $153,151 thousand of corporate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United States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Africa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Europe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Gulf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(primarily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of Mexico)</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North Sea)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2017</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73,213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4,636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33,884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8,165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75,492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173,783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Direct Vessel Profit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(3,415)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22,309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Administrative and general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22,060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17,724</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(23,547)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(128,359)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2017</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410,475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326,378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177,899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(230,636)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(57,228)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(100,435)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(37,281)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(134,580)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(560,160)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179,839</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225,943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43,319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619,676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20" w:type="dxa"/>
            <w:vAlign w:val="bottom"/>
            <w:gridSpan w:val="2"/>
          </w:tcPr>
          <w:p>
            <w:pPr>
              <w:spacing w:after="0" w:line="223"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310,675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140,173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234,471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103,135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50,704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839,158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60" w:hanging="652"/>
        <w:spacing w:after="0" w:line="194" w:lineRule="auto"/>
        <w:tabs>
          <w:tab w:leader="none" w:pos="660" w:val="left"/>
        </w:tabs>
        <w:numPr>
          <w:ilvl w:val="0"/>
          <w:numId w:val="72"/>
        </w:numPr>
        <w:rPr>
          <w:rFonts w:ascii="Arial" w:cs="Arial" w:eastAsia="Arial" w:hAnsi="Arial"/>
          <w:sz w:val="29"/>
          <w:szCs w:val="29"/>
          <w:color w:val="auto"/>
          <w:vertAlign w:val="superscript"/>
        </w:rPr>
      </w:pPr>
      <w:r>
        <w:rPr>
          <w:rFonts w:ascii="Arial" w:cs="Arial" w:eastAsia="Arial" w:hAnsi="Arial"/>
          <w:sz w:val="14"/>
          <w:szCs w:val="14"/>
          <w:color w:val="auto"/>
        </w:rPr>
        <w:t>Total assets exclude $169,346 thousand of corporate assets</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United States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Africa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Europe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Gulf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(primarily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of Mexico)</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North Sea)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2016</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78,866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10,209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81,122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15,638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18,770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21,622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Administrative and general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(116,222)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(174,888)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404,226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136,428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197,389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162,972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(233,075)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(60,794)</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(97,433)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(34,455)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(114,862)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(540,619)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171,151</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99,956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20" w:type="dxa"/>
            <w:vAlign w:val="bottom"/>
            <w:gridSpan w:val="2"/>
          </w:tcPr>
          <w:p>
            <w:pPr>
              <w:spacing w:after="0" w:line="223"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325,190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96,847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140,166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94,373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84,783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992,692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Total assets exclude $22,427 thousand of corporate assets.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investments in 50% or less owned companies, which are accounted for under the equity method, also contribute to its consolidated results of operations. As of December 31, 2018, the Company's investments, at equity and advances to 50% or less owned companies in MexMar and its other 50% or less owned companies were $53.8 million and $65.8 million, respectively (see Note 4). Equity in (losses) earnings of 50% or less owned companies, net of tax for the years ended December 31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MexMar</w:t>
            </w:r>
          </w:p>
        </w:tc>
        <w:tc>
          <w:tcPr>
            <w:tcW w:w="43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(6,151)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(9,870)</w:t>
            </w:r>
          </w:p>
        </w:tc>
      </w:tr>
      <w:tr>
        <w:trPr>
          <w:trHeight w:val="20"/>
        </w:trPr>
        <w:tc>
          <w:tcPr>
            <w:tcW w:w="3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1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(3,415)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(6,314)</w:t>
            </w:r>
          </w:p>
        </w:tc>
      </w:tr>
      <w:tr>
        <w:trPr>
          <w:trHeight w:val="413"/>
        </w:trPr>
        <w:tc>
          <w:tcPr>
            <w:tcW w:w="3100" w:type="dxa"/>
            <w:vAlign w:val="bottom"/>
            <w:tcBorders>
              <w:top w:val="single" w:sz="8" w:color="CCEEFF"/>
            </w:tcBorders>
          </w:tcPr>
          <w:p>
            <w:pPr>
              <w:spacing w:after="0"/>
              <w:rPr>
                <w:sz w:val="24"/>
                <w:szCs w:val="24"/>
                <w:color w:val="auto"/>
              </w:rPr>
            </w:pPr>
          </w:p>
        </w:tc>
        <w:tc>
          <w:tcPr>
            <w:tcW w:w="3300" w:type="dxa"/>
            <w:vAlign w:val="bottom"/>
            <w:tcBorders>
              <w:top w:val="single" w:sz="8" w:color="CCEEFF"/>
            </w:tcBorders>
          </w:tcPr>
          <w:p>
            <w:pPr>
              <w:jc w:val="right"/>
              <w:ind w:right="470"/>
              <w:spacing w:after="0"/>
              <w:rPr>
                <w:sz w:val="20"/>
                <w:szCs w:val="20"/>
                <w:color w:val="auto"/>
              </w:rPr>
            </w:pPr>
            <w:r>
              <w:rPr>
                <w:rFonts w:ascii="Arial" w:cs="Arial" w:eastAsia="Arial" w:hAnsi="Arial"/>
                <w:sz w:val="18"/>
                <w:szCs w:val="18"/>
                <w:color w:val="auto"/>
              </w:rPr>
              <w:t>105</w:t>
            </w: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18" w:name="page119"/>
    <w:bookmarkEnd w:id="1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right="4220" w:hanging="652"/>
        <w:spacing w:after="0" w:line="563" w:lineRule="auto"/>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FOR STATEMENTS OF CASH FLOWS </w:t>
      </w:r>
      <w:r>
        <w:rPr>
          <w:rFonts w:ascii="Arial" w:cs="Arial" w:eastAsia="Arial" w:hAnsi="Arial"/>
          <w:sz w:val="16"/>
          <w:szCs w:val="16"/>
          <w:color w:val="auto"/>
        </w:rPr>
        <w:t>Supplemental information for the years ended December 31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refunded, net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33,773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paid, excluding capitalized interest</w:t>
            </w: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21,031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Exchange of receivable for investment in 50% or less owned company</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Equipment received to settle notes receivable</w:t>
            </w:r>
          </w:p>
        </w:tc>
        <w:tc>
          <w:tcPr>
            <w:tcW w:w="9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11,900</w:t>
            </w:r>
          </w:p>
        </w:tc>
      </w:tr>
    </w:tbl>
    <w:p>
      <w:pPr>
        <w:spacing w:after="0" w:line="200" w:lineRule="exact"/>
        <w:rPr>
          <w:sz w:val="20"/>
          <w:szCs w:val="20"/>
          <w:color w:val="auto"/>
        </w:rPr>
      </w:pPr>
    </w:p>
    <w:p>
      <w:pPr>
        <w:spacing w:after="0" w:line="227"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left="140" w:right="140" w:firstLine="648"/>
        <w:spacing w:after="0" w:line="312" w:lineRule="auto"/>
        <w:rPr>
          <w:sz w:val="20"/>
          <w:szCs w:val="20"/>
          <w:color w:val="auto"/>
        </w:rPr>
      </w:pPr>
      <w:r>
        <w:rPr>
          <w:rFonts w:ascii="Arial" w:cs="Arial" w:eastAsia="Arial" w:hAnsi="Arial"/>
          <w:sz w:val="16"/>
          <w:szCs w:val="16"/>
          <w:color w:val="auto"/>
        </w:rPr>
        <w:t>On January 9, 2019, the Company acquired three FSVs in exchange for the private placement of 603,872 shares of its common stock to domestic U.S. holders affiliated with the McCall family of Louisiana. The Company has operated the acquired vessels for the past ten years under a revenue sharing pooling agreement that included four of its owned FSVs of similar specification. In accordance with its terms, this pooling agreement was terminated.</w:t>
      </w:r>
    </w:p>
    <w:p>
      <w:pPr>
        <w:spacing w:after="0" w:line="147"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On January 25, 2019, Seabulk Overseas, a wholly-owned subsidiary of SEACOR Marine, acquired a 6.25% minority interest in Windcat Workboats that it did not previously own upon the exercise of a put option by one of the two minority owners pursuant to the terms of a certain Subscription and Shareholders Agreement, as amended, for consideration of £1,552,780 ($2.0 million). In addition, the other minority owner has exercised a put option to sell its 6.25% minority interest in Windcat Workboats to the Company, and the parties have not yet closed the sale. The two acquisitions will result in Seabulk Overseas owning 100% of Windcat Workboats, a consolidated subsidiary which owns and operates the Company's crew transfer vessels that are primarily used to move personnel and supplies in Europe’s offshore wind markets.</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Selected financial information for interim quarterly periods is presented below (in thousands, except share data). Earnings (loss) per common share of SEACOR Marine Holdings Inc. are computed independently for each of the quarters presented and the sum of the quarterly earnings per share may not necessarily equal the total for the year.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Dec.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Sept. 30,</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bottom w:val="single" w:sz="8" w:color="auto"/>
            </w:tcBorders>
            <w:shd w:val="clear" w:color="auto" w:fill="CCEEFF"/>
          </w:tcPr>
          <w:p>
            <w:pPr>
              <w:jc w:val="right"/>
              <w:ind w:right="27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70,932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70,255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60,701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51,721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(24,414)</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(15,766)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(26,629)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(31,688)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SEACOR Marine Holdings Inc.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(28,833)</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Loss Per Common Share of SEACOR Marine Holdings Inc.</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Loss Per Common Share of SEACOR Marine Holdings Inc.</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r>
      <w:tr>
        <w:trPr>
          <w:trHeight w:val="210"/>
        </w:trPr>
        <w:tc>
          <w:tcPr>
            <w:tcW w:w="20" w:type="dxa"/>
            <w:vAlign w:val="bottom"/>
          </w:tcPr>
          <w:p>
            <w:pPr>
              <w:spacing w:after="0"/>
              <w:rPr>
                <w:sz w:val="18"/>
                <w:szCs w:val="18"/>
                <w:color w:val="auto"/>
              </w:rPr>
            </w:pPr>
          </w:p>
        </w:tc>
        <w:tc>
          <w:tcPr>
            <w:tcW w:w="594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34,304</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(29,129)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(44,815)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(18,585)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(22,356)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(7,599)</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(Loss) attributable to SEACOR Marine Holdings Inc.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(20,475)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(33,992)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(7,395)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Income (Loss) Per Common Share of SEACOR Marine Holdings Inc.</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97"/>
              </w:rPr>
              <w:t>Diluted Income (Loss) Per Common Share of SEACOR Marine Holdings Inc.</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r>
      <w:tr>
        <w:trPr>
          <w:trHeight w:val="418"/>
        </w:trPr>
        <w:tc>
          <w:tcPr>
            <w:tcW w:w="596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(Recoveries)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 Cost and</w:t>
            </w: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86"/>
              </w:rPr>
              <w:t xml:space="preserve">Deductions </w:t>
            </w:r>
            <w:r>
              <w:rPr>
                <w:rFonts w:ascii="Arial" w:cs="Arial" w:eastAsia="Arial" w:hAnsi="Arial"/>
                <w:sz w:val="30"/>
                <w:szCs w:val="30"/>
                <w:b w:val="1"/>
                <w:bCs w:val="1"/>
                <w:color w:val="auto"/>
                <w:w w:val="86"/>
                <w:vertAlign w:val="superscript"/>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End</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of Year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Expenses</w:t>
            </w:r>
          </w:p>
        </w:tc>
        <w:tc>
          <w:tcPr>
            <w:tcW w:w="12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of Year</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5"/>
              </w:rPr>
              <w:t>Allowance for doubtful accounts (deducted from trade and notes receivable)</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(928)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(2,251)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5"/>
              </w:rPr>
              <w:t>Allowance for doubtful accounts (deducted from trade and notes receivable)</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(1,283)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w w:val="95"/>
              </w:rPr>
              <w:t>Allowance for doubtful accounts (deducted from trade and notes receivable)</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4,280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9"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Trade receivable amounts deemed uncollectible that were removed from accounts receivable and allowance for doubtful accounts.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 for the Executive Officers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Set forth below is a summary of the compensation by SEACOR Marine Holdings Inc. (the “Company”) to its named executive officers in their positions as of the date of filing of the Company's Annual Report on Form 10-K for the year ended December 31, 2018. All of the Company's executive officers are at-will employees whose compensation and employment status may be changed at any time in the discretion of the Company's Board of Directors.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The named executive officers are scheduled to receive the following annual base salaries in their current positions: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Name and Current Position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John Gellert, President and Chief Executive Officer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Jesus Llorca, Executive Vice President and Chief Financial Officer</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Robert Clemons, Executive Vice President and Chief Operating Officer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Cash Bonus and Share Incentive Plan. </w:t>
      </w:r>
      <w:r>
        <w:rPr>
          <w:rFonts w:ascii="Arial" w:cs="Arial" w:eastAsia="Arial" w:hAnsi="Arial"/>
          <w:sz w:val="18"/>
          <w:szCs w:val="18"/>
          <w:color w:val="auto"/>
        </w:rPr>
        <w:t>In their current positions, the named executive officers are eligible to:</w:t>
      </w:r>
    </w:p>
    <w:p>
      <w:pPr>
        <w:spacing w:after="0" w:line="229" w:lineRule="exact"/>
        <w:rPr>
          <w:sz w:val="20"/>
          <w:szCs w:val="20"/>
          <w:color w:val="auto"/>
        </w:rPr>
      </w:pPr>
    </w:p>
    <w:p>
      <w:pPr>
        <w:ind w:left="1300" w:hanging="482"/>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receive an annual cash incentive award subject to the discretion of the Compensation Committee of the Board of Directors; and</w:t>
      </w:r>
    </w:p>
    <w:p>
      <w:pPr>
        <w:spacing w:after="0" w:line="290" w:lineRule="exact"/>
        <w:rPr>
          <w:rFonts w:ascii="Arial" w:cs="Arial" w:eastAsia="Arial" w:hAnsi="Arial"/>
          <w:sz w:val="17"/>
          <w:szCs w:val="17"/>
          <w:color w:val="auto"/>
        </w:rPr>
      </w:pPr>
    </w:p>
    <w:p>
      <w:pPr>
        <w:ind w:left="1300" w:hanging="482"/>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participate in incentive programs, which currently involve awards of restricted stock and stock options pursuant to SEACOR Marine Holdings Inc.'s 2017 Equity Incentive Plan (Exhibit 10.5 in this Annual Report on Form 10-K).</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Benefit Plans and Other Arrangements. </w:t>
      </w:r>
      <w:r>
        <w:rPr>
          <w:rFonts w:ascii="Arial" w:cs="Arial" w:eastAsia="Arial" w:hAnsi="Arial"/>
          <w:sz w:val="18"/>
          <w:szCs w:val="18"/>
          <w:color w:val="auto"/>
        </w:rPr>
        <w:t>In their current positions, the named executive officers are eligible to participate in the Company's broad-based benefit programs generally available to its salaried employees, including health, disability and life insurance programs and a qualified 401(k) plan, subject to applicable law.</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Directors who are not employees of SEACOR Marine Holdings Inc. (the “Company”) receive an annual retainer of $50,000 and each of such directors is also granted options and Common Stock pursuant to the SEACOR Marine Holding Inc.'s 2017 Equity Incentive Plan (Exhibit 10.5 in this Annual Report on Form 10-K).</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SEACOR MARINE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96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w w:val="98"/>
              </w:rPr>
              <w:t>SUBSIDIARIES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96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5"/>
              </w:rPr>
              <w:t>AS OF DECEMBER 31, 2018</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560" w:type="dxa"/>
            <w:vAlign w:val="bottom"/>
            <w:gridSpan w:val="2"/>
          </w:tcPr>
          <w:p>
            <w:pPr>
              <w:ind w:left="580"/>
              <w:spacing w:after="0"/>
              <w:rPr>
                <w:sz w:val="20"/>
                <w:szCs w:val="20"/>
                <w:color w:val="auto"/>
              </w:rPr>
            </w:pPr>
            <w:r>
              <w:rPr>
                <w:rFonts w:ascii="Arial" w:cs="Arial" w:eastAsia="Arial" w:hAnsi="Arial"/>
                <w:sz w:val="18"/>
                <w:szCs w:val="18"/>
                <w:b w:val="1"/>
                <w:bCs w:val="1"/>
                <w:color w:val="auto"/>
              </w:rPr>
              <w:t>Jurisdiction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5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of Incorporation/Formation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Aaron S McCall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Alya McCall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Boston Putford Offshore Safety Limited</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C-Lift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Compania Empresarial Del Mar Y Navegacion S.A. de C.V.</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CTV Crewing Services Ltd</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Cypress Ckor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Derby Offshore Supply Pty Ltd</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Falcon Diamond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Falcon Global Holdings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Falcon Global International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Falcon Global Jill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Falcon Global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Falcon Global Offshore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Falcon Global Offshore II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Falcon Global Robert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Falcon Global USA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Falcon Pearl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Graham Offshore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Infraestructura Del Mar, S. de R.L. de C.V.</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Liam J McCall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Maranta S.A.</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McCall’s Boat Rentals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Michael G McCall LLC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Montco Global,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Putford Achiever Limited</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Putford Defender Limited</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Putford Jaguar Limited</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Putford Phoenix Limited</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Putford Pride Limited</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Putford Saviour Limited</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SAN Offshore Marine Inc.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Sea Mar Offshore LLC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Seabulk Angola Holdings, Inc.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Seabulk Command, Inc.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Seabulk Congo, Inc.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Liberia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Seabulk E. G. Holdings, Inc.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Seabulk Eagle II, Inc.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Seabulk Freedom, Inc.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Seabulk Ghana Holdings Inc.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Seabulk Global Carriers, Inc.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Seabulk Marine International Inc.</w:t>
            </w:r>
          </w:p>
        </w:tc>
        <w:tc>
          <w:tcPr>
            <w:tcW w:w="24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Seabulk Offshore Dubai, Inc.</w:t>
            </w:r>
          </w:p>
        </w:tc>
        <w:tc>
          <w:tcPr>
            <w:tcW w:w="24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Seabulk Offshore Equatorial Guinea, S.L.</w:t>
            </w:r>
          </w:p>
        </w:tc>
        <w:tc>
          <w:tcPr>
            <w:tcW w:w="24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Equatorial Guinea</w:t>
            </w:r>
          </w:p>
        </w:tc>
        <w:tc>
          <w:tcPr>
            <w:tcW w:w="0" w:type="dxa"/>
            <w:vAlign w:val="bottom"/>
          </w:tcPr>
          <w:p>
            <w:pPr>
              <w:spacing w:after="0"/>
              <w:rPr>
                <w:sz w:val="1"/>
                <w:szCs w:val="1"/>
                <w:color w:val="auto"/>
              </w:rPr>
            </w:pPr>
          </w:p>
        </w:tc>
      </w:tr>
      <w:tr>
        <w:trPr>
          <w:trHeight w:val="587"/>
        </w:trPr>
        <w:tc>
          <w:tcPr>
            <w:tcW w:w="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Seabulk Offshore Holdings,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Seabulk Offshore International FZE</w:t>
            </w:r>
          </w:p>
        </w:tc>
        <w:tc>
          <w:tcPr>
            <w:tcW w:w="6320" w:type="dxa"/>
            <w:vAlign w:val="bottom"/>
          </w:tcPr>
          <w:p>
            <w:pPr>
              <w:ind w:left="1760"/>
              <w:spacing w:after="0"/>
              <w:rPr>
                <w:sz w:val="20"/>
                <w:szCs w:val="20"/>
                <w:color w:val="auto"/>
              </w:rPr>
            </w:pPr>
            <w:r>
              <w:rPr>
                <w:rFonts w:ascii="Arial" w:cs="Arial" w:eastAsia="Arial" w:hAnsi="Arial"/>
                <w:sz w:val="18"/>
                <w:szCs w:val="18"/>
                <w:color w:val="auto"/>
              </w:rPr>
              <w:t>United Arab Emirates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Seabulk Offshore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Seabulk Offshore Operators, Inc.</w:t>
            </w:r>
          </w:p>
        </w:tc>
        <w:tc>
          <w:tcPr>
            <w:tcW w:w="6320" w:type="dxa"/>
            <w:vAlign w:val="bottom"/>
          </w:tcPr>
          <w:p>
            <w:pPr>
              <w:ind w:left="1760"/>
              <w:spacing w:after="0"/>
              <w:rPr>
                <w:sz w:val="20"/>
                <w:szCs w:val="20"/>
                <w:color w:val="auto"/>
              </w:rPr>
            </w:pPr>
            <w:r>
              <w:rPr>
                <w:rFonts w:ascii="Arial" w:cs="Arial" w:eastAsia="Arial" w:hAnsi="Arial"/>
                <w:sz w:val="18"/>
                <w:szCs w:val="18"/>
                <w:color w:val="auto"/>
              </w:rPr>
              <w:t>Florida</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Seabulk Offshore Venture Holdings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Seabulk Offshore Vessel Holdings Inc.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Seabulk Operators,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Florida</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Seabulk Overseas Transport, Inc.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Seabulk South Atlantic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Seabulk Tims I, Inc.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Seabulk Transmarine II,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Florida</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SEA-CAT CREWZER LLC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SEA-CAT CREWZER II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SEA-CAT CREWZER III LLC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88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888 LLC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Acadian Companies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Acadian Marine LLC</w:t>
            </w:r>
          </w:p>
        </w:tc>
        <w:tc>
          <w:tcPr>
            <w:tcW w:w="632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Alps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Andes LLC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Atlas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Capital (Singapore) Pte. Ltd.</w:t>
            </w:r>
          </w:p>
        </w:tc>
        <w:tc>
          <w:tcPr>
            <w:tcW w:w="6320" w:type="dxa"/>
            <w:vAlign w:val="bottom"/>
          </w:tcPr>
          <w:p>
            <w:pPr>
              <w:ind w:left="1760"/>
              <w:spacing w:after="0"/>
              <w:rPr>
                <w:sz w:val="20"/>
                <w:szCs w:val="20"/>
                <w:color w:val="auto"/>
              </w:rPr>
            </w:pPr>
            <w:r>
              <w:rPr>
                <w:rFonts w:ascii="Arial" w:cs="Arial" w:eastAsia="Arial" w:hAnsi="Arial"/>
                <w:sz w:val="18"/>
                <w:szCs w:val="18"/>
                <w:color w:val="auto"/>
              </w:rPr>
              <w:t>Singapore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Capital (UK) Limited</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England</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Doha Holdings LLC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Eagle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Flex AS</w:t>
            </w:r>
          </w:p>
        </w:tc>
        <w:tc>
          <w:tcPr>
            <w:tcW w:w="6320" w:type="dxa"/>
            <w:vAlign w:val="bottom"/>
          </w:tcPr>
          <w:p>
            <w:pPr>
              <w:ind w:left="1760"/>
              <w:spacing w:after="0"/>
              <w:rPr>
                <w:sz w:val="20"/>
                <w:szCs w:val="20"/>
                <w:color w:val="auto"/>
              </w:rPr>
            </w:pPr>
            <w:r>
              <w:rPr>
                <w:rFonts w:ascii="Arial" w:cs="Arial" w:eastAsia="Arial" w:hAnsi="Arial"/>
                <w:sz w:val="18"/>
                <w:szCs w:val="18"/>
                <w:color w:val="auto"/>
              </w:rPr>
              <w:t>Norway</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Ghana Holdings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(GP) KS</w:t>
            </w:r>
          </w:p>
        </w:tc>
        <w:tc>
          <w:tcPr>
            <w:tcW w:w="6320" w:type="dxa"/>
            <w:vAlign w:val="bottom"/>
          </w:tcPr>
          <w:p>
            <w:pPr>
              <w:ind w:left="1760"/>
              <w:spacing w:after="0"/>
              <w:rPr>
                <w:sz w:val="20"/>
                <w:szCs w:val="20"/>
                <w:color w:val="auto"/>
              </w:rPr>
            </w:pPr>
            <w:r>
              <w:rPr>
                <w:rFonts w:ascii="Arial" w:cs="Arial" w:eastAsia="Arial" w:hAnsi="Arial"/>
                <w:sz w:val="18"/>
                <w:szCs w:val="18"/>
                <w:color w:val="auto"/>
              </w:rPr>
              <w:t>Norway</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Hawk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International Chartering Inc.</w:t>
            </w:r>
          </w:p>
        </w:tc>
        <w:tc>
          <w:tcPr>
            <w:tcW w:w="632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LB Holdings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LB Offshore LLC</w:t>
            </w:r>
          </w:p>
        </w:tc>
        <w:tc>
          <w:tcPr>
            <w:tcW w:w="632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LB Offshore (MI)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LB Realty LLC</w:t>
            </w:r>
          </w:p>
        </w:tc>
        <w:tc>
          <w:tcPr>
            <w:tcW w:w="632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Liftboats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Alpine LLC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Asia Holdings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(Asia) Pte. Ltd.</w:t>
            </w:r>
          </w:p>
        </w:tc>
        <w:tc>
          <w:tcPr>
            <w:tcW w:w="6320" w:type="dxa"/>
            <w:vAlign w:val="bottom"/>
          </w:tcPr>
          <w:p>
            <w:pPr>
              <w:ind w:left="1760"/>
              <w:spacing w:after="0"/>
              <w:rPr>
                <w:sz w:val="20"/>
                <w:szCs w:val="20"/>
                <w:color w:val="auto"/>
              </w:rPr>
            </w:pPr>
            <w:r>
              <w:rPr>
                <w:rFonts w:ascii="Arial" w:cs="Arial" w:eastAsia="Arial" w:hAnsi="Arial"/>
                <w:sz w:val="18"/>
                <w:szCs w:val="18"/>
                <w:color w:val="auto"/>
              </w:rPr>
              <w:t>Singapore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Australia Pty Ltd</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Australia</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AZ LLC</w:t>
            </w:r>
          </w:p>
        </w:tc>
        <w:tc>
          <w:tcPr>
            <w:tcW w:w="6320" w:type="dxa"/>
            <w:vAlign w:val="bottom"/>
          </w:tcPr>
          <w:p>
            <w:pPr>
              <w:ind w:left="1760"/>
              <w:spacing w:after="0"/>
              <w:rPr>
                <w:sz w:val="20"/>
                <w:szCs w:val="20"/>
                <w:color w:val="auto"/>
              </w:rPr>
            </w:pPr>
            <w:r>
              <w:rPr>
                <w:rFonts w:ascii="Arial" w:cs="Arial" w:eastAsia="Arial" w:hAnsi="Arial"/>
                <w:sz w:val="18"/>
                <w:szCs w:val="18"/>
                <w:color w:val="auto"/>
              </w:rPr>
              <w:t>Azerbaijan</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(Bahamas) Inc.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Capital Inc.</w:t>
            </w:r>
          </w:p>
        </w:tc>
        <w:tc>
          <w:tcPr>
            <w:tcW w:w="632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(Cyprus) Ltd.</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Cyprus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Foreign Holdings Inc.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Guernsey Ltd.</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Guernsey</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Holdings Inc.</w:t>
            </w:r>
          </w:p>
        </w:tc>
        <w:tc>
          <w:tcPr>
            <w:tcW w:w="632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(International) Limited</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England and Wales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International LLC</w:t>
            </w:r>
          </w:p>
        </w:tc>
        <w:tc>
          <w:tcPr>
            <w:tcW w:w="6320" w:type="dxa"/>
            <w:vAlign w:val="bottom"/>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International 2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SEACOR Marine International Holdings LLC</w:t>
            </w:r>
          </w:p>
        </w:tc>
        <w:tc>
          <w:tcPr>
            <w:tcW w:w="6320" w:type="dxa"/>
            <w:vAlign w:val="bottom"/>
          </w:tcPr>
          <w:p>
            <w:pPr>
              <w:ind w:left="1760"/>
              <w:spacing w:after="0"/>
              <w:rPr>
                <w:sz w:val="20"/>
                <w:szCs w:val="20"/>
                <w:color w:val="auto"/>
              </w:rPr>
            </w:pPr>
            <w:r>
              <w:rPr>
                <w:rFonts w:ascii="Arial" w:cs="Arial" w:eastAsia="Arial" w:hAnsi="Arial"/>
                <w:sz w:val="18"/>
                <w:szCs w:val="18"/>
                <w:color w:val="auto"/>
              </w:rPr>
              <w:t>Marshall Islands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SEACOR Marine LLC</w:t>
            </w:r>
          </w:p>
        </w:tc>
        <w:tc>
          <w:tcPr>
            <w:tcW w:w="63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Delaware</w:t>
            </w:r>
          </w:p>
        </w:tc>
      </w:tr>
      <w:tr>
        <w:trPr>
          <w:trHeight w:val="601"/>
        </w:trPr>
        <w:tc>
          <w:tcPr>
            <w:tcW w:w="51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9"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Marine (Malta) Limited</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Malta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Marine (Nigeria) L.L.C.</w:t>
            </w:r>
          </w:p>
        </w:tc>
        <w:tc>
          <w:tcPr>
            <w:tcW w:w="6340" w:type="dxa"/>
            <w:vAlign w:val="bottom"/>
          </w:tcPr>
          <w:p>
            <w:pPr>
              <w:ind w:left="1780"/>
              <w:spacing w:after="0"/>
              <w:rPr>
                <w:sz w:val="20"/>
                <w:szCs w:val="20"/>
                <w:color w:val="auto"/>
              </w:rPr>
            </w:pPr>
            <w:r>
              <w:rPr>
                <w:rFonts w:ascii="Arial" w:cs="Arial" w:eastAsia="Arial" w:hAnsi="Arial"/>
                <w:sz w:val="18"/>
                <w:szCs w:val="18"/>
                <w:color w:val="auto"/>
              </w:rPr>
              <w:t>Louisiana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Marine Payroll Management LLC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Marine Property Limited</w:t>
            </w:r>
          </w:p>
        </w:tc>
        <w:tc>
          <w:tcPr>
            <w:tcW w:w="6340" w:type="dxa"/>
            <w:vAlign w:val="bottom"/>
          </w:tcPr>
          <w:p>
            <w:pPr>
              <w:ind w:left="1780"/>
              <w:spacing w:after="0"/>
              <w:rPr>
                <w:sz w:val="20"/>
                <w:szCs w:val="20"/>
                <w:color w:val="auto"/>
              </w:rPr>
            </w:pPr>
            <w:r>
              <w:rPr>
                <w:rFonts w:ascii="Arial" w:cs="Arial" w:eastAsia="Arial" w:hAnsi="Arial"/>
                <w:sz w:val="18"/>
                <w:szCs w:val="18"/>
                <w:color w:val="auto"/>
              </w:rPr>
              <w:t>United Arab Emirates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Ocean Boats Inc.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Offshore Abu Dhabi, Inc.</w:t>
            </w:r>
          </w:p>
        </w:tc>
        <w:tc>
          <w:tcPr>
            <w:tcW w:w="6340" w:type="dxa"/>
            <w:vAlign w:val="bottom"/>
          </w:tcPr>
          <w:p>
            <w:pPr>
              <w:ind w:left="1780"/>
              <w:spacing w:after="0"/>
              <w:rPr>
                <w:sz w:val="20"/>
                <w:szCs w:val="20"/>
                <w:color w:val="auto"/>
              </w:rPr>
            </w:pPr>
            <w:r>
              <w:rPr>
                <w:rFonts w:ascii="Arial" w:cs="Arial" w:eastAsia="Arial" w:hAnsi="Arial"/>
                <w:sz w:val="18"/>
                <w:szCs w:val="18"/>
                <w:color w:val="auto"/>
              </w:rPr>
              <w:t>Florida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Offshore Asia LLC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Marshall Islands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Offshore do Brasil Ltda.</w:t>
            </w:r>
          </w:p>
        </w:tc>
        <w:tc>
          <w:tcPr>
            <w:tcW w:w="6340" w:type="dxa"/>
            <w:vAlign w:val="bottom"/>
          </w:tcPr>
          <w:p>
            <w:pPr>
              <w:ind w:left="1780"/>
              <w:spacing w:after="0"/>
              <w:rPr>
                <w:sz w:val="20"/>
                <w:szCs w:val="20"/>
                <w:color w:val="auto"/>
              </w:rPr>
            </w:pPr>
            <w:r>
              <w:rPr>
                <w:rFonts w:ascii="Arial" w:cs="Arial" w:eastAsia="Arial" w:hAnsi="Arial"/>
                <w:sz w:val="18"/>
                <w:szCs w:val="18"/>
                <w:color w:val="auto"/>
              </w:rPr>
              <w:t>Brazil</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Offshore Dubai (L.L.C.)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United Arab Emirates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Offshore Eight LLC</w:t>
            </w:r>
          </w:p>
        </w:tc>
        <w:tc>
          <w:tcPr>
            <w:tcW w:w="6340" w:type="dxa"/>
            <w:vAlign w:val="bottom"/>
          </w:tcPr>
          <w:p>
            <w:pPr>
              <w:ind w:left="1780"/>
              <w:spacing w:after="0"/>
              <w:rPr>
                <w:sz w:val="20"/>
                <w:szCs w:val="20"/>
                <w:color w:val="auto"/>
              </w:rPr>
            </w:pPr>
            <w:r>
              <w:rPr>
                <w:rFonts w:ascii="Arial" w:cs="Arial" w:eastAsia="Arial" w:hAnsi="Arial"/>
                <w:sz w:val="18"/>
                <w:szCs w:val="18"/>
                <w:color w:val="auto"/>
              </w:rPr>
              <w:t>Marshall Islands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Offshore International Inc.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Florida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Offshore LLC</w:t>
            </w:r>
          </w:p>
        </w:tc>
        <w:tc>
          <w:tcPr>
            <w:tcW w:w="6340" w:type="dxa"/>
            <w:vAlign w:val="bottom"/>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Offshore (Marshall Islands) Ltd.</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Marshall Islands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Offshore Safety Limited</w:t>
            </w:r>
          </w:p>
        </w:tc>
        <w:tc>
          <w:tcPr>
            <w:tcW w:w="6340" w:type="dxa"/>
            <w:vAlign w:val="bottom"/>
          </w:tcPr>
          <w:p>
            <w:pPr>
              <w:ind w:left="1780"/>
              <w:spacing w:after="0"/>
              <w:rPr>
                <w:sz w:val="20"/>
                <w:szCs w:val="20"/>
                <w:color w:val="auto"/>
              </w:rPr>
            </w:pPr>
            <w:r>
              <w:rPr>
                <w:rFonts w:ascii="Arial" w:cs="Arial" w:eastAsia="Arial" w:hAnsi="Arial"/>
                <w:sz w:val="18"/>
                <w:szCs w:val="18"/>
                <w:color w:val="auto"/>
              </w:rPr>
              <w:t>England and Wales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Offshore Services Inc.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Offshore Vessel Holdings LLC</w:t>
            </w:r>
          </w:p>
        </w:tc>
        <w:tc>
          <w:tcPr>
            <w:tcW w:w="6340" w:type="dxa"/>
            <w:vAlign w:val="bottom"/>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OSV Investments LLC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OSV Partners GP LLC</w:t>
            </w:r>
          </w:p>
        </w:tc>
        <w:tc>
          <w:tcPr>
            <w:tcW w:w="6340" w:type="dxa"/>
            <w:vAlign w:val="bottom"/>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SEACOR-SMIT Offshore (International) Ltd.</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Marshall Islands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Supplyships 1 AS</w:t>
            </w:r>
          </w:p>
        </w:tc>
        <w:tc>
          <w:tcPr>
            <w:tcW w:w="6340" w:type="dxa"/>
            <w:vAlign w:val="bottom"/>
          </w:tcPr>
          <w:p>
            <w:pPr>
              <w:ind w:left="1780"/>
              <w:spacing w:after="0"/>
              <w:rPr>
                <w:sz w:val="20"/>
                <w:szCs w:val="20"/>
                <w:color w:val="auto"/>
              </w:rPr>
            </w:pPr>
            <w:r>
              <w:rPr>
                <w:rFonts w:ascii="Arial" w:cs="Arial" w:eastAsia="Arial" w:hAnsi="Arial"/>
                <w:sz w:val="18"/>
                <w:szCs w:val="18"/>
                <w:color w:val="auto"/>
              </w:rPr>
              <w:t>Norway</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Worldwide (AZ) Inc.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SEACOR Worldwide (Ghana) LLC</w:t>
            </w:r>
          </w:p>
        </w:tc>
        <w:tc>
          <w:tcPr>
            <w:tcW w:w="6340" w:type="dxa"/>
            <w:vAlign w:val="bottom"/>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SEACOR Worldwide Inc.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South Sea Serviços Marítimos Ltda.</w:t>
            </w:r>
          </w:p>
        </w:tc>
        <w:tc>
          <w:tcPr>
            <w:tcW w:w="6340" w:type="dxa"/>
            <w:vAlign w:val="bottom"/>
          </w:tcPr>
          <w:p>
            <w:pPr>
              <w:ind w:left="1780"/>
              <w:spacing w:after="0"/>
              <w:rPr>
                <w:sz w:val="20"/>
                <w:szCs w:val="20"/>
                <w:color w:val="auto"/>
              </w:rPr>
            </w:pPr>
            <w:r>
              <w:rPr>
                <w:rFonts w:ascii="Arial" w:cs="Arial" w:eastAsia="Arial" w:hAnsi="Arial"/>
                <w:sz w:val="18"/>
                <w:szCs w:val="18"/>
                <w:color w:val="auto"/>
              </w:rPr>
              <w:t>Brazil</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Southern Crewing Services Limited</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England and Wales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Stirling Offshore Limited</w:t>
            </w:r>
          </w:p>
        </w:tc>
        <w:tc>
          <w:tcPr>
            <w:tcW w:w="6340" w:type="dxa"/>
            <w:vAlign w:val="bottom"/>
          </w:tcPr>
          <w:p>
            <w:pPr>
              <w:ind w:left="1780"/>
              <w:spacing w:after="0"/>
              <w:rPr>
                <w:sz w:val="20"/>
                <w:szCs w:val="20"/>
                <w:color w:val="auto"/>
              </w:rPr>
            </w:pPr>
            <w:r>
              <w:rPr>
                <w:rFonts w:ascii="Arial" w:cs="Arial" w:eastAsia="Arial" w:hAnsi="Arial"/>
                <w:sz w:val="18"/>
                <w:szCs w:val="18"/>
                <w:color w:val="auto"/>
              </w:rPr>
              <w:t>Scotland</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Stirling Shipping Company Limited</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Scotland</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Stirling Shipping Holdings Limited</w:t>
            </w:r>
          </w:p>
        </w:tc>
        <w:tc>
          <w:tcPr>
            <w:tcW w:w="6340" w:type="dxa"/>
            <w:vAlign w:val="bottom"/>
          </w:tcPr>
          <w:p>
            <w:pPr>
              <w:ind w:left="1780"/>
              <w:spacing w:after="0"/>
              <w:rPr>
                <w:sz w:val="20"/>
                <w:szCs w:val="20"/>
                <w:color w:val="auto"/>
              </w:rPr>
            </w:pPr>
            <w:r>
              <w:rPr>
                <w:rFonts w:ascii="Arial" w:cs="Arial" w:eastAsia="Arial" w:hAnsi="Arial"/>
                <w:sz w:val="18"/>
                <w:szCs w:val="18"/>
                <w:color w:val="auto"/>
              </w:rPr>
              <w:t>Scotland</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VEESEA Holdings Inc.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VENSEA Marine, S.R.L.</w:t>
            </w:r>
          </w:p>
        </w:tc>
        <w:tc>
          <w:tcPr>
            <w:tcW w:w="6340" w:type="dxa"/>
            <w:vAlign w:val="bottom"/>
          </w:tcPr>
          <w:p>
            <w:pPr>
              <w:ind w:left="1780"/>
              <w:spacing w:after="0"/>
              <w:rPr>
                <w:sz w:val="20"/>
                <w:szCs w:val="20"/>
                <w:color w:val="auto"/>
              </w:rPr>
            </w:pPr>
            <w:r>
              <w:rPr>
                <w:rFonts w:ascii="Arial" w:cs="Arial" w:eastAsia="Arial" w:hAnsi="Arial"/>
                <w:sz w:val="18"/>
                <w:szCs w:val="18"/>
                <w:color w:val="auto"/>
              </w:rPr>
              <w:t>Venezuela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Windcat Workboats B.V.</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The Netherlands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Windcat Workboats Holdings Ltd</w:t>
            </w:r>
          </w:p>
        </w:tc>
        <w:tc>
          <w:tcPr>
            <w:tcW w:w="6340" w:type="dxa"/>
            <w:vAlign w:val="bottom"/>
          </w:tcPr>
          <w:p>
            <w:pPr>
              <w:ind w:left="1780"/>
              <w:spacing w:after="0"/>
              <w:rPr>
                <w:sz w:val="20"/>
                <w:szCs w:val="20"/>
                <w:color w:val="auto"/>
              </w:rPr>
            </w:pPr>
            <w:r>
              <w:rPr>
                <w:rFonts w:ascii="Arial" w:cs="Arial" w:eastAsia="Arial" w:hAnsi="Arial"/>
                <w:sz w:val="18"/>
                <w:szCs w:val="18"/>
                <w:color w:val="auto"/>
              </w:rPr>
              <w:t>England and Wales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Windcat Workboats International Limited</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Guernsey</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Windcat Workboats Limited</w:t>
            </w:r>
          </w:p>
        </w:tc>
        <w:tc>
          <w:tcPr>
            <w:tcW w:w="6340" w:type="dxa"/>
            <w:vAlign w:val="bottom"/>
          </w:tcPr>
          <w:p>
            <w:pPr>
              <w:ind w:left="1780"/>
              <w:spacing w:after="0"/>
              <w:rPr>
                <w:sz w:val="20"/>
                <w:szCs w:val="20"/>
                <w:color w:val="auto"/>
              </w:rPr>
            </w:pPr>
            <w:r>
              <w:rPr>
                <w:rFonts w:ascii="Arial" w:cs="Arial" w:eastAsia="Arial" w:hAnsi="Arial"/>
                <w:sz w:val="18"/>
                <w:szCs w:val="18"/>
                <w:color w:val="auto"/>
              </w:rPr>
              <w:t>England and Wales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Windcat Workboats (MI) LLC</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Marshall Islands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Windcat Workboats (Scotland) Limited</w:t>
            </w:r>
          </w:p>
        </w:tc>
        <w:tc>
          <w:tcPr>
            <w:tcW w:w="6340" w:type="dxa"/>
            <w:vAlign w:val="bottom"/>
          </w:tcPr>
          <w:p>
            <w:pPr>
              <w:ind w:left="1780"/>
              <w:spacing w:after="0"/>
              <w:rPr>
                <w:sz w:val="20"/>
                <w:szCs w:val="20"/>
                <w:color w:val="auto"/>
              </w:rPr>
            </w:pPr>
            <w:r>
              <w:rPr>
                <w:rFonts w:ascii="Arial" w:cs="Arial" w:eastAsia="Arial" w:hAnsi="Arial"/>
                <w:sz w:val="18"/>
                <w:szCs w:val="18"/>
                <w:color w:val="auto"/>
              </w:rPr>
              <w:t>Scotland</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Windcat Workboats (Wales) CYF</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England and Wales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Windcat Workboats LLC</w:t>
            </w:r>
          </w:p>
        </w:tc>
        <w:tc>
          <w:tcPr>
            <w:tcW w:w="6340" w:type="dxa"/>
            <w:vAlign w:val="bottom"/>
          </w:tcPr>
          <w:p>
            <w:pPr>
              <w:ind w:left="17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Windgrip Limited</w:t>
            </w:r>
          </w:p>
        </w:tc>
        <w:tc>
          <w:tcPr>
            <w:tcW w:w="63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England and Wales</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Yarnell Offshore (MI) Ltd.</w:t>
            </w:r>
          </w:p>
        </w:tc>
        <w:tc>
          <w:tcPr>
            <w:tcW w:w="6340" w:type="dxa"/>
            <w:vAlign w:val="bottom"/>
          </w:tcPr>
          <w:p>
            <w:pPr>
              <w:ind w:left="1780"/>
              <w:spacing w:after="0"/>
              <w:rPr>
                <w:sz w:val="20"/>
                <w:szCs w:val="20"/>
                <w:color w:val="auto"/>
              </w:rPr>
            </w:pPr>
            <w:r>
              <w:rPr>
                <w:rFonts w:ascii="Arial" w:cs="Arial" w:eastAsia="Arial" w:hAnsi="Arial"/>
                <w:sz w:val="18"/>
                <w:szCs w:val="18"/>
                <w:color w:val="auto"/>
              </w:rPr>
              <w:t>Marshall Islands</w:t>
            </w:r>
          </w:p>
        </w:tc>
      </w:tr>
    </w:tbl>
    <w:p>
      <w:pPr>
        <w:sectPr>
          <w:pgSz w:w="11900" w:h="16838" w:orient="portrait"/>
          <w:cols w:equalWidth="0" w:num="1">
            <w:col w:w="11420"/>
          </w:cols>
          <w:pgMar w:left="240" w:top="599"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issued our report dated March 11, 2019 with respect to the consolidated financial statements and schedule included in the Annual Report of SEACOR Marine Holdings Inc. on Form 10-K for the year ended December 31, 2018. We consent to the incorporation by reference of said report in the Registration Statement of Seacor Marine Holdings Inc. on Form S-8 (File No. 333-221680) and Form S-3 (File No. 333-225686).</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11, 2019</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333-221680) pertaining to the SEACOR Marine Holdings Inc. 2017 Equity Incentive Plan,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333-225686) and related Prospectus;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of our report dated April 27, 2017, with respect to the consolidated financial statements and schedule of SEACOR Marine Holdings Inc. for the year ended December 31, 2016, included in this Annual Report (Form 10-K) of SEACOR Marine Holdings Inc. for the year ended December 31, 2018.</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2019</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980" w:hanging="648"/>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279" w:lineRule="exact"/>
        <w:rPr>
          <w:rFonts w:ascii="Arial" w:cs="Arial" w:eastAsia="Arial" w:hAnsi="Arial"/>
          <w:sz w:val="18"/>
          <w:szCs w:val="18"/>
          <w:color w:val="auto"/>
        </w:rPr>
      </w:pPr>
    </w:p>
    <w:p>
      <w:pPr>
        <w:ind w:left="980" w:right="40" w:hanging="648"/>
        <w:spacing w:after="0" w:line="264"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80" w:right="240" w:hanging="648"/>
        <w:spacing w:after="0" w:line="308" w:lineRule="auto"/>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980" w:right="180" w:hanging="648"/>
        <w:spacing w:after="0" w:line="291"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7" w:lineRule="exact"/>
        <w:rPr>
          <w:rFonts w:ascii="Arial" w:cs="Arial" w:eastAsia="Arial" w:hAnsi="Arial"/>
          <w:sz w:val="16"/>
          <w:szCs w:val="16"/>
          <w:color w:val="auto"/>
        </w:rPr>
      </w:pPr>
    </w:p>
    <w:p>
      <w:pPr>
        <w:ind w:left="1620" w:right="140" w:hanging="640"/>
        <w:spacing w:after="0" w:line="286" w:lineRule="auto"/>
        <w:tabs>
          <w:tab w:leader="none" w:pos="16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620" w:right="40" w:hanging="640"/>
        <w:spacing w:after="0" w:line="342" w:lineRule="auto"/>
        <w:tabs>
          <w:tab w:leader="none" w:pos="16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620" w:right="160" w:hanging="640"/>
        <w:spacing w:after="0" w:line="264"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right="80" w:hanging="648"/>
        <w:spacing w:after="0" w:line="342"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620" w:right="540" w:hanging="640"/>
        <w:spacing w:after="0" w:line="277"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Gellert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President, Chief Executive Officer and Director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980" w:hanging="648"/>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279" w:lineRule="exact"/>
        <w:rPr>
          <w:rFonts w:ascii="Arial" w:cs="Arial" w:eastAsia="Arial" w:hAnsi="Arial"/>
          <w:sz w:val="18"/>
          <w:szCs w:val="18"/>
          <w:color w:val="auto"/>
        </w:rPr>
      </w:pPr>
    </w:p>
    <w:p>
      <w:pPr>
        <w:ind w:left="980" w:right="40" w:hanging="648"/>
        <w:spacing w:after="0" w:line="264"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80" w:right="240" w:hanging="648"/>
        <w:spacing w:after="0" w:line="308" w:lineRule="auto"/>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980" w:right="180" w:hanging="648"/>
        <w:spacing w:after="0" w:line="291"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7" w:lineRule="exact"/>
        <w:rPr>
          <w:rFonts w:ascii="Arial" w:cs="Arial" w:eastAsia="Arial" w:hAnsi="Arial"/>
          <w:sz w:val="16"/>
          <w:szCs w:val="16"/>
          <w:color w:val="auto"/>
        </w:rPr>
      </w:pPr>
    </w:p>
    <w:p>
      <w:pPr>
        <w:ind w:left="1620" w:right="140" w:hanging="640"/>
        <w:spacing w:after="0" w:line="286" w:lineRule="auto"/>
        <w:tabs>
          <w:tab w:leader="none" w:pos="16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620" w:right="40" w:hanging="640"/>
        <w:spacing w:after="0" w:line="342" w:lineRule="auto"/>
        <w:tabs>
          <w:tab w:leader="none" w:pos="1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620" w:right="160" w:hanging="640"/>
        <w:spacing w:after="0" w:line="264"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right="80" w:hanging="648"/>
        <w:spacing w:after="0" w:line="342"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620" w:right="540" w:hanging="640"/>
        <w:spacing w:after="0" w:line="277"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Jesús Llorca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PRINCIPAL EXECUTIVE OFFICER AND PRINCIPAL FINANCIAL OFFICER PURSUANT TO 18 U.S.C. SECTION 1350, AS ADOPTED PURSUANT TO SECTION 906 OF THE SARBANES-OXLEY ACT OF 2002</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his knowledge and belief, that the Annual Report on Form 10-K of the Company for the year ended December 31, 2018 (the “Annual Report”) accompanying this certification fully complies with the requirements of Section 13(a) or 15(d) of the Securities Exchange Act of 1934, as amended, and that the information contained in the Annual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6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Gellert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President, Chief Executive Officer and Director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Jesús Llorca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346"/>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lowerRoman"/>
      <w:start w:val="5"/>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1)"/>
      <w:numFmt w:val="lowerRoman"/>
      <w:start w:val="2"/>
    </w:lvl>
  </w:abstractNum>
  <w:abstractNum w:abstractNumId="10">
    <w:nsid w:val="4B588F54"/>
    <w:multiLevelType w:val="hybridMultilevel"/>
    <w:lvl w:ilvl="0">
      <w:lvlJc w:val="left"/>
      <w:lvlText w:val="(%1)"/>
      <w:numFmt w:val="lowerRoman"/>
      <w:start w:val="2"/>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lowerRoman"/>
      <w:start w:val="3"/>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lowerRoman"/>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lowerLetter"/>
      <w:start w:val="1"/>
    </w:lvl>
    <w:lvl w:ilvl="1">
      <w:lvlJc w:val="left"/>
      <w:lvlText w:val="%2."/>
      <w:numFmt w:val="decimal"/>
      <w:start w:val="1"/>
    </w:lvl>
  </w:abstractNum>
  <w:abstractNum w:abstractNumId="36">
    <w:nsid w:val="354FE9F9"/>
    <w:multiLevelType w:val="hybridMultilevel"/>
    <w:lvl w:ilvl="0">
      <w:lvlJc w:val="left"/>
      <w:lvlText w:val="%1"/>
      <w:numFmt w:val="decimal"/>
      <w:start w:val="32"/>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2"/>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3"/>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4"/>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5"/>
    </w:lvl>
  </w:abstractNum>
  <w:abstractNum w:abstractNumId="51">
    <w:nsid w:val="4AD084E9"/>
    <w:multiLevelType w:val="hybridMultilevel"/>
    <w:lvl w:ilvl="0">
      <w:lvlJc w:val="left"/>
      <w:lvlText w:val="%1."/>
      <w:numFmt w:val="decimal"/>
      <w:start w:val="6"/>
    </w:lvl>
  </w:abstractNum>
  <w:abstractNum w:abstractNumId="52">
    <w:nsid w:val="1F48EAA1"/>
    <w:multiLevelType w:val="hybridMultilevel"/>
    <w:lvl w:ilvl="0">
      <w:lvlJc w:val="left"/>
      <w:lvlText w:val="%1."/>
      <w:numFmt w:val="decimal"/>
      <w:start w:val="7"/>
    </w:lvl>
  </w:abstractNum>
  <w:abstractNum w:abstractNumId="53">
    <w:nsid w:val="1381823A"/>
    <w:multiLevelType w:val="hybridMultilevel"/>
    <w:lvl w:ilvl="0">
      <w:lvlJc w:val="left"/>
      <w:lvlText w:val="%1."/>
      <w:numFmt w:val="decimal"/>
      <w:start w:val="8"/>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decimal"/>
      <w:start w:val="9"/>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1."/>
      <w:numFmt w:val="decimal"/>
      <w:start w:val="10"/>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1"/>
    </w:lvl>
  </w:abstractNum>
  <w:abstractNum w:abstractNumId="61">
    <w:nsid w:val="6B94764"/>
    <w:multiLevelType w:val="hybridMultilevel"/>
    <w:lvl w:ilvl="0">
      <w:lvlJc w:val="left"/>
      <w:lvlText w:val="%1."/>
      <w:numFmt w:val="decimal"/>
      <w:start w:val="12"/>
    </w:lvl>
  </w:abstractNum>
  <w:abstractNum w:abstractNumId="62">
    <w:nsid w:val="42C296BD"/>
    <w:multiLevelType w:val="hybridMultilevel"/>
    <w:lvl w:ilvl="0">
      <w:lvlJc w:val="left"/>
      <w:lvlText w:val="%1."/>
      <w:numFmt w:val="decimal"/>
      <w:start w:val="13"/>
    </w:lvl>
  </w:abstractNum>
  <w:abstractNum w:abstractNumId="63">
    <w:nsid w:val="168E121F"/>
    <w:multiLevelType w:val="hybridMultilevel"/>
    <w:lvl w:ilvl="0">
      <w:lvlJc w:val="left"/>
      <w:lvlText w:val="%1."/>
      <w:numFmt w:val="decimal"/>
      <w:start w:val="14"/>
    </w:lvl>
  </w:abstractNum>
  <w:abstractNum w:abstractNumId="64">
    <w:nsid w:val="1EBA5D23"/>
    <w:multiLevelType w:val="hybridMultilevel"/>
    <w:lvl w:ilvl="0">
      <w:lvlJc w:val="left"/>
      <w:lvlText w:val="%1."/>
      <w:numFmt w:val="decimal"/>
      <w:start w:val="15"/>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6"/>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decimal"/>
      <w:start w:val="17"/>
    </w:lvl>
  </w:abstractNum>
  <w:abstractNum w:abstractNumId="69">
    <w:nsid w:val="51D9C564"/>
    <w:multiLevelType w:val="hybridMultilevel"/>
    <w:lvl w:ilvl="0">
      <w:lvlJc w:val="left"/>
      <w:lvlText w:val="%1."/>
      <w:numFmt w:val="decimal"/>
      <w:start w:val="18"/>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9"/>
    </w:lvl>
  </w:abstractNum>
  <w:abstractNum w:abstractNumId="74">
    <w:nsid w:val="A0382C5"/>
    <w:multiLevelType w:val="hybridMultilevel"/>
    <w:lvl w:ilvl="0">
      <w:lvlJc w:val="left"/>
      <w:lvlText w:val="%1."/>
      <w:numFmt w:val="decimal"/>
      <w:start w:val="20"/>
    </w:lvl>
  </w:abstractNum>
  <w:abstractNum w:abstractNumId="75">
    <w:nsid w:val="8F2B15E"/>
    <w:multiLevelType w:val="hybridMultilevel"/>
    <w:lvl w:ilvl="0">
      <w:lvlJc w:val="left"/>
      <w:lvlText w:val="%1."/>
      <w:numFmt w:val="decimal"/>
      <w:start w:val="2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74" Type="http://schemas.openxmlformats.org/officeDocument/2006/relationships/hyperlink" Target="http://www.sec.gov/Archives/edgar/data/859598/000085959817000073/distributionagreement.htm" TargetMode="External"/><Relationship Id="rId75" Type="http://schemas.openxmlformats.org/officeDocument/2006/relationships/hyperlink" Target="http://www.sec.gov/Archives/edgar/data/1690334/000143774917014456/ex2-1.htm" TargetMode="External"/><Relationship Id="rId76" Type="http://schemas.openxmlformats.org/officeDocument/2006/relationships/hyperlink" Target="http://www.sec.gov/Archives/edgar/data/1690334/000143774918000427/ex_102792.htm" TargetMode="External"/><Relationship Id="rId77" Type="http://schemas.openxmlformats.org/officeDocument/2006/relationships/hyperlink" Target="http://www.sec.gov/Archives/edgar/data/1690334/000169033417000002/exhibit31secondamendedandr.htm" TargetMode="External"/><Relationship Id="rId78" Type="http://schemas.openxmlformats.org/officeDocument/2006/relationships/hyperlink" Target="http://www.sec.gov/Archives/edgar/data/1690334/000169033417000002/exhibit32secondamendedandr.htm" TargetMode="External"/><Relationship Id="rId79" Type="http://schemas.openxmlformats.org/officeDocument/2006/relationships/hyperlink" Target="http://www.sec.gov/Archives/edgar/data/859598/000085959816000211/exhibit44convertiblesenior.htm" TargetMode="External"/><Relationship Id="rId80" Type="http://schemas.openxmlformats.org/officeDocument/2006/relationships/hyperlink" Target="http://www.sec.gov/Archives/edgar/data/859598/000085959817000025/exhibit101amendmentno1toth.htm" TargetMode="External"/><Relationship Id="rId81" Type="http://schemas.openxmlformats.org/officeDocument/2006/relationships/hyperlink" Target="http://www.sec.gov/Archives/edgar/data/859598/000085959816000211/exhibit45investmentagreeme.htm" TargetMode="External"/><Relationship Id="rId82" Type="http://schemas.openxmlformats.org/officeDocument/2006/relationships/hyperlink" Target="http://www.sec.gov/Archives/edgar/data/859598/000085959816000211/exhibit47companyregistrati.htm" TargetMode="External"/><Relationship Id="rId83" Type="http://schemas.openxmlformats.org/officeDocument/2006/relationships/hyperlink" Target="http://www.sec.gov/Archives/edgar/data/1690334/000143774919000656/ex_132760.htm" TargetMode="External"/><Relationship Id="rId84" Type="http://schemas.openxmlformats.org/officeDocument/2006/relationships/hyperlink" Target="http://www.sec.gov/Archives/edgar/data/1690334/000143774918011923/ex_116292.htm" TargetMode="External"/><Relationship Id="rId85" Type="http://schemas.openxmlformats.org/officeDocument/2006/relationships/hyperlink" Target="http://www.sec.gov/Archives/edgar/data/1690334/000143774918011923/ex_116293.htm" TargetMode="External"/><Relationship Id="rId86" Type="http://schemas.openxmlformats.org/officeDocument/2006/relationships/hyperlink" Target="http://www.sec.gov/Archives/edgar/data/1690334/000143774918011923/ex_116290.htm" TargetMode="External"/><Relationship Id="rId87" Type="http://schemas.openxmlformats.org/officeDocument/2006/relationships/hyperlink" Target="http://www.sec.gov/Archives/edgar/data/1690334/000143774918011923/ex_116291.htm" TargetMode="External"/><Relationship Id="rId88" Type="http://schemas.openxmlformats.org/officeDocument/2006/relationships/hyperlink" Target="http://www.sec.gov/Archives/edgar/data/1690334/000143774918009472/ex_113638.htm" TargetMode="External"/><Relationship Id="rId90" Type="http://schemas.openxmlformats.org/officeDocument/2006/relationships/hyperlink" Target="http://www.sec.gov/Archives/edgar/data/859598/000085959817000073/tsackh-smhi.htm" TargetMode="External"/><Relationship Id="rId91" Type="http://schemas.openxmlformats.org/officeDocument/2006/relationships/hyperlink" Target="http://www.sec.gov/Archives/edgar/data/859598/000085959817000073/tsasmhi-ckh.htm" TargetMode="External"/><Relationship Id="rId92" Type="http://schemas.openxmlformats.org/officeDocument/2006/relationships/hyperlink" Target="http://www.sec.gov/Archives/edgar/data/859598/000085959817000073/employeemattersagreement.htm" TargetMode="External"/><Relationship Id="rId93" Type="http://schemas.openxmlformats.org/officeDocument/2006/relationships/hyperlink" Target="http://www.sec.gov/Archives/edgar/data/859598/000085959817000073/taxmattersagreement.htm" TargetMode="External"/><Relationship Id="rId94" Type="http://schemas.openxmlformats.org/officeDocument/2006/relationships/hyperlink" Target="http://www.sec.gov/Archives/edgar/data/1690334/000169033417000039/smhi2017equityincentiveplan.htm" TargetMode="External"/><Relationship Id="rId95" Type="http://schemas.openxmlformats.org/officeDocument/2006/relationships/hyperlink" Target="http://www.sec.gov/Archives/edgar/data/1690334/000169033417000039/smhi2017employeestockpurch.htm" TargetMode="External"/><Relationship Id="rId96" Type="http://schemas.openxmlformats.org/officeDocument/2006/relationships/hyperlink" Target="http://www.sec.gov/Archives/edgar/data/1690334/000169033417000002/exhibit107seacormarineinde.htm" TargetMode="External"/><Relationship Id="rId97" Type="http://schemas.openxmlformats.org/officeDocument/2006/relationships/hyperlink" Target="http://www.sec.gov/Archives/edgar/data/1690334/000169033417000007/exhibit108letteragreement.htm" TargetMode="External"/><Relationship Id="rId98" Type="http://schemas.openxmlformats.org/officeDocument/2006/relationships/hyperlink" Target="http://www.sec.gov/Archives/edgar/data/1690334/000169033417000076/exhibit992formofsmhistocko.htm" TargetMode="External"/><Relationship Id="rId99" Type="http://schemas.openxmlformats.org/officeDocument/2006/relationships/hyperlink" Target="http://www.sec.gov/Archives/edgar/data/1690334/000169033417000076/exhibit993formofsmhirestri.htm" TargetMode="External"/><Relationship Id="rId100" Type="http://schemas.openxmlformats.org/officeDocument/2006/relationships/hyperlink" Target="http://www.sec.gov/Archives/edgar/data/1690334/000143774918002112/ex_104720.htm" TargetMode="External"/><Relationship Id="rId101" Type="http://schemas.openxmlformats.org/officeDocument/2006/relationships/hyperlink" Target="http://www.sec.gov/Archives/edgar/data/1690334/000143774918002112/ex_104722.htm" TargetMode="External"/><Relationship Id="rId102" Type="http://schemas.openxmlformats.org/officeDocument/2006/relationships/hyperlink" Target="http://www.sec.gov/Archives/edgar/data/1690334/000143774918002112/ex_104721.htm" TargetMode="External"/><Relationship Id="rId103" Type="http://schemas.openxmlformats.org/officeDocument/2006/relationships/hyperlink" Target="http://www.sec.gov/Archives/edgar/data/1690334/000143774918002112/ex_104649.htm" TargetMode="External"/><Relationship Id="rId104" Type="http://schemas.openxmlformats.org/officeDocument/2006/relationships/hyperlink" Target="http://www.sec.gov/Archives/edgar/data/1690334/000143774918020355/ex_124873.htm" TargetMode="External"/><Relationship Id="rId105" Type="http://schemas.openxmlformats.org/officeDocument/2006/relationships/hyperlink" Target="http://www.sec.gov/Archives/edgar/data/1690334/000143774918020355/ex_124874.htm" TargetMode="External"/><Relationship Id="rId106" Type="http://schemas.openxmlformats.org/officeDocument/2006/relationships/hyperlink" Target="http://www.sec.gov/Archives/edgar/data/1690334/000143774918015130/ex_119738.htm" TargetMode="External"/><Relationship Id="rId107" Type="http://schemas.openxmlformats.org/officeDocument/2006/relationships/hyperlink" Target="http://www.sec.gov/Archives/edgar/data/1690334/000143774918009472/ex_113637.htm" TargetMode="External"/><Relationship Id="rId108" Type="http://schemas.openxmlformats.org/officeDocument/2006/relationships/hyperlink" Target="http://www.sec.gov/Archives/edgar/data/1690334/000143774918008386/ex_112260.htm" TargetMode="External"/><Relationship Id="rId109" Type="http://schemas.openxmlformats.org/officeDocument/2006/relationships/hyperlink" Target="http://www.sec.gov/Archives/edgar/data/1690334/000169033417000051/exhibit161eyletteronsmhi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2019-12-28T15:20:17Z</dcterms:created>
  <dcterms:modified xsi:type="dcterms:W3CDTF">2019-12-28T15:20:17Z</dcterms:modified>
</cp:coreProperties>
</file>