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smhi-20260331.htm"/>
      <w:bookmarkStart w:id="1" w:name="kssmhi20260331"/>
      <w:bookmarkEnd w:id="0"/>
      <w:bookmarkEnd w:id="1"/>
      <w:r>
        <w:rPr/>
        <w:t> </w:t>
      </w:r>
    </w:p>
    <w:p>
      <w:pPr>
        <w:pStyle w:val="TextBody"/>
        <w:bidi w:val="0"/>
        <w:jc w:val="center"/>
        <w:rPr/>
      </w:pPr>
      <w:r>
        <w:rPr/>
        <w:t> </w:t>
      </w:r>
    </w:p>
    <w:p>
      <w:pPr>
        <w:pStyle w:val="TextBody"/>
        <w:bidi w:val="0"/>
        <w:jc w:val="center"/>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quarterly period ended March 31, 2026</w:t>
      </w:r>
      <w:r>
        <w:rPr>
          <w:rFonts w:ascii="Times New Roman" w:hAnsi="Times New Roman"/>
          <w:color w:val="000000"/>
          <w:sz w:val="20"/>
        </w:rPr>
        <w:t xml:space="preserve"> </w:t>
      </w: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1-37966</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SEACOR Marine Holdings Inc.</w:t>
      </w:r>
    </w:p>
    <w:p>
      <w:pPr>
        <w:pStyle w:val="TextBody"/>
        <w:bidi w:val="0"/>
        <w:jc w:val="center"/>
        <w:rPr>
          <w:rFonts w:ascii="Times New Roman" w:hAnsi="Times New Roman"/>
          <w:b/>
          <w:color w:val="000000"/>
          <w:sz w:val="22"/>
        </w:rPr>
      </w:pPr>
      <w:r>
        <w:rPr>
          <w:rFonts w:ascii="Times New Roman" w:hAnsi="Times New Roman"/>
          <w:b/>
          <w:color w:val="000000"/>
          <w:sz w:val="22"/>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6073" w:type="dxa"/>
        <w:jc w:val="left"/>
        <w:tblInd w:w="0" w:type="dxa"/>
        <w:tblLayout w:type="fixed"/>
        <w:tblCellMar>
          <w:top w:w="28" w:type="dxa"/>
          <w:left w:w="28" w:type="dxa"/>
          <w:bottom w:w="28" w:type="dxa"/>
          <w:right w:w="28" w:type="dxa"/>
        </w:tblCellMar>
      </w:tblPr>
      <w:tblGrid>
        <w:gridCol w:w="4246"/>
        <w:gridCol w:w="146"/>
        <w:gridCol w:w="168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47-2564547</w:t>
            </w:r>
          </w:p>
        </w:tc>
      </w:tr>
      <w:tr>
        <w:trPr/>
        <w:tc>
          <w:tcPr>
            <w:tcW w:w="4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r>
        <w:trPr/>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12121 Wickchester Lane, Suite 500, Houston, 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77079</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(346) 980-1700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8988" w:type="dxa"/>
        <w:jc w:val="left"/>
        <w:tblInd w:w="0" w:type="dxa"/>
        <w:tblLayout w:type="fixed"/>
        <w:tblCellMar>
          <w:top w:w="28" w:type="dxa"/>
          <w:left w:w="28" w:type="dxa"/>
          <w:bottom w:w="28" w:type="dxa"/>
          <w:right w:w="28" w:type="dxa"/>
        </w:tblCellMar>
      </w:tblPr>
      <w:tblGrid>
        <w:gridCol w:w="3466"/>
        <w:gridCol w:w="169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Trading Symbol(s)</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SMHI</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84"/>
        <w:gridCol w:w="316"/>
        <w:gridCol w:w="1340"/>
        <w:gridCol w:w="316"/>
        <w:gridCol w:w="1700"/>
        <w:gridCol w:w="316"/>
        <w:gridCol w:w="1921"/>
        <w:gridCol w:w="316"/>
        <w:gridCol w:w="1933"/>
        <w:gridCol w:w="363"/>
      </w:tblGrid>
      <w:tr>
        <w:trPr/>
        <w:tc>
          <w:tcPr>
            <w:tcW w:w="16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6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34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7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3"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total number of shares of common stock, par value $.01 per share (“Common Stock”), outstanding as of April 24, 2026 was 27,062,277. The registrant has no other class of common stock outstanding.</w:t>
      </w:r>
    </w:p>
    <w:p>
      <w:pPr>
        <w:pStyle w:val="TextBody"/>
        <w:pBdr>
          <w:bottom w:val="double" w:sz="6" w:space="1" w:color="000000"/>
        </w:pBdr>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spacing w:before="200" w:after="283"/>
        <w:jc w:val="center"/>
        <w:rPr>
          <w:rFonts w:ascii="Times New Roman" w:hAnsi="Times New Roman"/>
          <w:b/>
          <w:color w:val="000000"/>
          <w:sz w:val="24"/>
        </w:rPr>
      </w:pPr>
      <w:bookmarkStart w:id="2" w:name="table_contents"/>
      <w:bookmarkEnd w:id="2"/>
      <w:r>
        <w:rPr>
          <w:rFonts w:ascii="Times New Roman" w:hAnsi="Times New Roman"/>
          <w:b/>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5"/>
        <w:gridCol w:w="146"/>
        <w:gridCol w:w="805"/>
        <w:gridCol w:w="8040"/>
        <w:gridCol w:w="146"/>
        <w:gridCol w:w="393"/>
      </w:tblGrid>
      <w:tr>
        <w:trPr/>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5" w:type="dxa"/>
            <w:gridSpan w:val="2"/>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4"/>
                  <w:u w:val="single"/>
                </w:rPr>
                <w:t>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1.</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4"/>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Times New Roman" w:hAnsi="Times New Roman"/>
                  <w:color w:val="0000FF"/>
                  <w:sz w:val="24"/>
                  <w:u w:val="single"/>
                </w:rPr>
                <w:t>Condensed Consolidated Balance Sheets as of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
              <w:r>
                <w:rPr>
                  <w:rStyle w:val="InternetLink"/>
                  <w:rFonts w:ascii="Times New Roman" w:hAnsi="Times New Roman"/>
                  <w:color w:val="0000FF"/>
                  <w:sz w:val="24"/>
                  <w:u w:val="single"/>
                </w:rPr>
                <w:t>Condensed Consolidated Statements of Income (Loss)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_stateme">
              <w:r>
                <w:rPr>
                  <w:rStyle w:val="InternetLink"/>
                  <w:rFonts w:ascii="Times New Roman" w:hAnsi="Times New Roman"/>
                  <w:color w:val="0000FF"/>
                  <w:sz w:val="24"/>
                  <w:u w:val="single"/>
                </w:rPr>
                <w:t>Condensed Consolidated Statements of Comprehensive Income (Loss) for the Three</w:t>
              </w:r>
            </w:hyperlink>
            <w:r>
              <w:rPr>
                <w:rFonts w:ascii="Times New Roman" w:hAnsi="Times New Roman"/>
                <w:color w:val="000000"/>
                <w:sz w:val="24"/>
              </w:rPr>
              <w:t xml:space="preserve"> </w:t>
            </w:r>
            <w:hyperlink w:anchor="unaudited_condensed_consolidated_stateme">
              <w:r>
                <w:rPr>
                  <w:rStyle w:val="InternetLink"/>
                  <w:rFonts w:ascii="Times New Roman" w:hAnsi="Times New Roman"/>
                  <w:color w:val="0000FF"/>
                  <w:sz w:val="24"/>
                  <w:u w:val="single"/>
                </w:rPr>
                <w:t>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unaudited_condensed_equity">
              <w:r>
                <w:rPr>
                  <w:rStyle w:val="InternetLink"/>
                  <w:rFonts w:ascii="Times New Roman" w:hAnsi="Times New Roman"/>
                  <w:color w:val="0000FF"/>
                  <w:sz w:val="24"/>
                  <w:u w:val="single"/>
                </w:rPr>
                <w:t>Condensed Consolidated Statements of Changes in Equity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unaudited_consolidated_cash_flow">
              <w:r>
                <w:rPr>
                  <w:rStyle w:val="InternetLink"/>
                  <w:rFonts w:ascii="Times New Roman" w:hAnsi="Times New Roman"/>
                  <w:color w:val="0000FF"/>
                  <w:sz w:val="24"/>
                  <w:u w:val="single"/>
                </w:rPr>
                <w:t>Condensed Consolidated Statements of Cash Flows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4"/>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2.</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4"/>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19</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3.</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4"/>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4.</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4"/>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36</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 II.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45" w:type="dxa"/>
            <w:gridSpan w:val="2"/>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4"/>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1.</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4"/>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1A.</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4"/>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2.</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4"/>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3.</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3_default_upon_senior_securities">
              <w:r>
                <w:rPr>
                  <w:rStyle w:val="InternetLink"/>
                  <w:rFonts w:ascii="Times New Roman" w:hAnsi="Times New Roman"/>
                  <w:color w:val="0000FF"/>
                  <w:sz w:val="24"/>
                  <w:u w:val="single"/>
                </w:rPr>
                <w:t>Default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4.</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4"/>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5.</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4"/>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38</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pPr>
            <w:r>
              <w:rPr/>
              <w:t> </w:t>
            </w:r>
          </w:p>
        </w:tc>
        <w:tc>
          <w:tcPr>
            <w:tcW w:w="80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Item 6.</w:t>
            </w:r>
          </w:p>
        </w:tc>
        <w:tc>
          <w:tcPr>
            <w:tcW w:w="8040"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4"/>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39</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bookmarkStart w:id="3" w:name="part_ifinancial_information"/>
      <w:bookmarkEnd w:id="3"/>
      <w:r>
        <w:rPr>
          <w:rFonts w:ascii="Times New Roman" w:hAnsi="Times New Roman"/>
          <w:b/>
          <w:color w:val="000000"/>
          <w:sz w:val="24"/>
        </w:rPr>
        <w:t>PART I—FINANCIAL INFORMATION</w:t>
      </w:r>
    </w:p>
    <w:p>
      <w:pPr>
        <w:pStyle w:val="TextBody"/>
        <w:bidi w:val="0"/>
        <w:jc w:val="both"/>
        <w:rPr>
          <w:rFonts w:ascii="Times New Roman" w:hAnsi="Times New Roman"/>
          <w:b/>
          <w:color w:val="000000"/>
          <w:sz w:val="24"/>
        </w:rPr>
      </w:pPr>
      <w:bookmarkStart w:id="4" w:name="item_1_financial_statements"/>
      <w:bookmarkEnd w:id="4"/>
      <w:r>
        <w:rPr>
          <w:rFonts w:ascii="Times New Roman" w:hAnsi="Times New Roman"/>
          <w:b/>
          <w:color w:val="000000"/>
          <w:sz w:val="24"/>
        </w:rPr>
        <w:t>ITEM 1. FINANCIAL STATEMENTS</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5" w:name="unaudited_condensed_consolidated_balance"/>
      <w:bookmarkEnd w:id="5"/>
      <w:r>
        <w:rPr>
          <w:rFonts w:ascii="Times New Roman" w:hAnsi="Times New Roman"/>
          <w:b/>
          <w:color w:val="000000"/>
          <w:sz w:val="24"/>
        </w:rPr>
        <w:t>UNAUDITED CONDENSED CONSOLIDATED BALANCE SHEETS</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86"/>
        <w:gridCol w:w="146"/>
        <w:gridCol w:w="215"/>
        <w:gridCol w:w="753"/>
        <w:gridCol w:w="151"/>
        <w:gridCol w:w="146"/>
        <w:gridCol w:w="244"/>
        <w:gridCol w:w="851"/>
        <w:gridCol w:w="513"/>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68,934</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24,182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sz w:val="20"/>
              </w:rPr>
            </w:pPr>
            <w:r>
              <w:rPr>
                <w:rFonts w:ascii="Times New Roman" w:hAnsi="Times New Roman"/>
                <w:color w:val="000000"/>
                <w:sz w:val="14"/>
              </w:rPr>
              <w:t>Trade, net of allowance for credit loss of $4,195</w:t>
            </w:r>
            <w:r>
              <w:rPr>
                <w:rFonts w:ascii="Times New Roman" w:hAnsi="Times New Roman"/>
                <w:color w:val="000000"/>
                <w:sz w:val="20"/>
              </w:rPr>
              <w:t> </w:t>
            </w:r>
            <w:r>
              <w:rPr>
                <w:rFonts w:ascii="Times New Roman" w:hAnsi="Times New Roman"/>
                <w:color w:val="000000"/>
                <w:sz w:val="14"/>
              </w:rPr>
              <w:t>and $4,135</w:t>
            </w:r>
            <w:r>
              <w:rPr>
                <w:rFonts w:ascii="Times New Roman" w:hAnsi="Times New Roman"/>
                <w:color w:val="000000"/>
                <w:sz w:val="20"/>
              </w:rPr>
              <w:t> </w:t>
            </w:r>
            <w:r>
              <w:rPr>
                <w:rFonts w:ascii="Times New Roman" w:hAnsi="Times New Roman"/>
                <w:color w:val="000000"/>
                <w:sz w:val="14"/>
              </w:rPr>
              <w:t>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69,200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64,522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2,196</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Prepaid expenses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5,173</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13,376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10,812</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171,658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179,784</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Historical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752,640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776,833</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(341,790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(348,812</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410,850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428,021</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47,002</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463,279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475,023</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982</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Right-of-use asset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Investments, at equity, and advances to 50% or less owned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2,938</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1,855</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640,747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660,601</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405</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Current portion of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21,268</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wages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5,357</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capital, repair and maintenance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2,870</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Unearned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1,096</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Accrued insurance deductibles and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3,371</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6,350</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72,674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70,729</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Long-term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297,072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304,644</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19,376</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Deferred gains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3,794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392,909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395,929</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SEACOR Marine Holdings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Common stock, $.01</w:t>
            </w:r>
            <w:r>
              <w:rPr>
                <w:rFonts w:ascii="Times New Roman" w:hAnsi="Times New Roman"/>
                <w:color w:val="000000"/>
                <w:sz w:val="20"/>
              </w:rPr>
              <w:t> </w:t>
            </w:r>
            <w:r>
              <w:rPr>
                <w:rFonts w:ascii="Times New Roman" w:hAnsi="Times New Roman"/>
                <w:color w:val="000000"/>
                <w:sz w:val="14"/>
              </w:rPr>
              <w:t>par value, 60,000,000</w:t>
            </w:r>
            <w:r>
              <w:rPr>
                <w:rFonts w:ascii="Times New Roman" w:hAnsi="Times New Roman"/>
                <w:color w:val="000000"/>
                <w:sz w:val="20"/>
              </w:rPr>
              <w:t> </w:t>
            </w:r>
            <w:r>
              <w:rPr>
                <w:rFonts w:ascii="Times New Roman" w:hAnsi="Times New Roman"/>
                <w:color w:val="000000"/>
                <w:sz w:val="14"/>
              </w:rPr>
              <w:t>shares authorized; 28,387,920</w:t>
            </w:r>
            <w:r>
              <w:rPr>
                <w:rFonts w:ascii="Times New Roman" w:hAnsi="Times New Roman"/>
                <w:color w:val="000000"/>
                <w:sz w:val="20"/>
              </w:rPr>
              <w:t> </w:t>
            </w:r>
            <w:r>
              <w:rPr>
                <w:rFonts w:ascii="Times New Roman" w:hAnsi="Times New Roman"/>
                <w:color w:val="000000"/>
                <w:sz w:val="14"/>
              </w:rPr>
              <w:t>and 28,049,242</w:t>
            </w:r>
            <w:r>
              <w:rPr>
                <w:rFonts w:ascii="Times New Roman" w:hAnsi="Times New Roman"/>
                <w:color w:val="000000"/>
                <w:sz w:val="20"/>
              </w:rPr>
              <w:t> </w:t>
            </w:r>
            <w:r>
              <w:rPr>
                <w:rFonts w:ascii="Times New Roman" w:hAnsi="Times New Roman"/>
                <w:color w:val="000000"/>
                <w:sz w:val="14"/>
              </w:rPr>
              <w:t>shares issued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473,241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471,862</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(208,444</w:t>
            </w:r>
          </w:p>
        </w:tc>
        <w:tc>
          <w:tcPr>
            <w:tcW w:w="5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4"/>
              </w:rPr>
              <w:t>Shares held in treasury of 1,325,643</w:t>
            </w:r>
            <w:r>
              <w:rPr>
                <w:rFonts w:ascii="Times New Roman" w:hAnsi="Times New Roman"/>
                <w:color w:val="000000"/>
                <w:sz w:val="20"/>
              </w:rPr>
              <w:t> </w:t>
            </w:r>
            <w:r>
              <w:rPr>
                <w:rFonts w:ascii="Times New Roman" w:hAnsi="Times New Roman"/>
                <w:color w:val="000000"/>
                <w:sz w:val="14"/>
              </w:rPr>
              <w:t>and 1,097,456</w:t>
            </w:r>
            <w:r>
              <w:rPr>
                <w:rFonts w:ascii="Times New Roman" w:hAnsi="Times New Roman"/>
                <w:color w:val="000000"/>
                <w:sz w:val="20"/>
              </w:rPr>
              <w:t> </w:t>
            </w:r>
            <w:r>
              <w:rPr>
                <w:rFonts w:ascii="Times New Roman" w:hAnsi="Times New Roman"/>
                <w:color w:val="000000"/>
                <w:sz w:val="14"/>
              </w:rPr>
              <w:t>as of March 31, 2026 and December 31, 2025, respectively,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(9,691</w:t>
            </w:r>
          </w:p>
        </w:tc>
        <w:tc>
          <w:tcPr>
            <w:tcW w:w="5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Accumulated 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10,344</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247,517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264,351</w:t>
            </w:r>
          </w:p>
        </w:tc>
        <w:tc>
          <w:tcPr>
            <w:tcW w:w="5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Noncontrolling interests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247,838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264,672</w:t>
            </w:r>
          </w:p>
        </w:tc>
        <w:tc>
          <w:tcPr>
            <w:tcW w:w="5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2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4"/>
              </w:rPr>
            </w:pPr>
            <w:r>
              <w:rPr>
                <w:rFonts w:ascii="Times New Roman" w:hAnsi="Times New Roman"/>
                <w:color w:val="000000"/>
                <w:sz w:val="14"/>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640,747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660,601</w:t>
            </w:r>
          </w:p>
        </w:tc>
        <w:tc>
          <w:tcPr>
            <w:tcW w:w="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6" w:name="unaudited_condensed_consolidated"/>
      <w:bookmarkEnd w:id="6"/>
      <w:r>
        <w:rPr>
          <w:rFonts w:ascii="Times New Roman" w:hAnsi="Times New Roman"/>
          <w:b/>
          <w:color w:val="000000"/>
          <w:sz w:val="24"/>
        </w:rPr>
        <w:t>UNAUDITED CONDENSED CONSOLIDATED STATEMENTS OF INCOME (LOSS)</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share data)</w:t>
      </w:r>
    </w:p>
    <w:p>
      <w:pPr>
        <w:pStyle w:val="TextBody"/>
        <w:bidi w:val="0"/>
        <w:jc w:val="left"/>
        <w:rPr/>
      </w:pPr>
      <w:r>
        <w:rPr/>
        <w:t> </w:t>
      </w:r>
    </w:p>
    <w:tbl>
      <w:tblPr>
        <w:tblW w:w="9871" w:type="dxa"/>
        <w:jc w:val="left"/>
        <w:tblInd w:w="0" w:type="dxa"/>
        <w:tblLayout w:type="fixed"/>
        <w:tblCellMar>
          <w:top w:w="28" w:type="dxa"/>
          <w:left w:w="28" w:type="dxa"/>
          <w:bottom w:w="28" w:type="dxa"/>
          <w:right w:w="28" w:type="dxa"/>
        </w:tblCellMar>
      </w:tblPr>
      <w:tblGrid>
        <w:gridCol w:w="6736"/>
        <w:gridCol w:w="146"/>
        <w:gridCol w:w="199"/>
        <w:gridCol w:w="932"/>
        <w:gridCol w:w="168"/>
        <w:gridCol w:w="148"/>
        <w:gridCol w:w="199"/>
        <w:gridCol w:w="932"/>
        <w:gridCol w:w="411"/>
      </w:tblGrid>
      <w:tr>
        <w:trPr/>
        <w:tc>
          <w:tcPr>
            <w:tcW w:w="6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44,282</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37,573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10,330</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66,561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7,448</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gains,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gains (losses),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(7,270</w:t>
            </w:r>
          </w:p>
        </w:tc>
        <w:tc>
          <w:tcPr>
            <w:tcW w:w="16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(10,221</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 Expense and Equity in Earnings of 50% or Less Owned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Equity in Earnings of 50% or Less Owned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50% or Less Owned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(15,805</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(15,489</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Stock and Warrants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25,784,915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27,908,297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25,784,915</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27,908,297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7" w:name="unaudited_condensed_consolidated_stateme"/>
      <w:bookmarkEnd w:id="7"/>
      <w:r>
        <w:rPr>
          <w:rFonts w:ascii="Times New Roman" w:hAnsi="Times New Roman"/>
          <w:b/>
          <w:color w:val="000000"/>
          <w:sz w:val="24"/>
        </w:rPr>
        <w:t>UNAUDITED CONDENSED CONSOLIDATED STATEMENTS OF COMPREHENSIVE INCOME (LOSS)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both"/>
        <w:rPr/>
      </w:pPr>
      <w:r>
        <w:rPr/>
        <w:t> </w:t>
      </w:r>
    </w:p>
    <w:tbl>
      <w:tblPr>
        <w:tblW w:w="5899" w:type="dxa"/>
        <w:jc w:val="left"/>
        <w:tblInd w:w="0" w:type="dxa"/>
        <w:tblLayout w:type="fixed"/>
        <w:tblCellMar>
          <w:top w:w="28" w:type="dxa"/>
          <w:left w:w="28" w:type="dxa"/>
          <w:bottom w:w="28" w:type="dxa"/>
          <w:right w:w="28" w:type="dxa"/>
        </w:tblCellMar>
      </w:tblPr>
      <w:tblGrid>
        <w:gridCol w:w="3336"/>
        <w:gridCol w:w="146"/>
        <w:gridCol w:w="196"/>
        <w:gridCol w:w="661"/>
        <w:gridCol w:w="166"/>
        <w:gridCol w:w="146"/>
        <w:gridCol w:w="196"/>
        <w:gridCol w:w="661"/>
        <w:gridCol w:w="391"/>
      </w:tblGrid>
      <w:tr>
        <w:trPr/>
        <w:tc>
          <w:tcPr>
            <w:tcW w:w="3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(losses)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sz w:val="20"/>
        </w:rPr>
      </w:pPr>
      <w:bookmarkStart w:id="8" w:name="unaudited_condensed_equity"/>
      <w:bookmarkEnd w:id="8"/>
      <w:r>
        <w:rPr>
          <w:rFonts w:ascii="Times New Roman" w:hAnsi="Times New Roman"/>
          <w:b/>
          <w:color w:val="000000"/>
          <w:sz w:val="24"/>
        </w:rPr>
        <w:t>UNAUDITED CONDENSED CONSOLIDATED</w:t>
      </w:r>
      <w:r>
        <w:rPr>
          <w:rFonts w:ascii="Times New Roman" w:hAnsi="Times New Roman"/>
          <w:color w:val="000000"/>
          <w:sz w:val="20"/>
        </w:rPr>
        <w:t xml:space="preserve"> </w:t>
      </w:r>
      <w:r>
        <w:rPr>
          <w:rFonts w:ascii="Times New Roman" w:hAnsi="Times New Roman"/>
          <w:b/>
          <w:color w:val="000000"/>
          <w:sz w:val="24"/>
        </w:rPr>
        <w:t>STATEMENTS OF CHANGES IN EQUITY</w:t>
      </w:r>
    </w:p>
    <w:p>
      <w:pPr>
        <w:pStyle w:val="TextBody"/>
        <w:bidi w:val="0"/>
        <w:jc w:val="center"/>
        <w:rPr>
          <w:rFonts w:ascii="Times New Roman" w:hAnsi="Times New Roman"/>
          <w:b/>
          <w:color w:val="000000"/>
          <w:sz w:val="24"/>
        </w:rPr>
      </w:pPr>
      <w:r>
        <w:rPr>
          <w:rFonts w:ascii="Times New Roman" w:hAnsi="Times New Roman"/>
          <w:b/>
          <w:color w:val="000000"/>
          <w:sz w:val="24"/>
        </w:rPr>
        <w:t>(in thousands, except share data)</w:t>
      </w:r>
    </w:p>
    <w:p>
      <w:pPr>
        <w:pStyle w:val="TextBody"/>
        <w:bidi w:val="0"/>
        <w:jc w:val="left"/>
        <w:rPr/>
      </w:pPr>
      <w:r>
        <w:rPr/>
        <w:t> </w:t>
      </w:r>
    </w:p>
    <w:tbl>
      <w:tblPr>
        <w:tblW w:w="11408" w:type="dxa"/>
        <w:jc w:val="left"/>
        <w:tblInd w:w="0" w:type="dxa"/>
        <w:tblLayout w:type="fixed"/>
        <w:tblCellMar>
          <w:top w:w="28" w:type="dxa"/>
          <w:left w:w="28" w:type="dxa"/>
          <w:bottom w:w="28" w:type="dxa"/>
          <w:right w:w="28" w:type="dxa"/>
        </w:tblCellMar>
      </w:tblPr>
      <w:tblGrid>
        <w:gridCol w:w="1151"/>
        <w:gridCol w:w="146"/>
        <w:gridCol w:w="146"/>
        <w:gridCol w:w="766"/>
        <w:gridCol w:w="151"/>
        <w:gridCol w:w="146"/>
        <w:gridCol w:w="216"/>
        <w:gridCol w:w="415"/>
        <w:gridCol w:w="146"/>
        <w:gridCol w:w="146"/>
        <w:gridCol w:w="181"/>
        <w:gridCol w:w="586"/>
        <w:gridCol w:w="146"/>
        <w:gridCol w:w="146"/>
        <w:gridCol w:w="146"/>
        <w:gridCol w:w="691"/>
        <w:gridCol w:w="146"/>
        <w:gridCol w:w="146"/>
        <w:gridCol w:w="181"/>
        <w:gridCol w:w="556"/>
        <w:gridCol w:w="151"/>
        <w:gridCol w:w="146"/>
        <w:gridCol w:w="194"/>
        <w:gridCol w:w="677"/>
        <w:gridCol w:w="151"/>
        <w:gridCol w:w="146"/>
        <w:gridCol w:w="267"/>
        <w:gridCol w:w="754"/>
        <w:gridCol w:w="151"/>
        <w:gridCol w:w="146"/>
        <w:gridCol w:w="293"/>
        <w:gridCol w:w="563"/>
        <w:gridCol w:w="146"/>
        <w:gridCol w:w="146"/>
        <w:gridCol w:w="181"/>
        <w:gridCol w:w="586"/>
        <w:gridCol w:w="35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of</w:t>
              <w:br/>
              <w:t>Common</w:t>
              <w:br/>
              <w:t>Stock</w:t>
              <w:br/>
              <w:t>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br/>
              <w:t xml:space="preserve">Held in </w:t>
              <w:br/>
              <w:t>Treasury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Interests In</w:t>
              <w:br/>
              <w:t>Subsidiaries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For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26,951,786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1,097,456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(208,444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264,672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307,755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1,379</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Performance 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(15,805</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(675</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27,062,277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473,241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1,325,643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(224,249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247,838</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1328" w:type="dxa"/>
        <w:jc w:val="left"/>
        <w:tblInd w:w="0" w:type="dxa"/>
        <w:tblLayout w:type="fixed"/>
        <w:tblCellMar>
          <w:top w:w="28" w:type="dxa"/>
          <w:left w:w="28" w:type="dxa"/>
          <w:bottom w:w="28" w:type="dxa"/>
          <w:right w:w="28" w:type="dxa"/>
        </w:tblCellMar>
      </w:tblPr>
      <w:tblGrid>
        <w:gridCol w:w="1151"/>
        <w:gridCol w:w="146"/>
        <w:gridCol w:w="146"/>
        <w:gridCol w:w="766"/>
        <w:gridCol w:w="151"/>
        <w:gridCol w:w="146"/>
        <w:gridCol w:w="216"/>
        <w:gridCol w:w="415"/>
        <w:gridCol w:w="146"/>
        <w:gridCol w:w="146"/>
        <w:gridCol w:w="181"/>
        <w:gridCol w:w="586"/>
        <w:gridCol w:w="146"/>
        <w:gridCol w:w="146"/>
        <w:gridCol w:w="146"/>
        <w:gridCol w:w="691"/>
        <w:gridCol w:w="146"/>
        <w:gridCol w:w="146"/>
        <w:gridCol w:w="181"/>
        <w:gridCol w:w="481"/>
        <w:gridCol w:w="151"/>
        <w:gridCol w:w="146"/>
        <w:gridCol w:w="194"/>
        <w:gridCol w:w="677"/>
        <w:gridCol w:w="151"/>
        <w:gridCol w:w="146"/>
        <w:gridCol w:w="299"/>
        <w:gridCol w:w="722"/>
        <w:gridCol w:w="146"/>
        <w:gridCol w:w="146"/>
        <w:gridCol w:w="293"/>
        <w:gridCol w:w="563"/>
        <w:gridCol w:w="146"/>
        <w:gridCol w:w="146"/>
        <w:gridCol w:w="181"/>
        <w:gridCol w:w="586"/>
        <w:gridCol w:w="35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 of</w:t>
              <w:br/>
              <w:t>Common</w:t>
              <w:br/>
              <w:t>Stock</w:t>
              <w:br/>
              <w:t>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br/>
              <w:t xml:space="preserve">Held in </w:t>
              <w:br/>
              <w:t>Treasury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Interests In</w:t>
              <w:br/>
              <w:t>Subsidiaries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4"/>
              </w:rPr>
            </w:pPr>
            <w:r>
              <w:rPr>
                <w:rFonts w:ascii="Times New Roman" w:hAnsi="Times New Roman"/>
                <w:b/>
                <w:color w:val="000000"/>
                <w:sz w:val="14"/>
              </w:rPr>
              <w:t>For the 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27,669,361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796,965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(180,600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298,322</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grants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644,880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Amortization of share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1,621</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Employee restricted stock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(216,874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Performance restricted stock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110,741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(15,489</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1,093</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28,208,108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480,904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(196,089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284,035</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9" w:name="unaudited_consolidated_cash_flow"/>
      <w:bookmarkEnd w:id="9"/>
      <w:r>
        <w:rPr>
          <w:rFonts w:ascii="Times New Roman" w:hAnsi="Times New Roman"/>
          <w:b/>
          <w:color w:val="000000"/>
          <w:sz w:val="24"/>
        </w:rPr>
        <w:t>UNAUDITED CONDENSED CONSOLIDATED STATEMENTS OF CASH FLOWS</w:t>
      </w:r>
    </w:p>
    <w:p>
      <w:pPr>
        <w:pStyle w:val="TextBody"/>
        <w:bidi w:val="0"/>
        <w:jc w:val="center"/>
        <w:rPr>
          <w:rFonts w:ascii="Times New Roman" w:hAnsi="Times New Roman"/>
          <w:b/>
          <w:color w:val="000000"/>
          <w:sz w:val="24"/>
        </w:rPr>
      </w:pPr>
      <w:r>
        <w:rPr>
          <w:rFonts w:ascii="Times New Roman" w:hAnsi="Times New Roman"/>
          <w:b/>
          <w:color w:val="000000"/>
          <w:sz w:val="24"/>
        </w:rPr>
        <w:t>(in thousands)</w:t>
      </w:r>
    </w:p>
    <w:p>
      <w:pPr>
        <w:pStyle w:val="TextBody"/>
        <w:bidi w:val="0"/>
        <w:jc w:val="center"/>
        <w:rPr/>
      </w:pPr>
      <w:r>
        <w:rPr/>
        <w:t> </w:t>
      </w:r>
    </w:p>
    <w:tbl>
      <w:tblPr>
        <w:tblW w:w="8499" w:type="dxa"/>
        <w:jc w:val="left"/>
        <w:tblInd w:w="0" w:type="dxa"/>
        <w:tblLayout w:type="fixed"/>
        <w:tblCellMar>
          <w:top w:w="28" w:type="dxa"/>
          <w:left w:w="28" w:type="dxa"/>
          <w:bottom w:w="28" w:type="dxa"/>
          <w:right w:w="28" w:type="dxa"/>
        </w:tblCellMar>
      </w:tblPr>
      <w:tblGrid>
        <w:gridCol w:w="5361"/>
        <w:gridCol w:w="346"/>
        <w:gridCol w:w="181"/>
        <w:gridCol w:w="571"/>
        <w:gridCol w:w="346"/>
        <w:gridCol w:w="346"/>
        <w:gridCol w:w="181"/>
        <w:gridCol w:w="571"/>
        <w:gridCol w:w="596"/>
      </w:tblGrid>
      <w:tr>
        <w:trPr/>
        <w:tc>
          <w:tcPr>
            <w:tcW w:w="5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March 31,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(15,805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(15,489</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12,810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financing costs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1,627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Debt discount amortization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Allowance for credit losses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(407</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Gains from equipment sales, retirements or impairments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(5,809</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Derivative gains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Interest on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Settlements on derivative transactions,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Currency (gains) losses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(1,725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Equity earnings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(889</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receivables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(5,735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5,333</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Other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(1,681</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Accounts payable and 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4,122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(6,204</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(15,133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(11,466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Purchases of property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(6,088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(20,795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Proceeds from disposition of property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12,778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8,472</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provided by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6,690</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(12,323</w:t>
            </w:r>
          </w:p>
        </w:tc>
        <w:tc>
          <w:tcPr>
            <w:tcW w:w="5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Flows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on long-term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(5,000</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on long-term debt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(396</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Payments on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Tax withholdings on restricted stock vesting and director share awards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(1,518</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(9,240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(6,923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Effects of Exchange Rate Changes on Cash, Restricted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Change in Cash, Restricted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(30,712</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Restricted Cash and Cash Equivalents, Beginning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93,116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76,140</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Cash, Restricted Cash and Cash Equivalents, End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75,432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45,428</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Supplemental disclosures: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Cash paid for interest, excluding capitalized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10,935</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Noncash Investing and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Increase (decrease) in capital expenditures in accounts payable and 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348</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(5,182</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Recognition of a new right-of-use asset - operating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16"/>
        </w:rPr>
        <w:t>The accompanying notes are an integral part of these condensed consolidated financial statements and should be read in conjunction herewith.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center"/>
        <w:rPr>
          <w:rFonts w:ascii="Times New Roman" w:hAnsi="Times New Roman"/>
          <w:b/>
          <w:color w:val="000000"/>
          <w:sz w:val="24"/>
        </w:rPr>
      </w:pPr>
      <w:bookmarkStart w:id="10" w:name="notes_to_condensed_consolidated_financia"/>
      <w:bookmarkEnd w:id="10"/>
      <w:r>
        <w:rPr>
          <w:rFonts w:ascii="Times New Roman" w:hAnsi="Times New Roman"/>
          <w:b/>
          <w:color w:val="000000"/>
          <w:sz w:val="24"/>
        </w:rPr>
        <w:t>NOTES TO CONDENSED CONSOLIDATED FINANCIAL STATEMENTS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BASIS OF PRESENTATION AND ACCOUNTING POLICIES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information and footnote disclosures normally included in financial statements prepared in accordance with generally accepted accounting principles in the United States (“U.S. GAAP”) have been condensed or omitted. These condensed consolidated financial statements should be read in conjunction with the Company’s financial statements and related notes thereto included in the Company’s Annual Report on Form 10-K for the year ended December 31, 2025 (the “2025 Annual Report”).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pStyle w:val="TextBody"/>
        <w:bidi w:val="0"/>
        <w:spacing w:before="200" w:after="283"/>
        <w:jc w:val="both"/>
        <w:rPr>
          <w:rFonts w:ascii="Times New Roman" w:hAnsi="Times New Roman"/>
          <w:b/>
          <w:i/>
          <w:color w:val="000000"/>
          <w:sz w:val="24"/>
          <w:u w:val="single"/>
        </w:rPr>
      </w:pPr>
      <w:r>
        <w:rPr>
          <w:rFonts w:ascii="Times New Roman" w:hAnsi="Times New Roman"/>
          <w:b/>
          <w:i/>
          <w:color w:val="000000"/>
          <w:sz w:val="24"/>
          <w:u w:val="single"/>
        </w:rPr>
        <w:t>Recently Adopted Accounting Standards.</w:t>
      </w:r>
    </w:p>
    <w:p>
      <w:pPr>
        <w:pStyle w:val="TextBody"/>
        <w:bidi w:val="0"/>
        <w:spacing w:before="200" w:after="283"/>
        <w:jc w:val="both"/>
        <w:rPr>
          <w:rFonts w:ascii="Times New Roman" w:hAnsi="Times New Roman"/>
          <w:sz w:val="20"/>
        </w:rPr>
      </w:pPr>
      <w:r>
        <w:rPr>
          <w:rFonts w:ascii="Times New Roman" w:hAnsi="Times New Roman"/>
          <w:color w:val="000000"/>
          <w:sz w:val="24"/>
        </w:rPr>
        <w:t>On December 14, 2023, the Financial Accounting Standards Board (“FASB”) issued Accounting Standards Update (“ASU”) 2023-09, Income Taxes (Topic 740): Improvements to Income Tax Disclosures, which requires public entities to disclose, on an annual basis, information about their effective tax rate reconciliation and information on income taxes paid. The guidance is effective for fiscal years beginning after December 15, 2024. The Company adopted</w:t>
      </w:r>
      <w:r>
        <w:rPr>
          <w:rFonts w:ascii="Times New Roman" w:hAnsi="Times New Roman"/>
          <w:color w:val="000000"/>
          <w:sz w:val="20"/>
        </w:rPr>
        <w:t xml:space="preserve"> </w:t>
      </w:r>
      <w:r>
        <w:rPr>
          <w:rFonts w:ascii="Times New Roman" w:hAnsi="Times New Roman"/>
          <w:color w:val="000000"/>
          <w:sz w:val="24"/>
        </w:rPr>
        <w:t>ASU 2023-09 for the year ended December 31, 2025, which only affected</w:t>
      </w:r>
      <w:r>
        <w:rPr>
          <w:rFonts w:ascii="Times New Roman" w:hAnsi="Times New Roman"/>
          <w:color w:val="000000"/>
          <w:sz w:val="20"/>
        </w:rPr>
        <w:t xml:space="preserve"> </w:t>
      </w:r>
      <w:r>
        <w:rPr>
          <w:rFonts w:ascii="Times New Roman" w:hAnsi="Times New Roman"/>
          <w:color w:val="000000"/>
          <w:sz w:val="24"/>
        </w:rPr>
        <w:t>the disclosures and did not impact the Company’s consolidated financial position or results of operations.</w:t>
      </w:r>
    </w:p>
    <w:p>
      <w:pPr>
        <w:pStyle w:val="TextBody"/>
        <w:bidi w:val="0"/>
        <w:spacing w:before="200" w:after="283"/>
        <w:jc w:val="both"/>
        <w:rPr>
          <w:rFonts w:ascii="Times New Roman" w:hAnsi="Times New Roman"/>
          <w:b/>
          <w:i/>
          <w:color w:val="000000"/>
          <w:sz w:val="24"/>
          <w:u w:val="single"/>
        </w:rPr>
      </w:pPr>
      <w:r>
        <w:rPr>
          <w:rFonts w:ascii="Times New Roman" w:hAnsi="Times New Roman"/>
          <w:b/>
          <w:i/>
          <w:color w:val="000000"/>
          <w:sz w:val="24"/>
          <w:u w:val="single"/>
        </w:rPr>
        <w:t>Recently Issued Accounting Standards.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December 18, 2025, the FASB issued ASU 2025-12, Codification Improvements, which clarify, correct errors in and make improvements related to various topics in the FASB Accounting Standards Codification (“ASC”). The guidance is effective for fiscal years, and interim periods within those fiscal years, beginning after December 15, 2026. While early adoption is permitted on an issue-by-issue basis, the Company has determined it will not early adopt the standard.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December 8, 2025, the FASB issued ASU 2025-11, Interim Reporting (Topic 270): Narrow Scope Improvements, which clarifies interim financial reporting requirements by improving the navigability of the guidance and more clearly specifies what disclosures are required in an interim reporting period. The guidance is effective for interim periods in fiscal years beginning after December 15, 2027. While early adoption is permitted, the Company has determined it will not early adopt the standard.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sz w:val="20"/>
        </w:rPr>
      </w:pPr>
      <w:r>
        <w:rPr>
          <w:rFonts w:ascii="Times New Roman" w:hAnsi="Times New Roman"/>
          <w:color w:val="000000"/>
          <w:sz w:val="24"/>
        </w:rPr>
        <w:t>On September 29, 2025, the FASB issued ASU 2025-07, Derivatives and Hedging (Topic 815) and Revenue from Contracts with Customers (Topic 606): Derivatives Scope Refinements and Scope Clarification for Share-Based Noncash Consideration from a Customer in a Revenue Contract, which addresses two issues: (1) refines the scope of the guidance on derivatives in ASC 815 (Issue 1) and (2) clarifies the guidance 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share-based payments from a customer in ASC 606 (Issue 2). The guidance is effective for fiscal years, and interim periods within those fiscal years, beginning after December 15, 2026. While early adoption is permitted, the Company has determined it will not early adopt the standards.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November 4, 2024, the FASB issued ASU 2024-03, Reporting Comprehensive Income–Expense Disaggregation Disclosures (Subtopic 220-40): Disaggregation of Income Statement Expenses, which requires disaggregation of certain income statement expense captions into specified categories in disclosures within the footnotes to the financial statements. The guidance is effective for fiscal years beginning after December 15, 2026, and interim periods within the fiscal years beginning after December 15, 2027. While early adoption is permitted, the Company has determined it will not early adopt the standard. The Company does not believe the adoption of the standard will have a material effect on the Company’s consolidated financial position or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October 9, 2023, the FASB issued ASU 2023-06, Disclosure Improvements: Codification Amendments in Response to the United States Securities and Exchange Commission’s (“SEC”) Disclosure Update and Simplification Initiative, which amends the disclosure or presentation requirements related to various subtopics in the FASB ASC. The effective date is contingent on when the SEC removes the related disclosure from Regulation S-X or Regulation S-K, with early adoption prohibited. The Company does not believe the adoption of the standard will have a material effect on the Company’s consolidated financial position, results of operations or disclosures.</w:t>
      </w:r>
    </w:p>
    <w:p>
      <w:pPr>
        <w:pStyle w:val="TextBody"/>
        <w:bidi w:val="0"/>
        <w:spacing w:before="200" w:after="283"/>
        <w:jc w:val="both"/>
        <w:rPr>
          <w:rFonts w:ascii="Times New Roman" w:hAnsi="Times New Roman"/>
          <w:sz w:val="20"/>
        </w:rPr>
      </w:pPr>
      <w:r>
        <w:rPr>
          <w:rFonts w:ascii="Times New Roman" w:hAnsi="Times New Roman"/>
          <w:b/>
          <w:i/>
          <w:color w:val="000000"/>
          <w:sz w:val="24"/>
          <w:u w:val="single"/>
        </w:rPr>
        <w:t>Accounting Policies.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Basis of Consolidation. </w:t>
      </w:r>
      <w:r>
        <w:rPr>
          <w:rFonts w:ascii="Times New Roman" w:hAnsi="Times New Roman"/>
          <w:color w:val="000000"/>
          <w:sz w:val="24"/>
        </w:rPr>
        <w:t>The consolidated financial statements include the accounts of SEACOR Marine and its controlled subsidiaries. Control is generally deemed to exist if the Company has greater than 50% of the voting rights of a subsidiary. All significant intercompany accounts and transactions are eliminated in the consolidation.</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reclassifications were made to previously reported amounts in the consolidated financial statements and notes thereto to make them consistent with the current period presentation.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4"/>
        </w:rPr>
        <w:t>Use of Estimates.</w:t>
      </w:r>
      <w:r>
        <w:rPr>
          <w:rFonts w:ascii="Times New Roman" w:hAnsi="Times New Roman"/>
          <w:color w:val="000000"/>
          <w:sz w:val="20"/>
        </w:rPr>
        <w:t xml:space="preserve"> </w:t>
      </w:r>
      <w:r>
        <w:rPr>
          <w:rFonts w:ascii="Times New Roman" w:hAnsi="Times New Roman"/>
          <w:color w:val="000000"/>
          <w:sz w:val="24"/>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and those differences may be material.</w:t>
      </w:r>
    </w:p>
    <w:p>
      <w:pPr>
        <w:pStyle w:val="TextBody"/>
        <w:bidi w:val="0"/>
        <w:spacing w:before="200" w:after="283"/>
        <w:jc w:val="both"/>
        <w:rPr>
          <w:rFonts w:ascii="Times New Roman" w:hAnsi="Times New Roman"/>
          <w:sz w:val="20"/>
        </w:rPr>
      </w:pPr>
      <w:r>
        <w:rPr>
          <w:rFonts w:ascii="Times New Roman" w:hAnsi="Times New Roman"/>
          <w:b/>
          <w:i/>
          <w:color w:val="000000"/>
          <w:sz w:val="24"/>
        </w:rPr>
        <w:t>Revenue Recognition</w:t>
      </w:r>
      <w:r>
        <w:rPr>
          <w:rFonts w:ascii="Times New Roman" w:hAnsi="Times New Roman"/>
          <w:color w:val="000000"/>
          <w:sz w:val="24"/>
        </w:rPr>
        <w:t>. Revenue is recognized when (or as) the Company transfers promised goods or services to its customers in amounts that reflect the consideration to which the Company expects to be entitled to in exchange for those goods or services, which occurs when (or as) the Company satisfies its contractual obligations and transfers control of the promised goods or services to its customers. The Company recognizes revenue, net of sales taxes, based on its estimates of the consideration the Company expects to receive. Costs to obtain or fulfill a contract are expensed as incurred.</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Gulf of America, time charter durations and rates are typically established in the context of master service agreements that govern the terms and conditions of the charter.</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In the Company’s operating areas, contracts or charters vary in length from several days to multi-year periods. Many of the Company’s contracts and charters include cancellation clauses without early termination penalties. As a result of cancellations, options and frequent renewals, the stated duration of charters may not correlate with the length of time the vessel is contracted for to provide services to a particular customer.</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Revenue that does not meet these criteria is deferred and is considered a contract liability and is recognized as such until the criteria are met. Contract liabilities, which are included in unearned revenue in the accompanying consolidated balance sheets, as of March 31, 2026 and December 31, 2025 were as follows (in thousands):</w:t>
      </w:r>
    </w:p>
    <w:tbl>
      <w:tblPr>
        <w:tblW w:w="6765" w:type="dxa"/>
        <w:jc w:val="left"/>
        <w:tblInd w:w="0" w:type="dxa"/>
        <w:tblLayout w:type="fixed"/>
        <w:tblCellMar>
          <w:top w:w="28" w:type="dxa"/>
          <w:left w:w="28" w:type="dxa"/>
          <w:bottom w:w="28" w:type="dxa"/>
          <w:right w:w="28" w:type="dxa"/>
        </w:tblCellMar>
      </w:tblPr>
      <w:tblGrid>
        <w:gridCol w:w="3081"/>
        <w:gridCol w:w="146"/>
        <w:gridCol w:w="357"/>
        <w:gridCol w:w="933"/>
        <w:gridCol w:w="166"/>
        <w:gridCol w:w="146"/>
        <w:gridCol w:w="394"/>
        <w:gridCol w:w="1151"/>
        <w:gridCol w:w="391"/>
      </w:tblGrid>
      <w:tr>
        <w:trPr/>
        <w:tc>
          <w:tcPr>
            <w:tcW w:w="3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Unearned revenues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Revenues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Times New Roman" w:hAnsi="Times New Roman"/>
          <w:color w:val="000000"/>
          <w:sz w:val="24"/>
        </w:rPr>
        <w:t>As of March 31, 2026 and December 31, 2025, the Company had unearned revenue of $0.9</w:t>
      </w:r>
      <w:r>
        <w:rPr>
          <w:rFonts w:ascii="Times New Roman" w:hAnsi="Times New Roman"/>
          <w:color w:val="000000"/>
          <w:sz w:val="20"/>
        </w:rPr>
        <w:t xml:space="preserve"> </w:t>
      </w:r>
      <w:r>
        <w:rPr>
          <w:rFonts w:ascii="Times New Roman" w:hAnsi="Times New Roman"/>
          <w:color w:val="000000"/>
          <w:sz w:val="24"/>
        </w:rPr>
        <w:t>million and $1.1</w:t>
      </w:r>
      <w:r>
        <w:rPr>
          <w:rFonts w:ascii="Times New Roman" w:hAnsi="Times New Roman"/>
          <w:color w:val="000000"/>
          <w:sz w:val="20"/>
        </w:rPr>
        <w:t xml:space="preserve"> </w:t>
      </w:r>
      <w:r>
        <w:rPr>
          <w:rFonts w:ascii="Times New Roman" w:hAnsi="Times New Roman"/>
          <w:color w:val="000000"/>
          <w:sz w:val="24"/>
        </w:rPr>
        <w:t>million, respectively, primarily related to mobilization of vessels.</w:t>
      </w:r>
    </w:p>
    <w:p>
      <w:pPr>
        <w:pStyle w:val="TextBody"/>
        <w:bidi w:val="0"/>
        <w:spacing w:before="200" w:after="283"/>
        <w:jc w:val="both"/>
        <w:rPr>
          <w:rFonts w:ascii="Times New Roman" w:hAnsi="Times New Roman"/>
          <w:sz w:val="20"/>
        </w:rPr>
      </w:pPr>
      <w:r>
        <w:rPr>
          <w:rFonts w:ascii="Times New Roman" w:hAnsi="Times New Roman"/>
          <w:b/>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costs and expenses that are considered significant, other than leased-in equipment expense, consist primarily of costs and expenses such as: personnel; repairs and maintenance; drydocking; insurance and loss reserves; and fuel, lubes and supplies. Other direct operating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expenses consist of costs such as brokers’ commissions, communication costs, expenses incurred in mobilizing vessels between geographic regions, third party ship management fees, freight expenses, and customs and importation duties. Direct operating costs are expensed as incurred.</w:t>
      </w:r>
    </w:p>
    <w:p>
      <w:pPr>
        <w:pStyle w:val="TextBody"/>
        <w:bidi w:val="0"/>
        <w:spacing w:before="200" w:after="283"/>
        <w:jc w:val="both"/>
        <w:rPr>
          <w:rFonts w:ascii="Times New Roman" w:hAnsi="Times New Roman"/>
          <w:sz w:val="20"/>
        </w:rPr>
      </w:pPr>
      <w:r>
        <w:rPr>
          <w:rFonts w:ascii="Times New Roman" w:hAnsi="Times New Roman"/>
          <w:b/>
          <w:i/>
          <w:color w:val="000000"/>
          <w:sz w:val="24"/>
        </w:rPr>
        <w:t>Cash and Cash Equivalents.</w:t>
      </w:r>
      <w:r>
        <w:rPr>
          <w:rFonts w:ascii="Times New Roman" w:hAnsi="Times New Roman"/>
          <w:color w:val="000000"/>
          <w:sz w:val="20"/>
        </w:rPr>
        <w:t xml:space="preserve"> </w:t>
      </w:r>
      <w:r>
        <w:rPr>
          <w:rFonts w:ascii="Times New Roman" w:hAnsi="Times New Roman"/>
          <w:color w:val="000000"/>
          <w:sz w:val="24"/>
        </w:rPr>
        <w:t>The Company considers all highly liquid investments, with an original maturity of three months or less from the date purchased, to be cash equivalents.</w:t>
      </w:r>
    </w:p>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Restricted Cash. </w:t>
      </w:r>
      <w:r>
        <w:rPr>
          <w:rFonts w:ascii="Times New Roman" w:hAnsi="Times New Roman"/>
          <w:color w:val="000000"/>
          <w:sz w:val="24"/>
        </w:rPr>
        <w:t>Restricted cash primarily relates to banking and credit facility requirements.</w:t>
      </w:r>
    </w:p>
    <w:p>
      <w:pPr>
        <w:pStyle w:val="TextBody"/>
        <w:bidi w:val="0"/>
        <w:spacing w:before="200" w:after="283"/>
        <w:jc w:val="both"/>
        <w:rPr>
          <w:rFonts w:ascii="Times New Roman" w:hAnsi="Times New Roman"/>
          <w:sz w:val="20"/>
        </w:rPr>
      </w:pPr>
      <w:r>
        <w:rPr>
          <w:rFonts w:ascii="Times New Roman" w:hAnsi="Times New Roman"/>
          <w:b/>
          <w:i/>
          <w:color w:val="000000"/>
          <w:sz w:val="24"/>
        </w:rPr>
        <w:t>Trade and Other Receivables and Allowance for Credit Losses.</w:t>
      </w:r>
      <w:r>
        <w:rPr>
          <w:rFonts w:ascii="Times New Roman" w:hAnsi="Times New Roman"/>
          <w:color w:val="000000"/>
          <w:sz w:val="20"/>
        </w:rPr>
        <w:t xml:space="preserve"> </w:t>
      </w:r>
      <w:r>
        <w:rPr>
          <w:rFonts w:ascii="Times New Roman" w:hAnsi="Times New Roman"/>
          <w:color w:val="000000"/>
          <w:sz w:val="24"/>
        </w:rPr>
        <w:t>Customers are primarily major integrated national and international oil companies, large independent oil and natural gas exploration and production companies and established wind farm construction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expected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After collection efforts have been exhausted, trade receivables that are deemed uncollectible are removed from both accounts receivable and the allowance for credit losses.</w:t>
      </w:r>
    </w:p>
    <w:p>
      <w:pPr>
        <w:pStyle w:val="TextBody"/>
        <w:bidi w:val="0"/>
        <w:spacing w:before="200" w:after="283"/>
        <w:jc w:val="both"/>
        <w:rPr>
          <w:rFonts w:ascii="Times New Roman" w:hAnsi="Times New Roman"/>
          <w:sz w:val="20"/>
        </w:rPr>
      </w:pPr>
      <w:r>
        <w:rPr>
          <w:rFonts w:ascii="Times New Roman" w:hAnsi="Times New Roman"/>
          <w:b/>
          <w:i/>
          <w:color w:val="000000"/>
          <w:sz w:val="24"/>
        </w:rPr>
        <w:t>Property and Equipment.</w:t>
      </w:r>
      <w:r>
        <w:rPr>
          <w:rFonts w:ascii="Times New Roman" w:hAnsi="Times New Roman"/>
          <w:color w:val="000000"/>
          <w:sz w:val="20"/>
        </w:rPr>
        <w:t xml:space="preserve"> </w:t>
      </w:r>
      <w:r>
        <w:rPr>
          <w:rFonts w:ascii="Times New Roman" w:hAnsi="Times New Roman"/>
          <w:color w:val="000000"/>
          <w:sz w:val="24"/>
        </w:rPr>
        <w:t>Equipment, stated at cost, is depreciated using the straight-line method over the estimated 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the asset’s remaining useful life, typically the period until the next survey or certification date. As of March 31, 2026, the estimated useful life of the Company’s new offshore support vessels was 20</w:t>
      </w:r>
      <w:r>
        <w:rPr>
          <w:rFonts w:ascii="Times New Roman" w:hAnsi="Times New Roman"/>
          <w:color w:val="000000"/>
          <w:sz w:val="20"/>
        </w:rPr>
        <w:t xml:space="preserve"> </w:t>
      </w:r>
      <w:r>
        <w:rPr>
          <w:rFonts w:ascii="Times New Roman" w:hAnsi="Times New Roman"/>
          <w:color w:val="000000"/>
          <w:sz w:val="24"/>
        </w:rPr>
        <w:t>years.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pStyle w:val="TextBody"/>
        <w:bidi w:val="0"/>
        <w:spacing w:before="200" w:after="283"/>
        <w:jc w:val="both"/>
        <w:rPr>
          <w:rFonts w:ascii="Times New Roman" w:hAnsi="Times New Roman"/>
          <w:sz w:val="20"/>
        </w:rPr>
      </w:pPr>
      <w:r>
        <w:rPr>
          <w:rFonts w:ascii="Times New Roman" w:hAnsi="Times New Roman"/>
          <w:color w:val="000000"/>
          <w:sz w:val="24"/>
        </w:rPr>
        <w:t>Certain interest costs incurred during the construction of equipment are capitalized as part of the assets’ carrying values and are amortized over such assets’ estimated useful lives. There was $1.0</w:t>
      </w:r>
      <w:r>
        <w:rPr>
          <w:rFonts w:ascii="Times New Roman" w:hAnsi="Times New Roman"/>
          <w:color w:val="000000"/>
          <w:sz w:val="20"/>
        </w:rPr>
        <w:t xml:space="preserve"> </w:t>
      </w:r>
      <w:r>
        <w:rPr>
          <w:rFonts w:ascii="Times New Roman" w:hAnsi="Times New Roman"/>
          <w:color w:val="000000"/>
          <w:sz w:val="24"/>
        </w:rPr>
        <w:t>million of capitalized interest recognized during the three months ended March 31, 2026</w:t>
      </w:r>
      <w:r>
        <w:rPr>
          <w:rFonts w:ascii="Times New Roman" w:hAnsi="Times New Roman"/>
          <w:color w:val="000000"/>
          <w:sz w:val="20"/>
        </w:rPr>
        <w:t xml:space="preserve"> </w:t>
      </w:r>
      <w:r>
        <w:rPr>
          <w:rFonts w:ascii="Times New Roman" w:hAnsi="Times New Roman"/>
          <w:color w:val="000000"/>
          <w:sz w:val="24"/>
        </w:rPr>
        <w:t>and no</w:t>
      </w:r>
      <w:r>
        <w:rPr>
          <w:rFonts w:ascii="Times New Roman" w:hAnsi="Times New Roman"/>
          <w:color w:val="000000"/>
          <w:sz w:val="20"/>
        </w:rPr>
        <w:t xml:space="preserve"> </w:t>
      </w:r>
      <w:r>
        <w:rPr>
          <w:rFonts w:ascii="Times New Roman" w:hAnsi="Times New Roman"/>
          <w:color w:val="000000"/>
          <w:sz w:val="24"/>
        </w:rPr>
        <w:t>capitalized interest recognized during the three months ended March 31, 2025.</w:t>
      </w:r>
    </w:p>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Assets Held for Sale. </w:t>
      </w:r>
      <w:r>
        <w:rPr>
          <w:rFonts w:ascii="Times New Roman" w:hAnsi="Times New Roman"/>
          <w:color w:val="000000"/>
          <w:sz w:val="24"/>
        </w:rPr>
        <w:t xml:space="preserve">As of March 31, 2026, one </w:t>
      </w:r>
      <w:r>
        <w:rPr>
          <w:rFonts w:ascii="Times New Roman" w:hAnsi="Times New Roman"/>
          <w:color w:val="222222"/>
          <w:sz w:val="24"/>
        </w:rPr>
        <w:t xml:space="preserve">platform supply vessel </w:t>
      </w:r>
      <w:r>
        <w:rPr>
          <w:rFonts w:ascii="Times New Roman" w:hAnsi="Times New Roman"/>
          <w:color w:val="000000"/>
          <w:sz w:val="24"/>
        </w:rPr>
        <w:t>(“PSV”) and two liftboats previously included in the United States (“U.S.”), primarily Gulf of America segment, with carrying values of $5.5</w:t>
      </w:r>
      <w:r>
        <w:rPr>
          <w:rFonts w:ascii="Times New Roman" w:hAnsi="Times New Roman"/>
          <w:color w:val="000000"/>
          <w:sz w:val="20"/>
        </w:rPr>
        <w:t xml:space="preserve"> </w:t>
      </w:r>
      <w:r>
        <w:rPr>
          <w:rFonts w:ascii="Times New Roman" w:hAnsi="Times New Roman"/>
          <w:color w:val="000000"/>
          <w:sz w:val="24"/>
        </w:rPr>
        <w:t>million, $3.2</w:t>
      </w:r>
      <w:r>
        <w:rPr>
          <w:rFonts w:ascii="Times New Roman" w:hAnsi="Times New Roman"/>
          <w:color w:val="000000"/>
          <w:sz w:val="20"/>
        </w:rPr>
        <w:t xml:space="preserve"> </w:t>
      </w:r>
      <w:r>
        <w:rPr>
          <w:rFonts w:ascii="Times New Roman" w:hAnsi="Times New Roman"/>
          <w:color w:val="000000"/>
          <w:sz w:val="24"/>
        </w:rPr>
        <w:t>million and $3.2</w:t>
      </w:r>
      <w:r>
        <w:rPr>
          <w:rFonts w:ascii="Times New Roman" w:hAnsi="Times New Roman"/>
          <w:color w:val="000000"/>
          <w:sz w:val="20"/>
        </w:rPr>
        <w:t xml:space="preserve"> </w:t>
      </w:r>
      <w:r>
        <w:rPr>
          <w:rFonts w:ascii="Times New Roman" w:hAnsi="Times New Roman"/>
          <w:color w:val="000000"/>
          <w:sz w:val="24"/>
        </w:rPr>
        <w:t>million, respectively, one fast</w:t>
      </w:r>
      <w:r>
        <w:rPr>
          <w:rFonts w:ascii="Times New Roman" w:hAnsi="Times New Roman"/>
          <w:color w:val="222222"/>
          <w:sz w:val="20"/>
        </w:rPr>
        <w:t xml:space="preserve"> </w:t>
      </w:r>
      <w:r>
        <w:rPr>
          <w:rFonts w:ascii="Times New Roman" w:hAnsi="Times New Roman"/>
          <w:color w:val="222222"/>
          <w:sz w:val="24"/>
        </w:rPr>
        <w:t xml:space="preserve">support vessel </w:t>
      </w:r>
      <w:r>
        <w:rPr>
          <w:rFonts w:ascii="Times New Roman" w:hAnsi="Times New Roman"/>
          <w:color w:val="000000"/>
          <w:sz w:val="24"/>
        </w:rPr>
        <w:t>(“FSV”)</w:t>
      </w:r>
      <w:r>
        <w:rPr>
          <w:rFonts w:ascii="Times New Roman" w:hAnsi="Times New Roman"/>
          <w:color w:val="000000"/>
          <w:sz w:val="20"/>
        </w:rPr>
        <w:t xml:space="preserve"> </w:t>
      </w:r>
      <w:r>
        <w:rPr>
          <w:rFonts w:ascii="Times New Roman" w:hAnsi="Times New Roman"/>
          <w:color w:val="000000"/>
          <w:sz w:val="24"/>
        </w:rPr>
        <w:t>previously included in the Africa and Europe segment, with a carrying value of $0.9</w:t>
      </w:r>
      <w:r>
        <w:rPr>
          <w:rFonts w:ascii="Times New Roman" w:hAnsi="Times New Roman"/>
          <w:color w:val="000000"/>
          <w:sz w:val="20"/>
        </w:rPr>
        <w:t xml:space="preserve"> </w:t>
      </w:r>
      <w:r>
        <w:rPr>
          <w:rFonts w:ascii="Times New Roman" w:hAnsi="Times New Roman"/>
          <w:color w:val="000000"/>
          <w:sz w:val="24"/>
        </w:rPr>
        <w:t>million, and one PSV</w:t>
      </w:r>
      <w:r>
        <w:rPr>
          <w:rFonts w:ascii="Times New Roman" w:hAnsi="Times New Roman"/>
          <w:color w:val="000000"/>
          <w:sz w:val="20"/>
        </w:rPr>
        <w:t xml:space="preserve"> </w:t>
      </w:r>
      <w:r>
        <w:rPr>
          <w:rFonts w:ascii="Times New Roman" w:hAnsi="Times New Roman"/>
          <w:color w:val="000000"/>
          <w:sz w:val="24"/>
        </w:rPr>
        <w:t>previously included in the Middle East and Asia segment, with a carrying value of $0.5</w:t>
      </w:r>
      <w:r>
        <w:rPr>
          <w:rFonts w:ascii="Times New Roman" w:hAnsi="Times New Roman"/>
          <w:color w:val="000000"/>
          <w:sz w:val="20"/>
        </w:rPr>
        <w:t xml:space="preserve"> </w:t>
      </w:r>
      <w:r>
        <w:rPr>
          <w:rFonts w:ascii="Times New Roman" w:hAnsi="Times New Roman"/>
          <w:color w:val="000000"/>
          <w:sz w:val="24"/>
        </w:rPr>
        <w:t>million, were classified as assets held for sale as the Company expects to sell the vessels within one year.</w:t>
      </w:r>
    </w:p>
    <w:p>
      <w:pPr>
        <w:pStyle w:val="TextBody"/>
        <w:bidi w:val="0"/>
        <w:spacing w:before="200" w:after="283"/>
        <w:jc w:val="both"/>
        <w:rPr>
          <w:rFonts w:ascii="Times New Roman" w:hAnsi="Times New Roman"/>
          <w:sz w:val="20"/>
        </w:rPr>
      </w:pPr>
      <w:r>
        <w:rPr>
          <w:rFonts w:ascii="Times New Roman" w:hAnsi="Times New Roman"/>
          <w:b/>
          <w:i/>
          <w:color w:val="000000"/>
          <w:sz w:val="24"/>
        </w:rPr>
        <w:t>Impairment of Long-Lived Assets.</w:t>
      </w:r>
      <w:r>
        <w:rPr>
          <w:rFonts w:ascii="Times New Roman" w:hAnsi="Times New Roman"/>
          <w:color w:val="000000"/>
          <w:sz w:val="20"/>
        </w:rPr>
        <w:t xml:space="preserve"> </w:t>
      </w:r>
      <w:r>
        <w:rPr>
          <w:rFonts w:ascii="Times New Roman" w:hAnsi="Times New Roman"/>
          <w:color w:val="000000"/>
          <w:sz w:val="24"/>
        </w:rPr>
        <w:t>The Company performs an impairment analysis of long-lived assets used in operations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recoverable, as determined by their estimated future undiscounted cash flows, the estimated fair value of the assets or asset groups are compared to their current carrying values and impairment charges are recorded if the carrying value exceeds fair value.</w:t>
      </w:r>
    </w:p>
    <w:p>
      <w:pPr>
        <w:pStyle w:val="TextBody"/>
        <w:bidi w:val="0"/>
        <w:spacing w:before="200" w:after="283"/>
        <w:jc w:val="both"/>
        <w:rPr>
          <w:rFonts w:ascii="Times New Roman" w:hAnsi="Times New Roman"/>
          <w:sz w:val="20"/>
        </w:rPr>
      </w:pPr>
      <w:r>
        <w:rPr>
          <w:rFonts w:ascii="Times New Roman" w:hAnsi="Times New Roman"/>
          <w:color w:val="000000"/>
          <w:sz w:val="24"/>
        </w:rPr>
        <w:t>During the three months ended March 31, 2026 and 2025, the Company did not record impairment</w:t>
      </w:r>
      <w:r>
        <w:rPr>
          <w:rFonts w:ascii="Times New Roman" w:hAnsi="Times New Roman"/>
          <w:color w:val="000000"/>
          <w:sz w:val="20"/>
        </w:rPr>
        <w:t xml:space="preserve"> </w:t>
      </w:r>
      <w:r>
        <w:rPr>
          <w:rFonts w:ascii="Times New Roman" w:hAnsi="Times New Roman"/>
          <w:color w:val="000000"/>
          <w:sz w:val="24"/>
        </w:rPr>
        <w:t>charges on any owned vessels. Impairment charges are included in gains (losses) on asset dispositions and impairments in the accompanying consolidated statements of income (loss). Estimated fair values for the Company-owned vessels were established by independent appraisers based on researched market information, replacement cost information and other data.</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vessel classes and individual vessels with indicators of impairment as of March 31, 2026, the Company assessed that their estimated fair value exceeds their current carrying values.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third-party appraisers and other market data such as recent sales of similar vessels.</w:t>
      </w:r>
    </w:p>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Impairment of </w:t>
      </w:r>
      <w:r>
        <w:rPr>
          <w:rFonts w:ascii="Times New Roman" w:hAnsi="Times New Roman"/>
          <w:b/>
          <w:color w:val="000000"/>
          <w:sz w:val="24"/>
        </w:rPr>
        <w:t>50%</w:t>
      </w:r>
      <w:r>
        <w:rPr>
          <w:rFonts w:ascii="Times New Roman" w:hAnsi="Times New Roman"/>
          <w:color w:val="000000"/>
          <w:sz w:val="20"/>
        </w:rPr>
        <w:t xml:space="preserve"> </w:t>
      </w:r>
      <w:r>
        <w:rPr>
          <w:rFonts w:ascii="Times New Roman" w:hAnsi="Times New Roman"/>
          <w:b/>
          <w:i/>
          <w:color w:val="000000"/>
          <w:sz w:val="24"/>
        </w:rPr>
        <w:t>or Less Owned Companies.</w:t>
      </w:r>
      <w:r>
        <w:rPr>
          <w:rFonts w:ascii="Times New Roman" w:hAnsi="Times New Roman"/>
          <w:color w:val="000000"/>
          <w:sz w:val="20"/>
        </w:rPr>
        <w:t xml:space="preserve"> </w:t>
      </w:r>
      <w:r>
        <w:rPr>
          <w:rFonts w:ascii="Times New Roman" w:hAnsi="Times New Roman"/>
          <w:color w:val="000000"/>
          <w:sz w:val="24"/>
        </w:rPr>
        <w:t>Investments in 50% or less owned companies are reviewed 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three months ended March 31, 2026 and 2025, the Company did not recognize any impairment charges related to its 50% or less owned companies.</w:t>
      </w:r>
    </w:p>
    <w:p>
      <w:pPr>
        <w:pStyle w:val="TextBody"/>
        <w:bidi w:val="0"/>
        <w:spacing w:before="200" w:after="283"/>
        <w:jc w:val="both"/>
        <w:rPr>
          <w:rFonts w:ascii="Times New Roman" w:hAnsi="Times New Roman"/>
          <w:sz w:val="20"/>
        </w:rPr>
      </w:pPr>
      <w:r>
        <w:rPr>
          <w:rFonts w:ascii="Times New Roman" w:hAnsi="Times New Roman"/>
          <w:b/>
          <w:i/>
          <w:color w:val="000000"/>
          <w:sz w:val="24"/>
        </w:rPr>
        <w:t>Income Taxes.</w:t>
      </w:r>
      <w:r>
        <w:rPr>
          <w:rFonts w:ascii="Times New Roman" w:hAnsi="Times New Roman"/>
          <w:color w:val="000000"/>
          <w:sz w:val="20"/>
        </w:rPr>
        <w:t xml:space="preserve"> </w:t>
      </w:r>
      <w:r>
        <w:rPr>
          <w:rFonts w:ascii="Times New Roman" w:hAnsi="Times New Roman"/>
          <w:color w:val="000000"/>
          <w:sz w:val="24"/>
        </w:rPr>
        <w:t>During the three months ended March 31, 2026, the Company’s effective income tax rate of 16.2% was primarily due to foreign taxes paid that are not creditable against U.S. income taxes and foreign losses for which there is no benefit in the U.S. for income tax purposes.</w:t>
      </w:r>
    </w:p>
    <w:p>
      <w:pPr>
        <w:pStyle w:val="TextBody"/>
        <w:bidi w:val="0"/>
        <w:spacing w:before="200" w:after="283"/>
        <w:jc w:val="both"/>
        <w:rPr>
          <w:rFonts w:ascii="Times New Roman" w:hAnsi="Times New Roman"/>
          <w:sz w:val="20"/>
        </w:rPr>
      </w:pPr>
      <w:r>
        <w:rPr>
          <w:rFonts w:ascii="Times New Roman" w:hAnsi="Times New Roman"/>
          <w:b/>
          <w:i/>
          <w:color w:val="000000"/>
          <w:sz w:val="24"/>
        </w:rPr>
        <w:t>Earnings</w:t>
      </w:r>
      <w:r>
        <w:rPr>
          <w:rFonts w:ascii="Times New Roman" w:hAnsi="Times New Roman"/>
          <w:color w:val="000000"/>
          <w:sz w:val="20"/>
        </w:rPr>
        <w:t xml:space="preserve"> </w:t>
      </w:r>
      <w:r>
        <w:rPr>
          <w:rFonts w:ascii="Times New Roman" w:hAnsi="Times New Roman"/>
          <w:color w:val="000000"/>
          <w:sz w:val="24"/>
        </w:rPr>
        <w:t>(</w:t>
      </w:r>
      <w:r>
        <w:rPr>
          <w:rFonts w:ascii="Times New Roman" w:hAnsi="Times New Roman"/>
          <w:b/>
          <w:i/>
          <w:color w:val="000000"/>
          <w:sz w:val="24"/>
        </w:rPr>
        <w:t>Loss) Per Share.</w:t>
      </w:r>
      <w:r>
        <w:rPr>
          <w:rFonts w:ascii="Times New Roman" w:hAnsi="Times New Roman"/>
          <w:color w:val="000000"/>
          <w:sz w:val="20"/>
        </w:rPr>
        <w:t xml:space="preserve"> </w:t>
      </w:r>
      <w:r>
        <w:rPr>
          <w:rFonts w:ascii="Times New Roman" w:hAnsi="Times New Roman"/>
          <w:color w:val="000000"/>
          <w:sz w:val="24"/>
        </w:rPr>
        <w:t>Basic earnings/loss per share of Common Stock of SEACOR Marine is computed based on the weighted average number of shares of Common Stock and warrants to purchase Common Stock at an exercise price of $0.01</w:t>
      </w:r>
      <w:r>
        <w:rPr>
          <w:rFonts w:ascii="Times New Roman" w:hAnsi="Times New Roman"/>
          <w:color w:val="000000"/>
          <w:sz w:val="20"/>
        </w:rPr>
        <w:t xml:space="preserve"> </w:t>
      </w:r>
      <w:r>
        <w:rPr>
          <w:rFonts w:ascii="Times New Roman" w:hAnsi="Times New Roman"/>
          <w:color w:val="000000"/>
          <w:sz w:val="24"/>
        </w:rPr>
        <w:t>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New Convertible Notes unless anti-dilutive. As of June 30, 2025, the Company no longer had any warrants to purchase Common Stock outstanding as a result of the completion of the Securities Repurchase as previously described in the 2025 Annual Report.</w:t>
      </w:r>
    </w:p>
    <w:p>
      <w:pPr>
        <w:pStyle w:val="TextBody"/>
        <w:bidi w:val="0"/>
        <w:spacing w:before="200" w:after="283"/>
        <w:jc w:val="both"/>
        <w:rPr>
          <w:rFonts w:ascii="Times New Roman" w:hAnsi="Times New Roman"/>
          <w:sz w:val="20"/>
        </w:rPr>
      </w:pPr>
      <w:r>
        <w:rPr>
          <w:rFonts w:ascii="Times New Roman" w:hAnsi="Times New Roman"/>
          <w:color w:val="000000"/>
          <w:sz w:val="24"/>
        </w:rPr>
        <w:t>For the three months ended March 31, 2026 and 2025, diluted loss per share of Common Stock excluded 1,027,186</w:t>
      </w:r>
      <w:r>
        <w:rPr>
          <w:rFonts w:ascii="Times New Roman" w:hAnsi="Times New Roman"/>
          <w:color w:val="000000"/>
          <w:sz w:val="20"/>
        </w:rPr>
        <w:t xml:space="preserve"> </w:t>
      </w:r>
      <w:r>
        <w:rPr>
          <w:rFonts w:ascii="Times New Roman" w:hAnsi="Times New Roman"/>
          <w:color w:val="000000"/>
          <w:sz w:val="24"/>
        </w:rPr>
        <w:t>and 1,266,954</w:t>
      </w:r>
      <w:r>
        <w:rPr>
          <w:rFonts w:ascii="Times New Roman" w:hAnsi="Times New Roman"/>
          <w:color w:val="000000"/>
          <w:sz w:val="20"/>
        </w:rPr>
        <w:t xml:space="preserve"> </w:t>
      </w:r>
      <w:r>
        <w:rPr>
          <w:rFonts w:ascii="Times New Roman" w:hAnsi="Times New Roman"/>
          <w:color w:val="000000"/>
          <w:sz w:val="24"/>
        </w:rPr>
        <w:t>shares of restricted stock, respectively, and 1,006,365</w:t>
      </w:r>
      <w:r>
        <w:rPr>
          <w:rFonts w:ascii="Times New Roman" w:hAnsi="Times New Roman"/>
          <w:color w:val="000000"/>
          <w:sz w:val="20"/>
        </w:rPr>
        <w:t xml:space="preserve"> </w:t>
      </w:r>
      <w:r>
        <w:rPr>
          <w:rFonts w:ascii="Times New Roman" w:hAnsi="Times New Roman"/>
          <w:color w:val="000000"/>
          <w:sz w:val="24"/>
        </w:rPr>
        <w:t>and 1,008,865</w:t>
      </w:r>
      <w:r>
        <w:rPr>
          <w:rFonts w:ascii="Times New Roman" w:hAnsi="Times New Roman"/>
          <w:color w:val="000000"/>
          <w:sz w:val="20"/>
        </w:rPr>
        <w:t xml:space="preserve"> </w:t>
      </w:r>
      <w:r>
        <w:rPr>
          <w:rFonts w:ascii="Times New Roman" w:hAnsi="Times New Roman"/>
          <w:color w:val="000000"/>
          <w:sz w:val="24"/>
        </w:rPr>
        <w:t>shares of Common Stock, respectively, issuable upon exercise of outstanding stock options, as the effect of their inclusion in the computation would be anti-dilutive.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222222"/>
          <w:sz w:val="24"/>
        </w:rPr>
      </w:pPr>
      <w:r>
        <w:rPr>
          <w:rFonts w:ascii="Times New Roman" w:hAnsi="Times New Roman"/>
          <w:b/>
          <w:color w:val="222222"/>
          <w:sz w:val="24"/>
        </w:rPr>
        <w:t>2.</w:t>
      </w:r>
    </w:p>
    <w:p>
      <w:pPr>
        <w:pStyle w:val="TextBody"/>
        <w:bidi w:val="0"/>
        <w:spacing w:before="200" w:after="283"/>
        <w:jc w:val="both"/>
        <w:rPr>
          <w:rFonts w:ascii="Times New Roman" w:hAnsi="Times New Roman"/>
          <w:b/>
          <w:color w:val="222222"/>
          <w:sz w:val="24"/>
        </w:rPr>
      </w:pPr>
      <w:r>
        <w:rPr>
          <w:rFonts w:ascii="Times New Roman" w:hAnsi="Times New Roman"/>
          <w:b/>
          <w:color w:val="222222"/>
          <w:sz w:val="24"/>
        </w:rPr>
        <w:t>EQUIPMENT ACQUISITIONS AND DISPOSITIONS</w:t>
      </w:r>
    </w:p>
    <w:p>
      <w:pPr>
        <w:pStyle w:val="TextBody"/>
        <w:bidi w:val="0"/>
        <w:spacing w:before="200" w:after="283"/>
        <w:jc w:val="both"/>
        <w:rPr>
          <w:rFonts w:ascii="Times New Roman" w:hAnsi="Times New Roman"/>
          <w:sz w:val="20"/>
        </w:rPr>
      </w:pPr>
      <w:r>
        <w:rPr>
          <w:rFonts w:ascii="Times New Roman" w:hAnsi="Times New Roman"/>
          <w:color w:val="222222"/>
          <w:sz w:val="24"/>
        </w:rPr>
        <w:t xml:space="preserve">During the three months ended March 31, 2026, capital expenditures were </w:t>
      </w:r>
      <w:r>
        <w:rPr>
          <w:rFonts w:ascii="Times New Roman" w:hAnsi="Times New Roman"/>
          <w:color w:val="000000"/>
          <w:sz w:val="24"/>
        </w:rPr>
        <w:t>$6.1</w:t>
      </w:r>
      <w:r>
        <w:rPr>
          <w:rFonts w:ascii="Times New Roman" w:hAnsi="Times New Roman"/>
          <w:color w:val="000000"/>
          <w:sz w:val="20"/>
        </w:rPr>
        <w:t xml:space="preserve"> </w:t>
      </w:r>
      <w:r>
        <w:rPr>
          <w:rFonts w:ascii="Times New Roman" w:hAnsi="Times New Roman"/>
          <w:color w:val="000000"/>
          <w:sz w:val="24"/>
        </w:rPr>
        <w:t>million and there were no</w:t>
      </w:r>
      <w:r>
        <w:rPr>
          <w:rFonts w:ascii="Times New Roman" w:hAnsi="Times New Roman"/>
          <w:color w:val="000000"/>
          <w:sz w:val="20"/>
        </w:rPr>
        <w:t xml:space="preserve"> </w:t>
      </w:r>
      <w:r>
        <w:rPr>
          <w:rFonts w:ascii="Times New Roman" w:hAnsi="Times New Roman"/>
          <w:color w:val="000000"/>
          <w:sz w:val="24"/>
        </w:rPr>
        <w:t xml:space="preserve">equipment deliveries. </w:t>
      </w:r>
      <w:r>
        <w:rPr>
          <w:rFonts w:ascii="Times New Roman" w:hAnsi="Times New Roman"/>
          <w:color w:val="222222"/>
          <w:sz w:val="24"/>
        </w:rPr>
        <w:t>During the three months ended March 31, 2026, the Company sold one</w:t>
      </w:r>
      <w:r>
        <w:rPr>
          <w:rFonts w:ascii="Times New Roman" w:hAnsi="Times New Roman"/>
          <w:color w:val="222222"/>
          <w:sz w:val="20"/>
        </w:rPr>
        <w:t xml:space="preserve"> </w:t>
      </w:r>
      <w:r>
        <w:rPr>
          <w:rFonts w:ascii="Times New Roman" w:hAnsi="Times New Roman"/>
          <w:color w:val="000000"/>
          <w:sz w:val="24"/>
        </w:rPr>
        <w:t>PSV</w:t>
      </w:r>
      <w:r>
        <w:rPr>
          <w:rFonts w:ascii="Times New Roman" w:hAnsi="Times New Roman"/>
          <w:color w:val="222222"/>
          <w:sz w:val="24"/>
        </w:rPr>
        <w:t xml:space="preserve">, previously classified as held for sale, and other equipment </w:t>
      </w:r>
      <w:r>
        <w:rPr>
          <w:rFonts w:ascii="Times New Roman" w:hAnsi="Times New Roman"/>
          <w:color w:val="000000"/>
          <w:sz w:val="24"/>
        </w:rPr>
        <w:t>for net cash proceeds of $12.8</w:t>
      </w:r>
      <w:r>
        <w:rPr>
          <w:rFonts w:ascii="Times New Roman" w:hAnsi="Times New Roman"/>
          <w:color w:val="000000"/>
          <w:sz w:val="20"/>
        </w:rPr>
        <w:t xml:space="preserve"> </w:t>
      </w:r>
      <w:r>
        <w:rPr>
          <w:rFonts w:ascii="Times New Roman" w:hAnsi="Times New Roman"/>
          <w:color w:val="000000"/>
          <w:sz w:val="24"/>
        </w:rPr>
        <w:t>million, after transaction costs, for a gain of $7.4</w:t>
      </w:r>
      <w:r>
        <w:rPr>
          <w:rFonts w:ascii="Times New Roman" w:hAnsi="Times New Roman"/>
          <w:color w:val="000000"/>
          <w:sz w:val="20"/>
        </w:rPr>
        <w:t xml:space="preserve"> </w:t>
      </w:r>
      <w:r>
        <w:rPr>
          <w:rFonts w:ascii="Times New Roman" w:hAnsi="Times New Roman"/>
          <w:color w:val="000000"/>
          <w:sz w:val="24"/>
        </w:rPr>
        <w:t>million. During the three months ended March 31, 2025, the Company sold one</w:t>
      </w:r>
      <w:r>
        <w:rPr>
          <w:rFonts w:ascii="Times New Roman" w:hAnsi="Times New Roman"/>
          <w:color w:val="000000"/>
          <w:sz w:val="20"/>
        </w:rPr>
        <w:t xml:space="preserve"> </w:t>
      </w:r>
      <w:r>
        <w:rPr>
          <w:rFonts w:ascii="Times New Roman" w:hAnsi="Times New Roman"/>
          <w:color w:val="000000"/>
          <w:sz w:val="24"/>
        </w:rPr>
        <w:t xml:space="preserve">liftboat </w:t>
      </w:r>
      <w:r>
        <w:rPr>
          <w:rFonts w:ascii="Times New Roman" w:hAnsi="Times New Roman"/>
          <w:color w:val="222222"/>
          <w:sz w:val="24"/>
        </w:rPr>
        <w:t xml:space="preserve">and other equipment </w:t>
      </w:r>
      <w:r>
        <w:rPr>
          <w:rFonts w:ascii="Times New Roman" w:hAnsi="Times New Roman"/>
          <w:color w:val="000000"/>
          <w:sz w:val="24"/>
        </w:rPr>
        <w:t>for net cash proceeds of $8.5</w:t>
      </w:r>
      <w:r>
        <w:rPr>
          <w:rFonts w:ascii="Times New Roman" w:hAnsi="Times New Roman"/>
          <w:color w:val="000000"/>
          <w:sz w:val="20"/>
        </w:rPr>
        <w:t xml:space="preserve"> </w:t>
      </w:r>
      <w:r>
        <w:rPr>
          <w:rFonts w:ascii="Times New Roman" w:hAnsi="Times New Roman"/>
          <w:color w:val="000000"/>
          <w:sz w:val="24"/>
        </w:rPr>
        <w:t>million, after transaction costs, for a gain of $5.8</w:t>
      </w:r>
      <w:r>
        <w:rPr>
          <w:rFonts w:ascii="Times New Roman" w:hAnsi="Times New Roman"/>
          <w:color w:val="000000"/>
          <w:sz w:val="20"/>
        </w:rPr>
        <w:t xml:space="preserve"> </w:t>
      </w:r>
      <w:r>
        <w:rPr>
          <w:rFonts w:ascii="Times New Roman" w:hAnsi="Times New Roman"/>
          <w:color w:val="000000"/>
          <w:sz w:val="24"/>
        </w:rPr>
        <w:t>million.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200" w:after="283"/>
        <w:jc w:val="both"/>
        <w:rPr/>
      </w:pPr>
      <w:r>
        <w:rPr>
          <w:rFonts w:ascii="Times New Roman" w:hAnsi="Times New Roman"/>
          <w:b/>
          <w:color w:val="000000"/>
          <w:sz w:val="24"/>
        </w:rPr>
        <w:t xml:space="preserve">INVESTMENTS, AT EQUITY, AND ADVANCES TO 50% OR LESS OWNED </w:t>
      </w:r>
      <w:r>
        <w:rPr>
          <w:rFonts w:ascii="Times New Roman" w:hAnsi="Times New Roman"/>
          <w:b/>
          <w:color w:val="222222"/>
          <w:sz w:val="24"/>
        </w:rPr>
        <w:t>COMPANIES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Investments, at equity, and advances to 50% or less owned companies as of March 31, 2026 and December 31, 2025 were as follows (in thousands):</w:t>
      </w:r>
    </w:p>
    <w:tbl>
      <w:tblPr>
        <w:tblW w:w="6972" w:type="dxa"/>
        <w:jc w:val="left"/>
        <w:tblInd w:w="0" w:type="dxa"/>
        <w:tblLayout w:type="fixed"/>
        <w:tblCellMar>
          <w:top w:w="28" w:type="dxa"/>
          <w:left w:w="28" w:type="dxa"/>
          <w:bottom w:w="28" w:type="dxa"/>
          <w:right w:w="28" w:type="dxa"/>
        </w:tblCellMar>
      </w:tblPr>
      <w:tblGrid>
        <w:gridCol w:w="1921"/>
        <w:gridCol w:w="146"/>
        <w:gridCol w:w="304"/>
        <w:gridCol w:w="881"/>
        <w:gridCol w:w="256"/>
        <w:gridCol w:w="146"/>
        <w:gridCol w:w="357"/>
        <w:gridCol w:w="933"/>
        <w:gridCol w:w="146"/>
        <w:gridCol w:w="146"/>
        <w:gridCol w:w="427"/>
        <w:gridCol w:w="1118"/>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Ownership</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Seabulk Angola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SEACOR Marine Arabia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 - 50.0%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w:t>
      </w:r>
    </w:p>
    <w:p>
      <w:pPr>
        <w:pStyle w:val="TextBody"/>
        <w:bidi w:val="0"/>
        <w:jc w:val="both"/>
        <w:rPr>
          <w:rFonts w:ascii="Times New Roman" w:hAnsi="Times New Roman"/>
          <w:b/>
          <w:color w:val="000000"/>
          <w:sz w:val="24"/>
        </w:rPr>
      </w:pPr>
      <w:r>
        <w:rPr>
          <w:rFonts w:ascii="Times New Roman" w:hAnsi="Times New Roman"/>
          <w:b/>
          <w:color w:val="000000"/>
          <w:sz w:val="24"/>
        </w:rPr>
        <w:t>LONG-TERM DEBT</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Company’s long-term debt obligations as of March 31, 2026 and December 31, 2025 were as follows (in thousands):</w:t>
      </w:r>
    </w:p>
    <w:tbl>
      <w:tblPr>
        <w:tblW w:w="6535" w:type="dxa"/>
        <w:jc w:val="left"/>
        <w:tblInd w:w="0" w:type="dxa"/>
        <w:tblLayout w:type="fixed"/>
        <w:tblCellMar>
          <w:top w:w="28" w:type="dxa"/>
          <w:left w:w="28" w:type="dxa"/>
          <w:bottom w:w="28" w:type="dxa"/>
          <w:right w:w="28" w:type="dxa"/>
        </w:tblCellMar>
      </w:tblPr>
      <w:tblGrid>
        <w:gridCol w:w="3031"/>
        <w:gridCol w:w="146"/>
        <w:gridCol w:w="285"/>
        <w:gridCol w:w="1005"/>
        <w:gridCol w:w="166"/>
        <w:gridCol w:w="146"/>
        <w:gridCol w:w="341"/>
        <w:gridCol w:w="1204"/>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SMFH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338,900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297,072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As of March 31, 2026, the Company was in compliance with all debt covenants and lender requirements.</w:t>
      </w:r>
    </w:p>
    <w:p>
      <w:pPr>
        <w:pStyle w:val="TextBody"/>
        <w:bidi w:val="0"/>
        <w:spacing w:before="200" w:after="283"/>
        <w:jc w:val="both"/>
        <w:rPr>
          <w:rFonts w:ascii="Times New Roman" w:hAnsi="Times New Roman"/>
          <w:sz w:val="20"/>
        </w:rPr>
      </w:pPr>
      <w:r>
        <w:rPr>
          <w:rFonts w:ascii="Times New Roman" w:hAnsi="Times New Roman"/>
          <w:b/>
          <w:i/>
          <w:color w:val="000000"/>
          <w:sz w:val="24"/>
        </w:rPr>
        <w:t>Letters of Credit</w:t>
      </w:r>
      <w:r>
        <w:rPr>
          <w:rFonts w:ascii="Times New Roman" w:hAnsi="Times New Roman"/>
          <w:color w:val="000000"/>
          <w:sz w:val="24"/>
        </w:rPr>
        <w:t>. As of March 31, 2026 and December 31, 2025, the Company had outstanding letters of credit of $0.4</w:t>
      </w:r>
      <w:r>
        <w:rPr>
          <w:rFonts w:ascii="Times New Roman" w:hAnsi="Times New Roman"/>
          <w:color w:val="000000"/>
          <w:sz w:val="20"/>
        </w:rPr>
        <w:t xml:space="preserve"> </w:t>
      </w:r>
      <w:r>
        <w:rPr>
          <w:rFonts w:ascii="Times New Roman" w:hAnsi="Times New Roman"/>
          <w:color w:val="000000"/>
          <w:sz w:val="24"/>
        </w:rPr>
        <w:t>million securing lease obligations, labor and performance guaranties.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LEASES</w:t>
      </w:r>
    </w:p>
    <w:p>
      <w:pPr>
        <w:pStyle w:val="TextBody"/>
        <w:bidi w:val="0"/>
        <w:spacing w:before="200" w:after="283"/>
        <w:jc w:val="both"/>
        <w:rPr>
          <w:rFonts w:ascii="Times New Roman" w:hAnsi="Times New Roman"/>
          <w:sz w:val="20"/>
        </w:rPr>
      </w:pPr>
      <w:r>
        <w:rPr>
          <w:rFonts w:ascii="Times New Roman" w:hAnsi="Times New Roman"/>
          <w:color w:val="000000"/>
          <w:sz w:val="24"/>
        </w:rPr>
        <w:t>As of March 31, 2026, the Company leased-in certain facilities and other equipment but did not lease-in any vessels. The leases typically contain purchase and renewal options or rights of first refusal with respect to the sale or lease of the equipment. The lease terms of certain facilities and other equipment had a duration ranging from six</w:t>
      </w:r>
      <w:r>
        <w:rPr>
          <w:rFonts w:ascii="Times New Roman" w:hAnsi="Times New Roman"/>
          <w:color w:val="000000"/>
          <w:sz w:val="20"/>
        </w:rPr>
        <w:t xml:space="preserve"> </w:t>
      </w:r>
      <w:r>
        <w:rPr>
          <w:rFonts w:ascii="Times New Roman" w:hAnsi="Times New Roman"/>
          <w:color w:val="000000"/>
          <w:sz w:val="24"/>
        </w:rPr>
        <w:t>to 249</w:t>
      </w:r>
      <w:r>
        <w:rPr>
          <w:rFonts w:ascii="Times New Roman" w:hAnsi="Times New Roman"/>
          <w:color w:val="000000"/>
          <w:sz w:val="20"/>
        </w:rPr>
        <w:t xml:space="preserve"> </w:t>
      </w:r>
      <w:r>
        <w:rPr>
          <w:rFonts w:ascii="Times New Roman" w:hAnsi="Times New Roman"/>
          <w:color w:val="000000"/>
          <w:sz w:val="24"/>
        </w:rPr>
        <w:t>months.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As of March 31, 2026, future minimum payments for leases for the remainder of 2026 and the years ended December 31, noted below, were as follows (in thousands):</w:t>
      </w:r>
    </w:p>
    <w:tbl>
      <w:tblPr>
        <w:tblW w:w="7075" w:type="dxa"/>
        <w:jc w:val="left"/>
        <w:tblInd w:w="0" w:type="dxa"/>
        <w:tblLayout w:type="fixed"/>
        <w:tblCellMar>
          <w:top w:w="28" w:type="dxa"/>
          <w:left w:w="28" w:type="dxa"/>
          <w:bottom w:w="28" w:type="dxa"/>
          <w:right w:w="28" w:type="dxa"/>
        </w:tblCellMar>
      </w:tblPr>
      <w:tblGrid>
        <w:gridCol w:w="3706"/>
        <w:gridCol w:w="146"/>
        <w:gridCol w:w="398"/>
        <w:gridCol w:w="1042"/>
        <w:gridCol w:w="166"/>
        <w:gridCol w:w="146"/>
        <w:gridCol w:w="455"/>
        <w:gridCol w:w="805"/>
        <w:gridCol w:w="21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Finance Leases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Years subsequent to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component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three months ended March 31, 2026 and 2025 the components of lease expense were as follows (in thousands):</w:t>
      </w:r>
    </w:p>
    <w:tbl>
      <w:tblPr>
        <w:tblW w:w="6166" w:type="dxa"/>
        <w:jc w:val="left"/>
        <w:tblInd w:w="0" w:type="dxa"/>
        <w:tblLayout w:type="fixed"/>
        <w:tblCellMar>
          <w:top w:w="28" w:type="dxa"/>
          <w:left w:w="28" w:type="dxa"/>
          <w:bottom w:w="28" w:type="dxa"/>
          <w:right w:w="28" w:type="dxa"/>
        </w:tblCellMar>
      </w:tblPr>
      <w:tblGrid>
        <w:gridCol w:w="3051"/>
        <w:gridCol w:w="146"/>
        <w:gridCol w:w="352"/>
        <w:gridCol w:w="675"/>
        <w:gridCol w:w="262"/>
        <w:gridCol w:w="262"/>
        <w:gridCol w:w="352"/>
        <w:gridCol w:w="675"/>
        <w:gridCol w:w="391"/>
      </w:tblGrid>
      <w:tr>
        <w:trPr/>
        <w:tc>
          <w:tcPr>
            <w:tcW w:w="3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Amortization of finance lease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Interest on finance lease liabilities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sz w:val="24"/>
        </w:rPr>
      </w:pPr>
      <w:r>
        <w:rPr>
          <w:rFonts w:ascii="Times New Roman" w:hAnsi="Times New Roman"/>
          <w:color w:val="000000"/>
          <w:sz w:val="16"/>
        </w:rPr>
        <w:t>Included in amortization costs in the consolidated statements of income (loss).</w:t>
      </w:r>
      <w:r>
        <w:rPr>
          <w:rFonts w:ascii="Times New Roman" w:hAnsi="Times New Roman"/>
          <w:color w:val="000000"/>
          <w:sz w:val="24"/>
        </w:rPr>
        <w:t xml:space="preserve">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sz w:val="24"/>
        </w:rPr>
      </w:pPr>
      <w:r>
        <w:rPr>
          <w:rFonts w:ascii="Times New Roman" w:hAnsi="Times New Roman"/>
          <w:color w:val="000000"/>
          <w:sz w:val="16"/>
        </w:rPr>
        <w:t>Included in interest expense in the consolidated statements of income (loss)</w:t>
      </w:r>
      <w:r>
        <w:rPr>
          <w:rFonts w:ascii="Times New Roman" w:hAnsi="Times New Roman"/>
          <w:color w:val="000000"/>
          <w:sz w:val="20"/>
        </w:rPr>
        <w:t>.</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three months ended March 31, 2026 supplemental cash flow information related to leases was as follows (in thousands):</w:t>
      </w:r>
    </w:p>
    <w:tbl>
      <w:tblPr>
        <w:tblW w:w="5929" w:type="dxa"/>
        <w:jc w:val="left"/>
        <w:tblInd w:w="0" w:type="dxa"/>
        <w:tblLayout w:type="fixed"/>
        <w:tblCellMar>
          <w:top w:w="28" w:type="dxa"/>
          <w:left w:w="28" w:type="dxa"/>
          <w:bottom w:w="28" w:type="dxa"/>
          <w:right w:w="28" w:type="dxa"/>
        </w:tblCellMar>
      </w:tblPr>
      <w:tblGrid>
        <w:gridCol w:w="4156"/>
        <w:gridCol w:w="146"/>
        <w:gridCol w:w="196"/>
        <w:gridCol w:w="376"/>
        <w:gridCol w:w="146"/>
        <w:gridCol w:w="146"/>
        <w:gridCol w:w="196"/>
        <w:gridCol w:w="37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cash outflows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Financing cash outflows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 obtained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three months ended March 31, 2026 other information related to leases was as follows:</w:t>
      </w:r>
    </w:p>
    <w:tbl>
      <w:tblPr>
        <w:tblW w:w="6784" w:type="dxa"/>
        <w:jc w:val="left"/>
        <w:tblInd w:w="0" w:type="dxa"/>
        <w:tblLayout w:type="fixed"/>
        <w:tblCellMar>
          <w:top w:w="28" w:type="dxa"/>
          <w:left w:w="28" w:type="dxa"/>
          <w:bottom w:w="28" w:type="dxa"/>
          <w:right w:w="28" w:type="dxa"/>
        </w:tblCellMar>
      </w:tblPr>
      <w:tblGrid>
        <w:gridCol w:w="4801"/>
        <w:gridCol w:w="146"/>
        <w:gridCol w:w="146"/>
        <w:gridCol w:w="421"/>
        <w:gridCol w:w="256"/>
        <w:gridCol w:w="146"/>
        <w:gridCol w:w="146"/>
        <w:gridCol w:w="421"/>
        <w:gridCol w:w="30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INCOME TAXES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following table reconciles the difference between the statutory federal income tax rate for the Company and the effective income tax rate for the three months ended March 31, 2026:</w:t>
      </w:r>
    </w:p>
    <w:tbl>
      <w:tblPr>
        <w:tblW w:w="5920" w:type="dxa"/>
        <w:jc w:val="left"/>
        <w:tblInd w:w="0" w:type="dxa"/>
        <w:tblLayout w:type="fixed"/>
        <w:tblCellMar>
          <w:top w:w="28" w:type="dxa"/>
          <w:left w:w="28" w:type="dxa"/>
          <w:bottom w:w="28" w:type="dxa"/>
          <w:right w:w="28" w:type="dxa"/>
        </w:tblCellMar>
      </w:tblPr>
      <w:tblGrid>
        <w:gridCol w:w="4786"/>
        <w:gridCol w:w="146"/>
        <w:gridCol w:w="146"/>
        <w:gridCol w:w="481"/>
        <w:gridCol w:w="36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of foreign subsidiaries not includable in U.S. return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162(m) - executive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Subpart F Income and GILTI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 award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7.</w:t>
      </w:r>
    </w:p>
    <w:p>
      <w:pPr>
        <w:pStyle w:val="TextBody"/>
        <w:bidi w:val="0"/>
        <w:spacing w:before="100" w:after="283"/>
        <w:jc w:val="both"/>
        <w:rPr>
          <w:rFonts w:ascii="Times New Roman" w:hAnsi="Times New Roman"/>
          <w:b/>
          <w:color w:val="000000"/>
          <w:sz w:val="24"/>
        </w:rPr>
      </w:pPr>
      <w:r>
        <w:rPr>
          <w:rFonts w:ascii="Times New Roman" w:hAnsi="Times New Roman"/>
          <w:b/>
          <w:color w:val="000000"/>
          <w:sz w:val="24"/>
        </w:rPr>
        <w:t>DERIVATIVE INSTRUMENTS AND HEDGING STRATEGIES</w:t>
      </w:r>
    </w:p>
    <w:p>
      <w:pPr>
        <w:pStyle w:val="TextBody"/>
        <w:bidi w:val="0"/>
        <w:spacing w:before="200" w:after="200"/>
        <w:jc w:val="both"/>
        <w:rPr>
          <w:rFonts w:ascii="Times New Roman" w:hAnsi="Times New Roman"/>
          <w:sz w:val="20"/>
        </w:rPr>
      </w:pPr>
      <w:r>
        <w:rPr>
          <w:rFonts w:ascii="Times New Roman" w:hAnsi="Times New Roman"/>
          <w:color w:val="000000"/>
          <w:sz w:val="24"/>
        </w:rPr>
        <w:t>Derivative instruments are classified as either assets, which are included in other receivables in the accompanying consolidated balance sheets, or liabilities based on their individual fair values. As of March 31, 2026 and December 31, 2025, the Company had no</w:t>
      </w:r>
      <w:r>
        <w:rPr>
          <w:rFonts w:ascii="Times New Roman" w:hAnsi="Times New Roman"/>
          <w:color w:val="000000"/>
          <w:sz w:val="20"/>
        </w:rPr>
        <w:t xml:space="preserve"> </w:t>
      </w:r>
      <w:r>
        <w:rPr>
          <w:rFonts w:ascii="Times New Roman" w:hAnsi="Times New Roman"/>
          <w:color w:val="000000"/>
          <w:sz w:val="24"/>
        </w:rPr>
        <w:t>outstanding derivative instruments.</w:t>
      </w:r>
    </w:p>
    <w:p>
      <w:pPr>
        <w:pStyle w:val="TextBody"/>
        <w:bidi w:val="0"/>
        <w:spacing w:before="0" w:after="200"/>
        <w:jc w:val="both"/>
        <w:rPr>
          <w:rFonts w:ascii="Times New Roman" w:hAnsi="Times New Roman"/>
          <w:sz w:val="20"/>
        </w:rPr>
      </w:pPr>
      <w:r>
        <w:rPr>
          <w:rFonts w:ascii="Times New Roman" w:hAnsi="Times New Roman"/>
          <w:b/>
          <w:i/>
          <w:color w:val="000000"/>
          <w:sz w:val="24"/>
        </w:rPr>
        <w:t>Economic Hedges.</w:t>
      </w:r>
      <w:r>
        <w:rPr>
          <w:rFonts w:ascii="Times New Roman" w:hAnsi="Times New Roman"/>
          <w:color w:val="000000"/>
          <w:sz w:val="20"/>
        </w:rPr>
        <w:t xml:space="preserve"> </w:t>
      </w:r>
      <w:r>
        <w:rPr>
          <w:rFonts w:ascii="Times New Roman" w:hAnsi="Times New Roman"/>
          <w:color w:val="000000"/>
          <w:sz w:val="24"/>
        </w:rPr>
        <w:t>The Company may enter into and settle forward currency exchange, option and future contracts with respect 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12 to 18 months. During the fourth quarter of 2023, the Company entered into a forward currency exchange contract related to the purchase of four hybrid battery power systems, the purchase price for which is denominated in Norwegian Kroner. The Company recognized gains of $0.1</w:t>
      </w:r>
      <w:r>
        <w:rPr>
          <w:rFonts w:ascii="Times New Roman" w:hAnsi="Times New Roman"/>
          <w:color w:val="000000"/>
          <w:sz w:val="20"/>
        </w:rPr>
        <w:t xml:space="preserve"> </w:t>
      </w:r>
      <w:r>
        <w:rPr>
          <w:rFonts w:ascii="Times New Roman" w:hAnsi="Times New Roman"/>
          <w:color w:val="000000"/>
          <w:sz w:val="24"/>
        </w:rPr>
        <w:t>million during the three months ended March 31, 2025 on this contract, which were recognized in earnings. As of March 31, 2026 and December 31, 2025, the Company had no outstanding forward currency exchange contract.</w:t>
      </w:r>
    </w:p>
    <w:p>
      <w:pPr>
        <w:pStyle w:val="TextBody"/>
        <w:bidi w:val="0"/>
        <w:jc w:val="both"/>
        <w:rPr>
          <w:rFonts w:ascii="Times New Roman" w:hAnsi="Times New Roman"/>
          <w:sz w:val="20"/>
        </w:rPr>
      </w:pPr>
      <w:r>
        <w:rPr>
          <w:rFonts w:ascii="Times New Roman" w:hAnsi="Times New Roman"/>
          <w:b/>
          <w:i/>
          <w:color w:val="000000"/>
          <w:sz w:val="24"/>
        </w:rPr>
        <w:t>Cash Flow Hedges.</w:t>
      </w:r>
      <w:r>
        <w:rPr>
          <w:rFonts w:ascii="Times New Roman" w:hAnsi="Times New Roman"/>
          <w:color w:val="000000"/>
          <w:sz w:val="20"/>
        </w:rPr>
        <w:t xml:space="preserve"> </w:t>
      </w:r>
      <w:r>
        <w:rPr>
          <w:rFonts w:ascii="Times New Roman" w:hAnsi="Times New Roman"/>
          <w:color w:val="000000"/>
          <w:sz w:val="24"/>
        </w:rPr>
        <w:t>The Company may from time to time enter into interest rate swap agreements designated as cash flow hedges. By entering into interest rate swap agreements, the Company can convert the variable interest component of certain of their outstanding borrowings to a fixed interest rate. As of March 31, 2026 and December 31, 2025, there were no interest rate swaps held by the Company.</w:t>
      </w:r>
    </w:p>
    <w:p>
      <w:pPr>
        <w:pStyle w:val="TextBody"/>
        <w:bidi w:val="0"/>
        <w:spacing w:before="200" w:after="200"/>
        <w:jc w:val="both"/>
        <w:rPr>
          <w:rFonts w:ascii="Times New Roman" w:hAnsi="Times New Roman"/>
          <w:sz w:val="20"/>
        </w:rPr>
      </w:pPr>
      <w:r>
        <w:rPr>
          <w:rFonts w:ascii="Times New Roman" w:hAnsi="Times New Roman"/>
          <w:b/>
          <w:i/>
          <w:color w:val="000000"/>
          <w:sz w:val="24"/>
        </w:rPr>
        <w:t>Other Derivative Instruments.</w:t>
      </w:r>
      <w:r>
        <w:rPr>
          <w:rFonts w:ascii="Times New Roman" w:hAnsi="Times New Roman"/>
          <w:color w:val="000000"/>
          <w:sz w:val="20"/>
        </w:rPr>
        <w:t xml:space="preserve"> </w:t>
      </w:r>
      <w:r>
        <w:rPr>
          <w:rFonts w:ascii="Times New Roman" w:hAnsi="Times New Roman"/>
          <w:color w:val="000000"/>
          <w:sz w:val="24"/>
        </w:rPr>
        <w:t>The Company had no derivative instruments not designated as hedging instruments for the three months ended March 31, 2026 and recognized gains on derivative instruments not designated as hedging instruments for the three months ended March 31, 2025 as follows (in thousands):</w:t>
      </w:r>
    </w:p>
    <w:tbl>
      <w:tblPr>
        <w:tblW w:w="7188" w:type="dxa"/>
        <w:jc w:val="left"/>
        <w:tblInd w:w="0" w:type="dxa"/>
        <w:tblLayout w:type="fixed"/>
        <w:tblCellMar>
          <w:top w:w="28" w:type="dxa"/>
          <w:left w:w="28" w:type="dxa"/>
          <w:bottom w:w="28" w:type="dxa"/>
          <w:right w:w="28" w:type="dxa"/>
        </w:tblCellMar>
      </w:tblPr>
      <w:tblGrid>
        <w:gridCol w:w="4126"/>
        <w:gridCol w:w="146"/>
        <w:gridCol w:w="359"/>
        <w:gridCol w:w="635"/>
        <w:gridCol w:w="268"/>
        <w:gridCol w:w="268"/>
        <w:gridCol w:w="359"/>
        <w:gridCol w:w="690"/>
        <w:gridCol w:w="146"/>
        <w:gridCol w:w="1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Forward currency exchange, option, and future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forward currency exchange contract relates to the purchase of four hybrid battery power systems discussed in “—Economic Hedges” above. As of March 31, 2026, the Company had no outstanding foreign currency exchange contract.</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FAIR VALUE MEASUREMENTS</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Times New Roman" w:hAnsi="Times New Roman"/>
          <w:i/>
          <w:color w:val="000000"/>
          <w:sz w:val="24"/>
        </w:rPr>
        <w:t xml:space="preserve">Level </w:t>
      </w:r>
      <w:r>
        <w:rPr>
          <w:rFonts w:ascii="Times New Roman" w:hAnsi="Times New Roman"/>
          <w:color w:val="000000"/>
          <w:sz w:val="24"/>
        </w:rPr>
        <w:t>1 inputs are quoted prices in active markets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for identical assets or liabilities. </w:t>
      </w:r>
      <w:r>
        <w:rPr>
          <w:rFonts w:ascii="Times New Roman" w:hAnsi="Times New Roman"/>
          <w:i/>
          <w:color w:val="000000"/>
          <w:sz w:val="24"/>
        </w:rPr>
        <w:t xml:space="preserve">Level </w:t>
      </w:r>
      <w:r>
        <w:rPr>
          <w:rFonts w:ascii="Times New Roman" w:hAnsi="Times New Roman"/>
          <w:color w:val="000000"/>
          <w:sz w:val="24"/>
        </w:rPr>
        <w:t xml:space="preserve">2 inputs are observable inputs other than quoted prices included in </w:t>
      </w:r>
      <w:r>
        <w:rPr>
          <w:rFonts w:ascii="Times New Roman" w:hAnsi="Times New Roman"/>
          <w:i/>
          <w:color w:val="000000"/>
          <w:sz w:val="24"/>
        </w:rPr>
        <w:t xml:space="preserve">Level </w:t>
      </w:r>
      <w:r>
        <w:rPr>
          <w:rFonts w:ascii="Times New Roman" w:hAnsi="Times New Roman"/>
          <w:color w:val="000000"/>
          <w:sz w:val="24"/>
        </w:rPr>
        <w:t xml:space="preserve">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Times New Roman" w:hAnsi="Times New Roman"/>
          <w:i/>
          <w:color w:val="000000"/>
          <w:sz w:val="24"/>
        </w:rPr>
        <w:t xml:space="preserve">Level </w:t>
      </w:r>
      <w:r>
        <w:rPr>
          <w:rFonts w:ascii="Times New Roman" w:hAnsi="Times New Roman"/>
          <w:color w:val="000000"/>
          <w:sz w:val="24"/>
        </w:rPr>
        <w:t>3 inputs are unobservable inputs that are supported by little or no market activity and are significant to the fair value of the assets or liabilities. The Company had no</w:t>
      </w:r>
      <w:r>
        <w:rPr>
          <w:rFonts w:ascii="Times New Roman" w:hAnsi="Times New Roman"/>
          <w:color w:val="000000"/>
          <w:sz w:val="20"/>
        </w:rPr>
        <w:t xml:space="preserve"> </w:t>
      </w:r>
      <w:r>
        <w:rPr>
          <w:rFonts w:ascii="Times New Roman" w:hAnsi="Times New Roman"/>
          <w:color w:val="000000"/>
          <w:sz w:val="24"/>
        </w:rPr>
        <w:t>financial assets and liabilities as of March 31, 2026 and December 31, 2025 that are measured at fair value on a recurring basis.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estimated fair values of the Company’s other financial assets and liabilities as of March 31, 2026 and December 31, 2025 were as follows (in thousands):</w:t>
      </w:r>
    </w:p>
    <w:tbl>
      <w:tblPr>
        <w:tblW w:w="7238" w:type="dxa"/>
        <w:jc w:val="left"/>
        <w:tblInd w:w="0" w:type="dxa"/>
        <w:tblLayout w:type="fixed"/>
        <w:tblCellMar>
          <w:top w:w="28" w:type="dxa"/>
          <w:left w:w="28" w:type="dxa"/>
          <w:bottom w:w="28" w:type="dxa"/>
          <w:right w:w="28" w:type="dxa"/>
        </w:tblCellMar>
      </w:tblPr>
      <w:tblGrid>
        <w:gridCol w:w="3061"/>
        <w:gridCol w:w="146"/>
        <w:gridCol w:w="146"/>
        <w:gridCol w:w="691"/>
        <w:gridCol w:w="146"/>
        <w:gridCol w:w="146"/>
        <w:gridCol w:w="190"/>
        <w:gridCol w:w="455"/>
        <w:gridCol w:w="146"/>
        <w:gridCol w:w="146"/>
        <w:gridCol w:w="146"/>
        <w:gridCol w:w="691"/>
        <w:gridCol w:w="146"/>
        <w:gridCol w:w="146"/>
        <w:gridCol w:w="190"/>
        <w:gridCol w:w="455"/>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including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including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carrying value of cash, cash equivalents, restricted cash and trade receivables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and, accordingly, the estimates presented herein are not necessarily indicative of the amounts that the Company could realize in a current market exchange.</w:t>
      </w:r>
    </w:p>
    <w:p>
      <w:pPr>
        <w:pStyle w:val="TextBody"/>
        <w:bidi w:val="0"/>
        <w:spacing w:before="200" w:after="283"/>
        <w:jc w:val="both"/>
        <w:rPr>
          <w:rFonts w:ascii="Times New Roman" w:hAnsi="Times New Roman"/>
          <w:sz w:val="20"/>
        </w:rPr>
      </w:pPr>
      <w:r>
        <w:rPr>
          <w:rFonts w:ascii="Times New Roman" w:hAnsi="Times New Roman"/>
          <w:b/>
          <w:i/>
          <w:color w:val="000000"/>
          <w:sz w:val="24"/>
        </w:rPr>
        <w:t>Property and equipment</w:t>
      </w:r>
      <w:r>
        <w:rPr>
          <w:rFonts w:ascii="Times New Roman" w:hAnsi="Times New Roman"/>
          <w:color w:val="000000"/>
          <w:sz w:val="24"/>
        </w:rPr>
        <w:t>. As of March 31, 2026 and December 31, 2025, the Company recognized no</w:t>
      </w:r>
      <w:r>
        <w:rPr>
          <w:rFonts w:ascii="Times New Roman" w:hAnsi="Times New Roman"/>
          <w:color w:val="000000"/>
          <w:sz w:val="20"/>
        </w:rPr>
        <w:t xml:space="preserve"> </w:t>
      </w:r>
      <w:r>
        <w:rPr>
          <w:rFonts w:ascii="Times New Roman" w:hAnsi="Times New Roman"/>
          <w:color w:val="000000"/>
          <w:sz w:val="24"/>
        </w:rPr>
        <w:t>impairment charges on any owned vessels.</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COMMITMENTS AND CONTINGENCIES</w:t>
      </w:r>
    </w:p>
    <w:p>
      <w:pPr>
        <w:pStyle w:val="TextBody"/>
        <w:bidi w:val="0"/>
        <w:spacing w:before="200" w:after="283"/>
        <w:jc w:val="both"/>
        <w:rPr>
          <w:rFonts w:ascii="Times New Roman" w:hAnsi="Times New Roman"/>
          <w:sz w:val="20"/>
        </w:rPr>
      </w:pPr>
      <w:r>
        <w:rPr>
          <w:rFonts w:ascii="Times New Roman" w:hAnsi="Times New Roman"/>
          <w:color w:val="000000"/>
          <w:sz w:val="24"/>
        </w:rPr>
        <w:t>As of March 31, 2026, the Company had unfunded capital commitments of $44.3</w:t>
      </w:r>
      <w:r>
        <w:rPr>
          <w:rFonts w:ascii="Times New Roman" w:hAnsi="Times New Roman"/>
          <w:color w:val="000000"/>
          <w:sz w:val="20"/>
        </w:rPr>
        <w:t xml:space="preserve"> </w:t>
      </w:r>
      <w:r>
        <w:rPr>
          <w:rFonts w:ascii="Times New Roman" w:hAnsi="Times New Roman"/>
          <w:color w:val="000000"/>
          <w:sz w:val="24"/>
        </w:rPr>
        <w:t>million consisting of $42.3</w:t>
      </w:r>
      <w:r>
        <w:rPr>
          <w:rFonts w:ascii="Times New Roman" w:hAnsi="Times New Roman"/>
          <w:color w:val="000000"/>
          <w:sz w:val="20"/>
        </w:rPr>
        <w:t xml:space="preserve"> </w:t>
      </w:r>
      <w:r>
        <w:rPr>
          <w:rFonts w:ascii="Times New Roman" w:hAnsi="Times New Roman"/>
          <w:color w:val="000000"/>
          <w:sz w:val="24"/>
        </w:rPr>
        <w:t>million in respect of the construction of two</w:t>
      </w:r>
      <w:r>
        <w:rPr>
          <w:rFonts w:ascii="Times New Roman" w:hAnsi="Times New Roman"/>
          <w:color w:val="000000"/>
          <w:sz w:val="20"/>
        </w:rPr>
        <w:t xml:space="preserve"> </w:t>
      </w:r>
      <w:r>
        <w:rPr>
          <w:rFonts w:ascii="Times New Roman" w:hAnsi="Times New Roman"/>
          <w:color w:val="000000"/>
          <w:sz w:val="24"/>
        </w:rPr>
        <w:t>PSVs, $1.7</w:t>
      </w:r>
      <w:r>
        <w:rPr>
          <w:rFonts w:ascii="Times New Roman" w:hAnsi="Times New Roman"/>
          <w:color w:val="000000"/>
          <w:sz w:val="20"/>
        </w:rPr>
        <w:t xml:space="preserve"> </w:t>
      </w:r>
      <w:r>
        <w:rPr>
          <w:rFonts w:ascii="Times New Roman" w:hAnsi="Times New Roman"/>
          <w:color w:val="000000"/>
          <w:sz w:val="24"/>
        </w:rPr>
        <w:t>million in respect of two</w:t>
      </w:r>
      <w:r>
        <w:rPr>
          <w:rFonts w:ascii="Times New Roman" w:hAnsi="Times New Roman"/>
          <w:color w:val="000000"/>
          <w:sz w:val="20"/>
        </w:rPr>
        <w:t xml:space="preserve"> </w:t>
      </w:r>
      <w:r>
        <w:rPr>
          <w:rFonts w:ascii="Times New Roman" w:hAnsi="Times New Roman"/>
          <w:color w:val="000000"/>
          <w:sz w:val="24"/>
        </w:rPr>
        <w:t>hybrid battery power systems and $0.3</w:t>
      </w:r>
      <w:r>
        <w:rPr>
          <w:rFonts w:ascii="Times New Roman" w:hAnsi="Times New Roman"/>
          <w:color w:val="000000"/>
          <w:sz w:val="20"/>
        </w:rPr>
        <w:t xml:space="preserve"> </w:t>
      </w:r>
      <w:r>
        <w:rPr>
          <w:rFonts w:ascii="Times New Roman" w:hAnsi="Times New Roman"/>
          <w:color w:val="000000"/>
          <w:sz w:val="24"/>
        </w:rPr>
        <w:t>million for miscellaneous vessel equipment. Of the unfunded capital commitments, $26.1</w:t>
      </w:r>
      <w:r>
        <w:rPr>
          <w:rFonts w:ascii="Times New Roman" w:hAnsi="Times New Roman"/>
          <w:color w:val="000000"/>
          <w:sz w:val="20"/>
        </w:rPr>
        <w:t xml:space="preserve"> </w:t>
      </w:r>
      <w:r>
        <w:rPr>
          <w:rFonts w:ascii="Times New Roman" w:hAnsi="Times New Roman"/>
          <w:color w:val="000000"/>
          <w:sz w:val="24"/>
        </w:rPr>
        <w:t>million is payable during the remainder of 2026 and the remainder is payable during 2027. As of March 31, 2026, $30.9</w:t>
      </w:r>
      <w:r>
        <w:rPr>
          <w:rFonts w:ascii="Times New Roman" w:hAnsi="Times New Roman"/>
          <w:color w:val="000000"/>
          <w:sz w:val="20"/>
        </w:rPr>
        <w:t xml:space="preserve"> </w:t>
      </w:r>
      <w:r>
        <w:rPr>
          <w:rFonts w:ascii="Times New Roman" w:hAnsi="Times New Roman"/>
          <w:color w:val="000000"/>
          <w:sz w:val="24"/>
        </w:rPr>
        <w:t>million remained in a</w:t>
      </w:r>
      <w:r>
        <w:rPr>
          <w:rFonts w:ascii="Times New Roman" w:hAnsi="Times New Roman"/>
          <w:color w:val="000000"/>
          <w:sz w:val="20"/>
        </w:rPr>
        <w:t xml:space="preserve"> </w:t>
      </w:r>
      <w:r>
        <w:rPr>
          <w:rFonts w:ascii="Times New Roman" w:hAnsi="Times New Roman"/>
          <w:color w:val="000000"/>
          <w:sz w:val="24"/>
        </w:rPr>
        <w:t>restricted account designated to make payments on the construction of the two</w:t>
      </w:r>
      <w:r>
        <w:rPr>
          <w:rFonts w:ascii="Times New Roman" w:hAnsi="Times New Roman"/>
          <w:color w:val="000000"/>
          <w:sz w:val="20"/>
        </w:rPr>
        <w:t xml:space="preserve"> </w:t>
      </w:r>
      <w:r>
        <w:rPr>
          <w:rFonts w:ascii="Times New Roman" w:hAnsi="Times New Roman"/>
          <w:color w:val="000000"/>
          <w:sz w:val="24"/>
        </w:rPr>
        <w:t>PSVs, of which $11.3</w:t>
      </w:r>
      <w:r>
        <w:rPr>
          <w:rFonts w:ascii="Times New Roman" w:hAnsi="Times New Roman"/>
          <w:color w:val="000000"/>
          <w:sz w:val="20"/>
        </w:rPr>
        <w:t xml:space="preserve"> </w:t>
      </w:r>
      <w:r>
        <w:rPr>
          <w:rFonts w:ascii="Times New Roman" w:hAnsi="Times New Roman"/>
          <w:color w:val="000000"/>
          <w:sz w:val="24"/>
        </w:rPr>
        <w:t>million was deposited during the first quarter of 2026 from the sale of one</w:t>
      </w:r>
      <w:r>
        <w:rPr>
          <w:rFonts w:ascii="Times New Roman" w:hAnsi="Times New Roman"/>
          <w:color w:val="000000"/>
          <w:sz w:val="20"/>
        </w:rPr>
        <w:t xml:space="preserve"> </w:t>
      </w:r>
      <w:r>
        <w:rPr>
          <w:rFonts w:ascii="Times New Roman" w:hAnsi="Times New Roman"/>
          <w:color w:val="000000"/>
          <w:sz w:val="24"/>
        </w:rPr>
        <w:t>PSV, and the remainder from prior vessel sales, in accordance with the terms of the 2024 SMFH Credit Facility as previously described in the 2025 Annual Report. Additionally, the 2024 SMFH Credit Facility includes a dedicated $41.0</w:t>
      </w:r>
      <w:r>
        <w:rPr>
          <w:rFonts w:ascii="Times New Roman" w:hAnsi="Times New Roman"/>
          <w:color w:val="000000"/>
          <w:sz w:val="20"/>
        </w:rPr>
        <w:t xml:space="preserve"> </w:t>
      </w:r>
      <w:r>
        <w:rPr>
          <w:rFonts w:ascii="Times New Roman" w:hAnsi="Times New Roman"/>
          <w:color w:val="000000"/>
          <w:sz w:val="24"/>
        </w:rPr>
        <w:t>million tranche that may be used to pay up to 50% of the purchase price of these vessels. $16.4</w:t>
      </w:r>
      <w:r>
        <w:rPr>
          <w:rFonts w:ascii="Times New Roman" w:hAnsi="Times New Roman"/>
          <w:color w:val="000000"/>
          <w:sz w:val="20"/>
        </w:rPr>
        <w:t xml:space="preserve"> </w:t>
      </w:r>
      <w:r>
        <w:rPr>
          <w:rFonts w:ascii="Times New Roman" w:hAnsi="Times New Roman"/>
          <w:color w:val="000000"/>
          <w:sz w:val="24"/>
        </w:rPr>
        <w:t>million of this tranche was drawn as of March 31, 2026, with the remaining $24.6</w:t>
      </w:r>
      <w:r>
        <w:rPr>
          <w:rFonts w:ascii="Times New Roman" w:hAnsi="Times New Roman"/>
          <w:color w:val="000000"/>
          <w:sz w:val="20"/>
        </w:rPr>
        <w:t xml:space="preserve"> </w:t>
      </w:r>
      <w:r>
        <w:rPr>
          <w:rFonts w:ascii="Times New Roman" w:hAnsi="Times New Roman"/>
          <w:color w:val="000000"/>
          <w:sz w:val="24"/>
        </w:rPr>
        <w:t>million of this tranche remaining undrawn and available.</w:t>
      </w:r>
    </w:p>
    <w:p>
      <w:pPr>
        <w:pStyle w:val="TextBody"/>
        <w:bidi w:val="0"/>
        <w:spacing w:before="200" w:after="283"/>
        <w:jc w:val="both"/>
        <w:rPr>
          <w:rFonts w:ascii="Times New Roman" w:hAnsi="Times New Roman"/>
          <w:sz w:val="20"/>
        </w:rPr>
      </w:pPr>
      <w:r>
        <w:rPr>
          <w:rFonts w:ascii="Times New Roman" w:hAnsi="Times New Roman"/>
          <w:color w:val="000000"/>
          <w:sz w:val="24"/>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R$30.5</w:t>
      </w:r>
      <w:r>
        <w:rPr>
          <w:rFonts w:ascii="Times New Roman" w:hAnsi="Times New Roman"/>
          <w:color w:val="000000"/>
          <w:sz w:val="20"/>
        </w:rPr>
        <w:t xml:space="preserve"> </w:t>
      </w:r>
      <w:r>
        <w:rPr>
          <w:rFonts w:ascii="Times New Roman" w:hAnsi="Times New Roman"/>
          <w:color w:val="000000"/>
          <w:sz w:val="24"/>
        </w:rPr>
        <w:t>million based on a historical potential levy of R$12.87</w:t>
      </w:r>
      <w:r>
        <w:rPr>
          <w:rFonts w:ascii="Times New Roman" w:hAnsi="Times New Roman"/>
          <w:color w:val="000000"/>
          <w:sz w:val="20"/>
        </w:rPr>
        <w:t xml:space="preserve"> </w:t>
      </w:r>
      <w:r>
        <w:rPr>
          <w:rFonts w:ascii="Times New Roman" w:hAnsi="Times New Roman"/>
          <w:color w:val="000000"/>
          <w:sz w:val="24"/>
        </w:rPr>
        <w:t>million (USD $5.8</w:t>
      </w:r>
      <w:r>
        <w:rPr>
          <w:rFonts w:ascii="Times New Roman" w:hAnsi="Times New Roman"/>
          <w:color w:val="000000"/>
          <w:sz w:val="20"/>
        </w:rPr>
        <w:t xml:space="preserve"> </w:t>
      </w:r>
      <w:r>
        <w:rPr>
          <w:rFonts w:ascii="Times New Roman" w:hAnsi="Times New Roman"/>
          <w:color w:val="000000"/>
          <w:sz w:val="24"/>
        </w:rPr>
        <w:t>million and USD $2.5</w:t>
      </w:r>
      <w:r>
        <w:rPr>
          <w:rFonts w:ascii="Times New Roman" w:hAnsi="Times New Roman"/>
          <w:color w:val="000000"/>
          <w:sz w:val="20"/>
        </w:rPr>
        <w:t xml:space="preserve"> </w:t>
      </w:r>
      <w:r>
        <w:rPr>
          <w:rFonts w:ascii="Times New Roman" w:hAnsi="Times New Roman"/>
          <w:color w:val="000000"/>
          <w:sz w:val="24"/>
        </w:rPr>
        <w:t>million, respectively, based on the exchange rate as of March 31, 2026).</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that such changes in estimated costs would have a material effect on the Company’s consolidated financial position, results of operations or cash flows.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March 31, 2026, all invoices received related to MNOPF and MNRPF have been settled in full.</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STOCK BASED COMPENSATION</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Transactions in connection with the Company’s Equity Incentive Plans during the three months ended March 31, 2026 were as follows:</w:t>
      </w:r>
    </w:p>
    <w:tbl>
      <w:tblPr>
        <w:tblW w:w="4345" w:type="dxa"/>
        <w:jc w:val="left"/>
        <w:tblInd w:w="0" w:type="dxa"/>
        <w:tblLayout w:type="fixed"/>
        <w:tblCellMar>
          <w:top w:w="28" w:type="dxa"/>
          <w:left w:w="28" w:type="dxa"/>
          <w:bottom w:w="28" w:type="dxa"/>
          <w:right w:w="28" w:type="dxa"/>
        </w:tblCellMar>
      </w:tblPr>
      <w:tblGrid>
        <w:gridCol w:w="3016"/>
        <w:gridCol w:w="146"/>
        <w:gridCol w:w="146"/>
        <w:gridCol w:w="826"/>
        <w:gridCol w:w="21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Restricted Stock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Outstanding as of December 31, 2025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1,304,145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307,755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Vested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(584,714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Outstanding as of March 31, 2026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1,027,186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 Option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1,008,865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Times New Roman" w:hAnsi="Times New Roman"/>
          <w:sz w:val="24"/>
        </w:rPr>
      </w:pPr>
      <w:r>
        <w:rPr>
          <w:rFonts w:ascii="Times New Roman" w:hAnsi="Times New Roman"/>
          <w:color w:val="000000"/>
          <w:sz w:val="16"/>
        </w:rPr>
        <w:t>Includes 30,923</w:t>
      </w:r>
      <w:r>
        <w:rPr>
          <w:rFonts w:ascii="Times New Roman" w:hAnsi="Times New Roman"/>
          <w:color w:val="000000"/>
          <w:sz w:val="24"/>
        </w:rPr>
        <w:t xml:space="preserve"> </w:t>
      </w:r>
      <w:r>
        <w:rPr>
          <w:rFonts w:ascii="Times New Roman" w:hAnsi="Times New Roman"/>
          <w:color w:val="000000"/>
          <w:sz w:val="16"/>
        </w:rPr>
        <w:t>grants of performance-based restricted stock units that satisfied the performance obligation and are therefore likely to vest and excludes 585,842</w:t>
      </w:r>
      <w:r>
        <w:rPr>
          <w:rFonts w:ascii="Times New Roman" w:hAnsi="Times New Roman"/>
          <w:color w:val="000000"/>
          <w:sz w:val="24"/>
        </w:rPr>
        <w:t xml:space="preserve"> </w:t>
      </w:r>
      <w:r>
        <w:rPr>
          <w:rFonts w:ascii="Times New Roman" w:hAnsi="Times New Roman"/>
          <w:color w:val="000000"/>
          <w:sz w:val="16"/>
        </w:rPr>
        <w:t>grants of performance-based restricted stock units that are not considered outstanding until such time that they become probable to vest.</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40" w:after="283"/>
        <w:jc w:val="both"/>
        <w:rPr>
          <w:rFonts w:ascii="Times New Roman" w:hAnsi="Times New Roman"/>
          <w:sz w:val="24"/>
        </w:rPr>
      </w:pPr>
      <w:r>
        <w:rPr>
          <w:rFonts w:ascii="Times New Roman" w:hAnsi="Times New Roman"/>
          <w:color w:val="000000"/>
          <w:sz w:val="16"/>
        </w:rPr>
        <w:t>Includes 30,923</w:t>
      </w:r>
      <w:r>
        <w:rPr>
          <w:rFonts w:ascii="Times New Roman" w:hAnsi="Times New Roman"/>
          <w:color w:val="000000"/>
          <w:sz w:val="24"/>
        </w:rPr>
        <w:t xml:space="preserve"> </w:t>
      </w:r>
      <w:r>
        <w:rPr>
          <w:rFonts w:ascii="Times New Roman" w:hAnsi="Times New Roman"/>
          <w:color w:val="000000"/>
          <w:sz w:val="16"/>
        </w:rPr>
        <w:t>vested grants of performance-based restricted stock units.</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40" w:after="283"/>
        <w:jc w:val="both"/>
        <w:rPr>
          <w:rFonts w:ascii="Times New Roman" w:hAnsi="Times New Roman"/>
          <w:sz w:val="24"/>
        </w:rPr>
      </w:pPr>
      <w:r>
        <w:rPr>
          <w:rFonts w:ascii="Times New Roman" w:hAnsi="Times New Roman"/>
          <w:color w:val="000000"/>
          <w:sz w:val="16"/>
        </w:rPr>
        <w:t>Includes no grants of performance-based restricted stock units that satisfied the performance obligation and are therefore likely to vest and excludes 601,680</w:t>
      </w:r>
      <w:r>
        <w:rPr>
          <w:rFonts w:ascii="Times New Roman" w:hAnsi="Times New Roman"/>
          <w:color w:val="000000"/>
          <w:sz w:val="24"/>
        </w:rPr>
        <w:t xml:space="preserve"> </w:t>
      </w:r>
      <w:r>
        <w:rPr>
          <w:rFonts w:ascii="Times New Roman" w:hAnsi="Times New Roman"/>
          <w:color w:val="000000"/>
          <w:sz w:val="16"/>
        </w:rPr>
        <w:t>grants of performance-based restricted stock units that are not considered outstanding until such time that they become probable to vest.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4"/>
        </w:rPr>
        <w:t>For the three months ended March 31, 2026, the Company acquired for treasury (i) 215,466</w:t>
      </w:r>
      <w:r>
        <w:rPr>
          <w:rFonts w:ascii="Times New Roman" w:hAnsi="Times New Roman"/>
          <w:color w:val="000000"/>
          <w:sz w:val="20"/>
        </w:rPr>
        <w:t xml:space="preserve"> </w:t>
      </w:r>
      <w:r>
        <w:rPr>
          <w:rFonts w:ascii="Times New Roman" w:hAnsi="Times New Roman"/>
          <w:color w:val="000000"/>
          <w:sz w:val="24"/>
        </w:rPr>
        <w:t>shares of Common Stock from its employees to cover their tax withholding obligations upon the vesting of restricted share awards for an aggregate purchase price of $1.6</w:t>
      </w:r>
      <w:r>
        <w:rPr>
          <w:rFonts w:ascii="Times New Roman" w:hAnsi="Times New Roman"/>
          <w:color w:val="000000"/>
          <w:sz w:val="20"/>
        </w:rPr>
        <w:t xml:space="preserve"> </w:t>
      </w:r>
      <w:r>
        <w:rPr>
          <w:rFonts w:ascii="Times New Roman" w:hAnsi="Times New Roman"/>
          <w:color w:val="000000"/>
          <w:sz w:val="24"/>
        </w:rPr>
        <w:t>million, and (ii) 12,721</w:t>
      </w:r>
      <w:r>
        <w:rPr>
          <w:rFonts w:ascii="Times New Roman" w:hAnsi="Times New Roman"/>
          <w:color w:val="000000"/>
          <w:sz w:val="20"/>
        </w:rPr>
        <w:t xml:space="preserve"> </w:t>
      </w:r>
      <w:r>
        <w:rPr>
          <w:rFonts w:ascii="Times New Roman" w:hAnsi="Times New Roman"/>
          <w:color w:val="000000"/>
          <w:sz w:val="24"/>
        </w:rPr>
        <w:t>shares of Common Stock from its employees to cover their tax withholding obligations upon the vesting of performance-based restricted stock units for an aggregate purchase price of $0.1</w:t>
      </w:r>
      <w:r>
        <w:rPr>
          <w:rFonts w:ascii="Times New Roman" w:hAnsi="Times New Roman"/>
          <w:color w:val="000000"/>
          <w:sz w:val="20"/>
        </w:rPr>
        <w:t xml:space="preserve"> </w:t>
      </w:r>
      <w:r>
        <w:rPr>
          <w:rFonts w:ascii="Times New Roman" w:hAnsi="Times New Roman"/>
          <w:color w:val="000000"/>
          <w:sz w:val="24"/>
        </w:rPr>
        <w:t>million. These shares were purchased in accordance with the terms of the Company’s 2022 Equity Incentive Plan.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SEGMENT INFORMATION</w:t>
      </w:r>
    </w:p>
    <w:p>
      <w:pPr>
        <w:pStyle w:val="TextBody"/>
        <w:bidi w:val="0"/>
        <w:spacing w:before="200" w:after="200"/>
        <w:jc w:val="both"/>
        <w:rPr>
          <w:rFonts w:ascii="Times New Roman" w:hAnsi="Times New Roman"/>
          <w:sz w:val="20"/>
        </w:rPr>
      </w:pPr>
      <w:r>
        <w:rPr>
          <w:rFonts w:ascii="Times New Roman" w:hAnsi="Times New Roman"/>
          <w:color w:val="000000"/>
          <w:sz w:val="24"/>
        </w:rPr>
        <w:t>The Company’s segment presentation and basis of measurement of segment profit or loss are as previously described in the 2025</w:t>
      </w:r>
      <w:r>
        <w:rPr>
          <w:rFonts w:ascii="Times New Roman" w:hAnsi="Times New Roman"/>
          <w:color w:val="000000"/>
          <w:sz w:val="20"/>
        </w:rPr>
        <w:t xml:space="preserve"> </w:t>
      </w:r>
      <w:r>
        <w:rPr>
          <w:rFonts w:ascii="Times New Roman" w:hAnsi="Times New Roman"/>
          <w:color w:val="000000"/>
          <w:sz w:val="24"/>
        </w:rPr>
        <w:t>Annual Report. The following tables summarize the operating results, capital expenditures and assets of the Company’s reportable segments for the periods indicated (in thousands):</w:t>
      </w:r>
    </w:p>
    <w:tbl>
      <w:tblPr>
        <w:tblW w:w="10205" w:type="dxa"/>
        <w:jc w:val="left"/>
        <w:tblInd w:w="0" w:type="dxa"/>
        <w:tblLayout w:type="fixed"/>
        <w:tblCellMar>
          <w:top w:w="28" w:type="dxa"/>
          <w:left w:w="28" w:type="dxa"/>
          <w:bottom w:w="28" w:type="dxa"/>
          <w:right w:w="28" w:type="dxa"/>
        </w:tblCellMar>
      </w:tblPr>
      <w:tblGrid>
        <w:gridCol w:w="3535"/>
        <w:gridCol w:w="146"/>
        <w:gridCol w:w="202"/>
        <w:gridCol w:w="684"/>
        <w:gridCol w:w="166"/>
        <w:gridCol w:w="146"/>
        <w:gridCol w:w="210"/>
        <w:gridCol w:w="807"/>
        <w:gridCol w:w="166"/>
        <w:gridCol w:w="146"/>
        <w:gridCol w:w="196"/>
        <w:gridCol w:w="751"/>
        <w:gridCol w:w="166"/>
        <w:gridCol w:w="146"/>
        <w:gridCol w:w="196"/>
        <w:gridCol w:w="691"/>
        <w:gridCol w:w="166"/>
        <w:gridCol w:w="146"/>
        <w:gridCol w:w="196"/>
        <w:gridCol w:w="751"/>
        <w:gridCol w:w="592"/>
      </w:tblGrid>
      <w:tr>
        <w:trPr/>
        <w:tc>
          <w:tcPr>
            <w:tcW w:w="3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w:t>
              <w:br/>
              <w:t>States</w:t>
              <w:br/>
              <w:t>(primarily</w:t>
              <w:br/>
              <w:t>Gulf of</w:t>
              <w:br/>
              <w:t>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Latin</w:t>
              <w:br/>
              <w:t>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41,957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37,573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752,640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(341,790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410,850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195,188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567,090</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00"/>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00"/>
        <w:jc w:val="both"/>
        <w:rPr/>
      </w:pPr>
      <w:r>
        <w:rPr>
          <w:rFonts w:ascii="Times New Roman" w:hAnsi="Times New Roman"/>
          <w:color w:val="000000"/>
          <w:sz w:val="16"/>
        </w:rPr>
        <w:t>Total Assets by region does not include corporate assets of $73.7</w:t>
      </w:r>
      <w:r>
        <w:rPr>
          <w:color w:val="000000"/>
        </w:rPr>
        <w:t xml:space="preserve"> </w:t>
      </w:r>
      <w:r>
        <w:rPr>
          <w:rFonts w:ascii="Times New Roman" w:hAnsi="Times New Roman"/>
          <w:color w:val="000000"/>
          <w:sz w:val="16"/>
        </w:rPr>
        <w:t>million as of March 31, 2026</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4"/>
        <w:gridCol w:w="146"/>
        <w:gridCol w:w="196"/>
        <w:gridCol w:w="751"/>
        <w:gridCol w:w="166"/>
        <w:gridCol w:w="146"/>
        <w:gridCol w:w="210"/>
        <w:gridCol w:w="807"/>
        <w:gridCol w:w="166"/>
        <w:gridCol w:w="146"/>
        <w:gridCol w:w="196"/>
        <w:gridCol w:w="691"/>
        <w:gridCol w:w="166"/>
        <w:gridCol w:w="146"/>
        <w:gridCol w:w="196"/>
        <w:gridCol w:w="691"/>
        <w:gridCol w:w="166"/>
        <w:gridCol w:w="146"/>
        <w:gridCol w:w="196"/>
        <w:gridCol w:w="751"/>
        <w:gridCol w:w="592"/>
      </w:tblGrid>
      <w:tr>
        <w:trPr/>
        <w:tc>
          <w:tcPr>
            <w:tcW w:w="3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w:t>
              <w:br/>
              <w:t>States</w:t>
              <w:br/>
              <w:t>(primarily</w:t>
              <w:br/>
              <w:t>Gulf of</w:t>
              <w:br/>
              <w:t>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Latin</w:t>
              <w:br/>
              <w:t>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55,499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13,571</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881,961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(365,422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516,539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650,406</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40" w:after="283"/>
        <w:jc w:val="both"/>
        <w:rPr>
          <w:rFonts w:ascii="sans-serif" w:hAnsi="sans-serif"/>
          <w:sz w:val="22"/>
        </w:rPr>
      </w:pPr>
      <w:r>
        <w:rPr>
          <w:rFonts w:ascii="Times New Roman" w:hAnsi="Times New Roman"/>
          <w:color w:val="000000"/>
          <w:sz w:val="16"/>
        </w:rPr>
        <w:t>Total Assets by region does not include corporate assets of $43.8</w:t>
      </w:r>
      <w:r>
        <w:rPr>
          <w:rFonts w:ascii="sans-serif" w:hAnsi="sans-serif"/>
          <w:color w:val="000000"/>
          <w:sz w:val="22"/>
        </w:rPr>
        <w:t xml:space="preserve"> </w:t>
      </w:r>
      <w:r>
        <w:rPr>
          <w:rFonts w:ascii="Times New Roman" w:hAnsi="Times New Roman"/>
          <w:color w:val="000000"/>
          <w:sz w:val="16"/>
        </w:rPr>
        <w:t>million as of March 31, 2025.</w:t>
      </w:r>
    </w:p>
    <w:p>
      <w:pPr>
        <w:pStyle w:val="TextBody"/>
        <w:bidi w:val="0"/>
        <w:spacing w:before="200" w:after="283"/>
        <w:jc w:val="both"/>
        <w:rPr>
          <w:rFonts w:ascii="Times New Roman" w:hAnsi="Times New Roman"/>
          <w:sz w:val="20"/>
        </w:rPr>
      </w:pPr>
      <w:r>
        <w:rPr>
          <w:rFonts w:ascii="Times New Roman" w:hAnsi="Times New Roman"/>
          <w:color w:val="000000"/>
          <w:sz w:val="24"/>
        </w:rPr>
        <w:t>The Company’s investments in 50% or less owned companies, which are accounted for under the equity method, also contribute to its consolidated results of operations. As of March 31, 2026, and 2025, the Company’s investments, at equity, and advances to 50% or less owned companies were $3.0</w:t>
      </w:r>
      <w:r>
        <w:rPr>
          <w:rFonts w:ascii="Times New Roman" w:hAnsi="Times New Roman"/>
          <w:color w:val="000000"/>
          <w:sz w:val="20"/>
        </w:rPr>
        <w:t xml:space="preserve"> </w:t>
      </w:r>
      <w:r>
        <w:rPr>
          <w:rFonts w:ascii="Times New Roman" w:hAnsi="Times New Roman"/>
          <w:color w:val="000000"/>
          <w:sz w:val="24"/>
        </w:rPr>
        <w:t>million and $4.5</w:t>
      </w:r>
      <w:r>
        <w:rPr>
          <w:rFonts w:ascii="Times New Roman" w:hAnsi="Times New Roman"/>
          <w:color w:val="000000"/>
          <w:sz w:val="20"/>
        </w:rPr>
        <w:t xml:space="preserve"> </w:t>
      </w:r>
      <w:r>
        <w:rPr>
          <w:rFonts w:ascii="Times New Roman" w:hAnsi="Times New Roman"/>
          <w:color w:val="000000"/>
          <w:sz w:val="24"/>
        </w:rPr>
        <w:t>million, respectively. Equity in earnings of 50% or less owned companies for the three months ended March 31, 2026 and 2025</w:t>
      </w:r>
      <w:r>
        <w:rPr>
          <w:rFonts w:ascii="Times New Roman" w:hAnsi="Times New Roman"/>
          <w:color w:val="000000"/>
          <w:sz w:val="20"/>
        </w:rPr>
        <w:t xml:space="preserve"> </w:t>
      </w:r>
      <w:r>
        <w:rPr>
          <w:rFonts w:ascii="Times New Roman" w:hAnsi="Times New Roman"/>
          <w:color w:val="000000"/>
          <w:sz w:val="24"/>
        </w:rPr>
        <w:t>were $0.1</w:t>
      </w:r>
      <w:r>
        <w:rPr>
          <w:rFonts w:ascii="Times New Roman" w:hAnsi="Times New Roman"/>
          <w:color w:val="000000"/>
          <w:sz w:val="20"/>
        </w:rPr>
        <w:t xml:space="preserve"> </w:t>
      </w:r>
      <w:r>
        <w:rPr>
          <w:rFonts w:ascii="Times New Roman" w:hAnsi="Times New Roman"/>
          <w:color w:val="000000"/>
          <w:sz w:val="24"/>
        </w:rPr>
        <w:t>million and $0.9</w:t>
      </w:r>
      <w:r>
        <w:rPr>
          <w:rFonts w:ascii="Times New Roman" w:hAnsi="Times New Roman"/>
          <w:color w:val="000000"/>
          <w:sz w:val="20"/>
        </w:rPr>
        <w:t xml:space="preserve"> </w:t>
      </w:r>
      <w:r>
        <w:rPr>
          <w:rFonts w:ascii="Times New Roman" w:hAnsi="Times New Roman"/>
          <w:color w:val="000000"/>
          <w:sz w:val="24"/>
        </w:rPr>
        <w:t>million, respectively.</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COST REDUCTION MEASURES</w:t>
      </w:r>
    </w:p>
    <w:p>
      <w:pPr>
        <w:pStyle w:val="TextBody"/>
        <w:bidi w:val="0"/>
        <w:spacing w:before="200" w:after="283"/>
        <w:jc w:val="both"/>
        <w:rPr>
          <w:rFonts w:ascii="Times New Roman" w:hAnsi="Times New Roman"/>
          <w:sz w:val="20"/>
        </w:rPr>
      </w:pPr>
      <w:r>
        <w:rPr>
          <w:rFonts w:ascii="Times New Roman" w:hAnsi="Times New Roman"/>
          <w:color w:val="000000"/>
          <w:sz w:val="24"/>
        </w:rPr>
        <w:t>During the fourth quarter of 2025, the Company initiated certain cost reduction measures to better align its operating expenses with the current state of the offshore marine industry, in general, and its business, in particular. These measures include a reduction of workforce, reorganization of the management structure and streamlining of operations. As a result of the cost reduction measures taken in the fourth quarter of 2025, the Company recognized savings of $1.0</w:t>
      </w:r>
      <w:r>
        <w:rPr>
          <w:rFonts w:ascii="Times New Roman" w:hAnsi="Times New Roman"/>
          <w:color w:val="000000"/>
          <w:sz w:val="20"/>
        </w:rPr>
        <w:t xml:space="preserve"> </w:t>
      </w:r>
      <w:r>
        <w:rPr>
          <w:rFonts w:ascii="Times New Roman" w:hAnsi="Times New Roman"/>
          <w:color w:val="000000"/>
          <w:sz w:val="24"/>
        </w:rPr>
        <w:t>million in wages and benefits expenses for the first quarter of 2026. Management continues to focus on optimizing the cost structure and regional footprint of the business to help maintain the Company’s competitiveness in the industry, improve its operating leverage and position itself to take advantage of market opportunities.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SUBSEQUENT EVENTS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has evaluated subsequent events through the filing of this Quarterly Report on Form 10-Q and determined that there have been no material events that have occurred that are not properly recognized and/or disclosed in the consolidated financial statements.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1" w:name="item_2_managements_discussion_analysis_f"/>
      <w:bookmarkEnd w:id="11"/>
      <w:r>
        <w:rPr>
          <w:rFonts w:ascii="Times New Roman" w:hAnsi="Times New Roman"/>
          <w:b/>
          <w:color w:val="000000"/>
          <w:sz w:val="24"/>
        </w:rPr>
        <w:t>ITEM 2. MANAGEMENT’S DISCUSSION AND ANALYSIS OF</w:t>
      </w:r>
      <w:r>
        <w:rPr>
          <w:rFonts w:ascii="Times New Roman" w:hAnsi="Times New Roman"/>
          <w:color w:val="000000"/>
          <w:sz w:val="20"/>
        </w:rPr>
        <w:t xml:space="preserve"> </w:t>
      </w:r>
      <w:r>
        <w:rPr>
          <w:rFonts w:ascii="Times New Roman" w:hAnsi="Times New Roman"/>
          <w:b/>
          <w:color w:val="000000"/>
          <w:sz w:val="24"/>
        </w:rPr>
        <w:t>FINANCIAL CONDITION AND RESULTS OF OPERATIONS</w:t>
      </w:r>
    </w:p>
    <w:p>
      <w:pPr>
        <w:pStyle w:val="TextBody"/>
        <w:bidi w:val="0"/>
        <w:spacing w:before="200" w:after="283"/>
        <w:jc w:val="both"/>
        <w:rPr>
          <w:rFonts w:ascii="Times New Roman" w:hAnsi="Times New Roman"/>
          <w:i/>
          <w:color w:val="000000"/>
          <w:sz w:val="24"/>
        </w:rPr>
      </w:pPr>
      <w:r>
        <w:rPr>
          <w:rFonts w:ascii="Times New Roman" w:hAnsi="Times New Roman"/>
          <w:i/>
          <w:color w:val="000000"/>
          <w:sz w:val="24"/>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2025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United States Securities and Exchange Commission.</w:t>
      </w:r>
    </w:p>
    <w:p>
      <w:pPr>
        <w:pStyle w:val="TextBody"/>
        <w:bidi w:val="0"/>
        <w:spacing w:before="200" w:after="283"/>
        <w:jc w:val="both"/>
        <w:rPr>
          <w:rFonts w:ascii="Times New Roman" w:hAnsi="Times New Roman"/>
          <w:i/>
          <w:color w:val="000000"/>
          <w:sz w:val="24"/>
        </w:rPr>
      </w:pPr>
      <w:r>
        <w:rPr>
          <w:rFonts w:ascii="Times New Roman" w:hAnsi="Times New Roman"/>
          <w:i/>
          <w:color w:val="000000"/>
          <w:sz w:val="24"/>
        </w:rPr>
        <w:t>The following Management’s Discussion and Analysis (the “MD&amp;A”) is intended to help the reader understand the Company’s financial condition and results of operations. The MD&amp;A is provided as a supplement to and should be read in conjunction with the unaudited consolidated financial statements and notes thereto included in this Quarterly Report on Form 10-Q, as well as “Management’s Discussion and Analysis of Financial Condition and Results of Operations” contained in the 2025 Annual Report.</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Overview</w:t>
      </w:r>
    </w:p>
    <w:p>
      <w:pPr>
        <w:pStyle w:val="TextBody"/>
        <w:bidi w:val="0"/>
        <w:spacing w:before="200" w:after="283"/>
        <w:jc w:val="both"/>
        <w:rPr>
          <w:rFonts w:ascii="Times New Roman" w:hAnsi="Times New Roman"/>
          <w:sz w:val="20"/>
        </w:rPr>
      </w:pPr>
      <w:r>
        <w:rPr>
          <w:rFonts w:ascii="Times New Roman" w:hAnsi="Times New Roman"/>
          <w:color w:val="000000"/>
          <w:sz w:val="24"/>
        </w:rPr>
        <w:t>The Company provides global marine and support transportation services to offshore energy facilities worldwide. As of March 31, 2026, the Company operated a fleet of 43 support vessels, of which all were owned. The primary users of the Company’s services are major integrated national and international oil companies, independent oil and natural gas exploration and production companies, oil field service and construction companies, as well as offshore wind farm operators and offshore wind farm installation and maintenance companies.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The Company operates and manages a diverse fleet of offshore support vessels that (i) deliver cargo and personnel to offshore installations, including offshore wind farms, (ii) assist offshore operations for production and storage facilities, (iii) provide construction, well work-over, offshore wind farm installation and decommissioning support and (iv) carry and launch equipment used underwater in drilling and well installation, maintenance, inspection and repair. Additionally, the Company’s vessels provide emergency response services and accommodations for technicians and specialists.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4"/>
        </w:rPr>
        <w:t>The Company operates its fleet in four principal geographic regions: the United States (“U.S.”), primarily Gulf of America; Africa and Europe; the Middle East and Asia; and Latin America, primarily in Brazil, Mexico, Guyana, and Central and South America. The Company’s vessels are highly mobile and regularly and routinely move between countries within a geographic region. In addition, the Company’s vessels are redeployed among geographic regions, subject to flag restrictions, as changes in market conditions dictate.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Significant items affecting our results of operations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Offshore oil and natural gas market conditions are highly volatile. For example, oil prices experienced unprecedented volatility during 2020 due to the COVID-19 pandemic and the related effects on the global economy, with the price per barrel going negative for a short period of time. Oil prices steadily increased since the lows hit at the beginning of the COVID-19 pandemic and hit a multi-year high of $122 per barrel during 2022 primarily as a result of the conflict between Russia and Ukraine as well as the related economic sanctions and economic uncertainty but subsequently decreased to pre-conflict levels. During the three months ended March 31, 2026, WTI oil prices reached a high of $105 per barrel and a low of $56 per barrel, ending the period at $102 per barrel. Volatility of oil prices has increased with the onset of the conflict with Iran.</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While the Company has experienced difficult market conditions over the past few years due to volatile oil and natural gas prices and the focus of oil and natural gas producing companies on cost and capital discipline, the increases since the lows experienced during the COVID-19 pandemic in oil and natural gas prices has led to an increase in utilization, day rates and customer inquiries about new projects.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closely monitors the availability of vessels in the offshore support vessel market as the utilization and day rates of the Company’s fleet is dependent on the supply and demand dynamics for its vessels. For example, low oil and natural gas prices and a corresponding decline in offshore exploration may reduce demand for the Company’s vessels and in the past such declines have forced many operators in the industry to restructure, liquidate assets or consolidate with other operators. Additionally, the delivery of newly built offshore support vessels to the industry-wide fleet has in the past contributed to an oversupply of vessels in the market, thereby further decreasing the demand for the Company’s existing offshore support vessel fleet. A combination of low customer exploration and drilling activity levels, and excess supply of offshore support vessels whether from laid up fleets or newly built vessels could, in isolation or together, have a material adverse effect on the Company’s business, financial position, results of operations, cash flows and growth prospects. Alternatively, increasing activity levels and a stable supply of offshore support vessels could support higher utilization and day rates and improved financial performance of the Company’s business.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Certain macro drivers somewhat independent of oil and natural gas prices may support the Company’s business, including: (i) underspending by oil and natural gas producers over the last five to ten years leading to pent up demand for maintenance and growth capital expenditures; (ii) improved extraction technologies; and (iii) the need for offshore wind farm support as the industry grows. While the Company expects that alternative forms of energy will continue to develop and add to the world’s energy mix, especially as certain governments, supranational groups, institutional investors, and various other parties focus on climate change causes and concerns, the Company believes that for the foreseeable future demand for gasoline and oil will be sustained, as will demand for natural gas, particularly in the context of expanded power generation demand worldwide. Some alternative forms of energy such as offshore wind farms support some of the Company’s operations and the Company expects such support to increase to the extent that development of these forms of renewable energy expands.</w:t>
      </w:r>
    </w:p>
    <w:p>
      <w:pPr>
        <w:pStyle w:val="TextBody"/>
        <w:bidi w:val="0"/>
        <w:spacing w:before="200" w:after="283"/>
        <w:jc w:val="both"/>
        <w:rPr>
          <w:rFonts w:ascii="Times New Roman" w:hAnsi="Times New Roman"/>
          <w:sz w:val="20"/>
        </w:rPr>
      </w:pPr>
      <w:r>
        <w:rPr>
          <w:rFonts w:ascii="Times New Roman" w:hAnsi="Times New Roman"/>
          <w:color w:val="000000"/>
          <w:sz w:val="24"/>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inspections and related drydocking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March 31, 2026, none of the Company’s 43 owned vessels were cold-stacked worldwide. In addition, the Company had five vessel classified as held for sale as of March 31, 2026.</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Recent Developments</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Cost Reduction Measures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fourth quarter of 2025, the Company initiated certain cost reduction measures to better align its operating expenses with the current state of the offshore marine industry, in general, and its business, in particular. These measures include a reduction of workforce, reorganization of the management structure and streamlining of operations. For the year ended December 31, 2025, the Company incurred one-time charges totaling $1.2 million related to severance charges arising from a reduction in workforce resulting in a decrease in annualized wages and benefits expenses of at least $3.9 million. Management continues to focus on optimizing the cost structure and regional footprint of the business to help maintain the Company’s competitiveness in the industry, improve its operating leverage and position itself to take advantage of market opportunities.</w:t>
      </w:r>
    </w:p>
    <w:p>
      <w:pPr>
        <w:pStyle w:val="TextBody"/>
        <w:bidi w:val="0"/>
        <w:spacing w:before="200" w:after="283"/>
        <w:jc w:val="both"/>
        <w:rPr>
          <w:rFonts w:ascii="Times New Roman" w:hAnsi="Times New Roman"/>
          <w:b/>
          <w:i/>
          <w:color w:val="000000"/>
          <w:sz w:val="24"/>
        </w:rPr>
      </w:pPr>
      <w:r>
        <w:rPr>
          <w:rFonts w:ascii="Times New Roman" w:hAnsi="Times New Roman"/>
          <w:b/>
          <w:i/>
          <w:color w:val="000000"/>
          <w:sz w:val="24"/>
        </w:rPr>
        <w:t>Vessel Sales</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On February 24, 2026, the Company completed the sale of one 201 foot, DP-2 </w:t>
      </w:r>
      <w:r>
        <w:rPr>
          <w:rFonts w:ascii="Times New Roman" w:hAnsi="Times New Roman"/>
          <w:color w:val="222222"/>
          <w:sz w:val="24"/>
        </w:rPr>
        <w:t xml:space="preserve">platform supply vessel </w:t>
      </w:r>
      <w:r>
        <w:rPr>
          <w:rFonts w:ascii="Times New Roman" w:hAnsi="Times New Roman"/>
          <w:color w:val="000000"/>
          <w:sz w:val="24"/>
        </w:rPr>
        <w:t>(“PSV”) built in 2015 for total proceeds of $14.6 million for a gain of approximately $7.3 million. Approximately $11.3 million of these sale proceeds were designated to make future payments on the construction of two PSVs and deposited in a restricted account.</w:t>
      </w:r>
    </w:p>
    <w:p>
      <w:pPr>
        <w:pStyle w:val="TextBody"/>
        <w:bidi w:val="0"/>
        <w:spacing w:before="200" w:after="283"/>
        <w:jc w:val="both"/>
        <w:rPr>
          <w:rFonts w:ascii="Times New Roman" w:hAnsi="Times New Roman"/>
          <w:sz w:val="20"/>
        </w:rPr>
      </w:pPr>
      <w:r>
        <w:rPr>
          <w:rFonts w:ascii="Times New Roman" w:hAnsi="Times New Roman"/>
          <w:color w:val="000000"/>
          <w:sz w:val="24"/>
        </w:rPr>
        <w:t xml:space="preserve">On December 19, 2025, the Company completed the sale of one 201 foot, DP-2 </w:t>
      </w:r>
      <w:r>
        <w:rPr>
          <w:rFonts w:ascii="Times New Roman" w:hAnsi="Times New Roman"/>
          <w:color w:val="222222"/>
          <w:sz w:val="24"/>
        </w:rPr>
        <w:t xml:space="preserve">platform supply vessel </w:t>
      </w:r>
      <w:r>
        <w:rPr>
          <w:rFonts w:ascii="Times New Roman" w:hAnsi="Times New Roman"/>
          <w:color w:val="000000"/>
          <w:sz w:val="24"/>
        </w:rPr>
        <w:t>(“PSV”) built in 2013 for total proceeds of $13.4 million for a gain of approximately $8.1 million. Approximately $11.0 million of these sale proceeds were designated to make future payments on the construction of two PSVs and deposited in a restricted account.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On September 29, 2025, the Company completed the sale of the U.S. flag liftboat LB Jill and the U.S. flag liftboat LB Robert (together, the “Liftboat Sales”) for total proceeds of $76.0 million. In addition, concurrently with the closing of the Liftboat Sales, the Company sold certain uninstalled vessel equipment for total proceeds of $1.0 million (the “Equipment Sale”). After deducting transaction costs and expenses, the Company received net cash proceeds of $74.7 million and recognized a gain of $30.5 million for the Liftboat Sales and the Equipment Sale. None of the sale proceeds from the Liftboat Sales and the Equipment Sale are encumbered by the Company’s 2024 SMFH Credit Facility or required to be used to repay such facility.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Consolidated</w:t>
      </w:r>
      <w:r>
        <w:rPr>
          <w:rFonts w:ascii="Times New Roman" w:hAnsi="Times New Roman"/>
          <w:color w:val="000000"/>
          <w:sz w:val="20"/>
        </w:rPr>
        <w:t xml:space="preserve"> </w:t>
      </w:r>
      <w:r>
        <w:rPr>
          <w:rFonts w:ascii="Times New Roman" w:hAnsi="Times New Roman"/>
          <w:b/>
          <w:color w:val="000000"/>
          <w:sz w:val="24"/>
        </w:rPr>
        <w:t>Results of Operations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sections below provide an analysis of the Company’s results of operations for the three months (“Current Year Quarter”) ended March 31, 2026 compared with the three months (“Prior Year Quarter”) ended March 31, 2025. Except as otherwise noted, there have been no material changes since the end of the Company’s fiscal year ended December 31, 2025, in the Company’s results of operations. For the periods indicated, the Company’s consolidated results of operations were as follows (in thousands, except statistics):</w:t>
      </w:r>
    </w:p>
    <w:tbl>
      <w:tblPr>
        <w:tblW w:w="10205" w:type="dxa"/>
        <w:jc w:val="left"/>
        <w:tblInd w:w="0" w:type="dxa"/>
        <w:tblLayout w:type="fixed"/>
        <w:tblCellMar>
          <w:top w:w="28" w:type="dxa"/>
          <w:left w:w="28" w:type="dxa"/>
          <w:bottom w:w="28" w:type="dxa"/>
          <w:right w:w="28" w:type="dxa"/>
        </w:tblCellMar>
      </w:tblPr>
      <w:tblGrid>
        <w:gridCol w:w="4954"/>
        <w:gridCol w:w="546"/>
        <w:gridCol w:w="196"/>
        <w:gridCol w:w="661"/>
        <w:gridCol w:w="256"/>
        <w:gridCol w:w="146"/>
        <w:gridCol w:w="146"/>
        <w:gridCol w:w="376"/>
        <w:gridCol w:w="295"/>
        <w:gridCol w:w="146"/>
        <w:gridCol w:w="196"/>
        <w:gridCol w:w="661"/>
        <w:gridCol w:w="256"/>
        <w:gridCol w:w="146"/>
        <w:gridCol w:w="146"/>
        <w:gridCol w:w="376"/>
        <w:gridCol w:w="702"/>
      </w:tblGrid>
      <w:tr>
        <w:trPr/>
        <w:tc>
          <w:tcPr>
            <w:tcW w:w="495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55,499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and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Lease expense - operating</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7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7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66,561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Income Tax Expense and Equity in Earnings of 50% or Less Owned Companies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Before Equity in Earnings of 50% or Less Owned Companies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50% or Less Owned Companies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(15,805</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(15,489</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4"/>
        </w:rPr>
        <w:t xml:space="preserve">Direct Vessel Profit. </w:t>
      </w:r>
      <w:r>
        <w:rPr>
          <w:rFonts w:ascii="Times New Roman" w:hAnsi="Times New Roman"/>
          <w:color w:val="000000"/>
          <w:sz w:val="24"/>
        </w:rPr>
        <w:t>Direct vessel profit (defined as operating revenues less operating expenses excluding leased-in equipment,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 See “Note 11. Segment Information” in the unaudited consolidated financial statements included in Part I. Item 1. “Financial Statements” elsewhere in this Quarterly Report on Form 10-Q.</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following tables summarize the operating results and property and equipment for the Company’s reportable segments for the periods indicated (in thousands, except statistics):</w:t>
      </w:r>
    </w:p>
    <w:tbl>
      <w:tblPr>
        <w:tblW w:w="10205" w:type="dxa"/>
        <w:jc w:val="left"/>
        <w:tblInd w:w="0" w:type="dxa"/>
        <w:tblLayout w:type="fixed"/>
        <w:tblCellMar>
          <w:top w:w="28" w:type="dxa"/>
          <w:left w:w="28" w:type="dxa"/>
          <w:bottom w:w="28" w:type="dxa"/>
          <w:right w:w="28" w:type="dxa"/>
        </w:tblCellMar>
      </w:tblPr>
      <w:tblGrid>
        <w:gridCol w:w="3186"/>
        <w:gridCol w:w="146"/>
        <w:gridCol w:w="202"/>
        <w:gridCol w:w="684"/>
        <w:gridCol w:w="256"/>
        <w:gridCol w:w="146"/>
        <w:gridCol w:w="208"/>
        <w:gridCol w:w="798"/>
        <w:gridCol w:w="256"/>
        <w:gridCol w:w="146"/>
        <w:gridCol w:w="196"/>
        <w:gridCol w:w="751"/>
        <w:gridCol w:w="256"/>
        <w:gridCol w:w="146"/>
        <w:gridCol w:w="196"/>
        <w:gridCol w:w="691"/>
        <w:gridCol w:w="256"/>
        <w:gridCol w:w="146"/>
        <w:gridCol w:w="196"/>
        <w:gridCol w:w="751"/>
        <w:gridCol w:w="592"/>
      </w:tblGrid>
      <w:tr>
        <w:trPr/>
        <w:tc>
          <w:tcPr>
            <w:tcW w:w="3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w:t>
              <w:br/>
              <w:t>States</w:t>
              <w:br/>
              <w:t>(primarily</w:t>
              <w:br/>
              <w:t>Gulf of</w:t>
              <w:br/>
              <w:t>America)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Latin</w:t>
              <w:br/>
              <w:t>America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3,897</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41,957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44,282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37,573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9,954</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57,898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243,319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752,640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(43,283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(133,802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(115,303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(341,790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14,615</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171,117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128,016</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410,850</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35,398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221,523</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195,188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114,981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567,090</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00"/>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00"/>
        <w:jc w:val="both"/>
        <w:rPr/>
      </w:pPr>
      <w:r>
        <w:rPr>
          <w:rFonts w:ascii="Times New Roman" w:hAnsi="Times New Roman"/>
          <w:color w:val="000000"/>
          <w:sz w:val="16"/>
        </w:rPr>
        <w:t>Total Assets by region does not include corporate assets of $73.7 million as of March 31, 2026</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85"/>
        <w:gridCol w:w="146"/>
        <w:gridCol w:w="196"/>
        <w:gridCol w:w="751"/>
        <w:gridCol w:w="256"/>
        <w:gridCol w:w="146"/>
        <w:gridCol w:w="208"/>
        <w:gridCol w:w="798"/>
        <w:gridCol w:w="256"/>
        <w:gridCol w:w="146"/>
        <w:gridCol w:w="196"/>
        <w:gridCol w:w="691"/>
        <w:gridCol w:w="256"/>
        <w:gridCol w:w="146"/>
        <w:gridCol w:w="196"/>
        <w:gridCol w:w="691"/>
        <w:gridCol w:w="256"/>
        <w:gridCol w:w="146"/>
        <w:gridCol w:w="196"/>
        <w:gridCol w:w="751"/>
        <w:gridCol w:w="592"/>
      </w:tblGrid>
      <w:tr>
        <w:trPr/>
        <w:tc>
          <w:tcPr>
            <w:tcW w:w="3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w:t>
              <w:br/>
              <w:t>States</w:t>
              <w:br/>
              <w:t>(primarily</w:t>
              <w:br/>
              <w:t>Gulf of</w:t>
              <w:br/>
              <w:t>America)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Africa</w:t>
              <w:br/>
              <w:t>and Europe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Middle</w:t>
              <w:br/>
              <w:t>East</w:t>
              <w:br/>
              <w:t>and Asia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Latin</w:t>
              <w:br/>
              <w:t>America</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For the 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55,499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41,928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Direct Vessel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6,099</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13,571</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Administrative and general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Gains on asset dispositions and impairments,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236,337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105,046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881,961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(107,646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(125,722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(98,960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(33,094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(365,422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107,932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199,278</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137,377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71,952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516,539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Total Assets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237,451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186,108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89,247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650,406</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pPr>
      <w:r>
        <w:rPr>
          <w:rFonts w:ascii="Times New Roman" w:hAnsi="Times New Roman"/>
          <w:color w:val="000000"/>
          <w:sz w:val="16"/>
        </w:rPr>
        <w:t>Total Assets by region does not include corporate assets of $43.8 million as of March 31, 2025</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additional information, the following tables summarize the worldwide operating results and property and equipment for each of the Company’s vessel classes for the periods indicated (in thousands, except statistics):</w:t>
      </w:r>
    </w:p>
    <w:tbl>
      <w:tblPr>
        <w:tblW w:w="10205" w:type="dxa"/>
        <w:jc w:val="left"/>
        <w:tblInd w:w="0" w:type="dxa"/>
        <w:tblLayout w:type="fixed"/>
        <w:tblCellMar>
          <w:top w:w="28" w:type="dxa"/>
          <w:left w:w="28" w:type="dxa"/>
          <w:bottom w:w="28" w:type="dxa"/>
          <w:right w:w="28" w:type="dxa"/>
        </w:tblCellMar>
      </w:tblPr>
      <w:tblGrid>
        <w:gridCol w:w="2292"/>
        <w:gridCol w:w="146"/>
        <w:gridCol w:w="231"/>
        <w:gridCol w:w="409"/>
        <w:gridCol w:w="256"/>
        <w:gridCol w:w="146"/>
        <w:gridCol w:w="196"/>
        <w:gridCol w:w="751"/>
        <w:gridCol w:w="256"/>
        <w:gridCol w:w="146"/>
        <w:gridCol w:w="196"/>
        <w:gridCol w:w="691"/>
        <w:gridCol w:w="256"/>
        <w:gridCol w:w="146"/>
        <w:gridCol w:w="196"/>
        <w:gridCol w:w="691"/>
        <w:gridCol w:w="256"/>
        <w:gridCol w:w="146"/>
        <w:gridCol w:w="196"/>
        <w:gridCol w:w="661"/>
        <w:gridCol w:w="256"/>
        <w:gridCol w:w="146"/>
        <w:gridCol w:w="196"/>
        <w:gridCol w:w="751"/>
        <w:gridCol w:w="592"/>
      </w:tblGrid>
      <w:tr>
        <w:trPr/>
        <w:tc>
          <w:tcPr>
            <w:tcW w:w="2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AHTS </w:t>
            </w:r>
            <w:r>
              <w:rPr>
                <w:rFonts w:ascii="Times New Roman" w:hAnsi="Times New Roman"/>
                <w:b/>
                <w:color w:val="000000"/>
                <w:sz w:val="11"/>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FSV </w:t>
            </w:r>
            <w:r>
              <w:rPr>
                <w:rFonts w:ascii="Times New Roman" w:hAnsi="Times New Roman"/>
                <w:b/>
                <w:color w:val="000000"/>
                <w:sz w:val="11"/>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PSV </w:t>
            </w:r>
            <w:r>
              <w:rPr>
                <w:rFonts w:ascii="Times New Roman" w:hAnsi="Times New Roman"/>
                <w:b/>
                <w:color w:val="000000"/>
                <w:sz w:val="11"/>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Liftboats</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w:t>
              <w:br/>
              <w:t>activity</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For the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18,199</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3,897</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41,957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44,282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7,348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2,897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15,422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2,801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10,600</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3,292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5,199</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12,770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9,759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37,573</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10,330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20,534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Gains on asset dispositions and impairments,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7,448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(6,377</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338,427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120,755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752,640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(181,256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(77,879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(63,334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(19,321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(341,790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2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157,171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195,930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57,421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410,850</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Anchor handling towing supply vessel (“AHTS”).</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Fast support vessel (“FSV”).</w:t>
      </w:r>
    </w:p>
    <w:p>
      <w:pPr>
        <w:pStyle w:val="TextBody"/>
        <w:bidi w:val="0"/>
        <w:spacing w:before="40" w:after="200"/>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00"/>
        <w:jc w:val="both"/>
        <w:rPr/>
      </w:pPr>
      <w:r>
        <w:rPr>
          <w:rFonts w:ascii="Times New Roman" w:hAnsi="Times New Roman"/>
          <w:color w:val="000000"/>
          <w:sz w:val="16"/>
        </w:rPr>
        <w:t>Platform support vessel (“PSV”)</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6"/>
        <w:gridCol w:w="146"/>
        <w:gridCol w:w="196"/>
        <w:gridCol w:w="436"/>
        <w:gridCol w:w="241"/>
        <w:gridCol w:w="146"/>
        <w:gridCol w:w="196"/>
        <w:gridCol w:w="751"/>
        <w:gridCol w:w="241"/>
        <w:gridCol w:w="146"/>
        <w:gridCol w:w="196"/>
        <w:gridCol w:w="691"/>
        <w:gridCol w:w="241"/>
        <w:gridCol w:w="146"/>
        <w:gridCol w:w="196"/>
        <w:gridCol w:w="751"/>
        <w:gridCol w:w="241"/>
        <w:gridCol w:w="146"/>
        <w:gridCol w:w="196"/>
        <w:gridCol w:w="661"/>
        <w:gridCol w:w="241"/>
        <w:gridCol w:w="146"/>
        <w:gridCol w:w="196"/>
        <w:gridCol w:w="751"/>
        <w:gridCol w:w="591"/>
      </w:tblGrid>
      <w:tr>
        <w:trPr/>
        <w:tc>
          <w:tcPr>
            <w:tcW w:w="2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AHTS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FSV</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PSV</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Liftboats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Other</w:t>
              <w:br/>
              <w:t>activity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For the 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Time Charter Statistics: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Average Rates Per Day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13,786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19,424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Fleet Available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4,583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19,357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20,286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12,275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51,933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Bareboat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20,119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21,502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13,564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55,499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Direct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8,351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5,247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8,520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20,056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10,256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41,928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Administrative and general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11,486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12,810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Gains on asset dispositions and impairments,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5,809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(5,253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Historical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341,102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290,765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230,181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18,965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881,961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(164,077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(70,415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(111,390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(365,422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23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177,025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220,350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118,791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516,539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sz w:val="20"/>
        </w:rPr>
      </w:pPr>
      <w:r>
        <w:rPr>
          <w:rFonts w:ascii="Times New Roman" w:hAnsi="Times New Roman"/>
          <w:b/>
          <w:i/>
          <w:color w:val="000000"/>
          <w:sz w:val="24"/>
        </w:rPr>
        <w:t>Fleet Counts.</w:t>
      </w:r>
      <w:r>
        <w:rPr>
          <w:rFonts w:ascii="Times New Roman" w:hAnsi="Times New Roman"/>
          <w:color w:val="000000"/>
          <w:sz w:val="20"/>
        </w:rPr>
        <w:t xml:space="preserve"> </w:t>
      </w:r>
      <w:r>
        <w:rPr>
          <w:rFonts w:ascii="Times New Roman" w:hAnsi="Times New Roman"/>
          <w:color w:val="000000"/>
          <w:sz w:val="24"/>
        </w:rPr>
        <w:t>The Company’s fleet count as of March 31, 2026 and December 31, 2025 was as follows:</w:t>
      </w:r>
    </w:p>
    <w:tbl>
      <w:tblPr>
        <w:tblW w:w="3362" w:type="dxa"/>
        <w:jc w:val="left"/>
        <w:tblInd w:w="0" w:type="dxa"/>
        <w:tblLayout w:type="fixed"/>
        <w:tblCellMar>
          <w:top w:w="28" w:type="dxa"/>
          <w:left w:w="28" w:type="dxa"/>
          <w:bottom w:w="28" w:type="dxa"/>
          <w:right w:w="28" w:type="dxa"/>
        </w:tblCellMar>
      </w:tblPr>
      <w:tblGrid>
        <w:gridCol w:w="1561"/>
        <w:gridCol w:w="146"/>
        <w:gridCol w:w="223"/>
        <w:gridCol w:w="438"/>
        <w:gridCol w:w="146"/>
        <w:gridCol w:w="146"/>
        <w:gridCol w:w="172"/>
        <w:gridCol w:w="339"/>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Owned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Operating</w:t>
      </w:r>
      <w:r>
        <w:rPr>
          <w:rFonts w:ascii="Times New Roman" w:hAnsi="Times New Roman"/>
          <w:color w:val="000000"/>
          <w:sz w:val="20"/>
        </w:rPr>
        <w:t xml:space="preserve"> </w:t>
      </w:r>
      <w:r>
        <w:rPr>
          <w:rFonts w:ascii="Times New Roman" w:hAnsi="Times New Roman"/>
          <w:b/>
          <w:color w:val="000000"/>
          <w:sz w:val="24"/>
        </w:rPr>
        <w:t>Income</w:t>
      </w:r>
      <w:r>
        <w:rPr>
          <w:rFonts w:ascii="Times New Roman" w:hAnsi="Times New Roman"/>
          <w:color w:val="000000"/>
          <w:sz w:val="20"/>
        </w:rPr>
        <w:t xml:space="preserve"> </w:t>
      </w:r>
      <w:r>
        <w:rPr>
          <w:rFonts w:ascii="Times New Roman" w:hAnsi="Times New Roman"/>
          <w:b/>
          <w:color w:val="000000"/>
          <w:sz w:val="24"/>
        </w:rPr>
        <w:t>(Loss)</w:t>
      </w:r>
    </w:p>
    <w:p>
      <w:pPr>
        <w:pStyle w:val="TextBody"/>
        <w:bidi w:val="0"/>
        <w:spacing w:before="200" w:after="200"/>
        <w:jc w:val="both"/>
        <w:rPr>
          <w:rFonts w:ascii="Times New Roman" w:hAnsi="Times New Roman"/>
          <w:sz w:val="20"/>
        </w:rPr>
      </w:pPr>
      <w:r>
        <w:rPr>
          <w:rFonts w:ascii="Times New Roman" w:hAnsi="Times New Roman"/>
          <w:b/>
          <w:i/>
          <w:color w:val="000000"/>
          <w:sz w:val="24"/>
        </w:rPr>
        <w:t>United States, primarily Gulf of America.</w:t>
      </w:r>
      <w:r>
        <w:rPr>
          <w:rFonts w:ascii="Times New Roman" w:hAnsi="Times New Roman"/>
          <w:color w:val="000000"/>
          <w:sz w:val="20"/>
        </w:rPr>
        <w:t xml:space="preserve"> </w:t>
      </w:r>
      <w:r>
        <w:rPr>
          <w:rFonts w:ascii="Times New Roman" w:hAnsi="Times New Roman"/>
          <w:color w:val="000000"/>
          <w:sz w:val="24"/>
        </w:rPr>
        <w:t>For the three months ended March 31, 2026 and 2025 the Company’s time charter statistics and direct vessel loss in the U.S. were as follows (in thousands, except statistics):</w:t>
      </w:r>
    </w:p>
    <w:tbl>
      <w:tblPr>
        <w:tblW w:w="6842" w:type="dxa"/>
        <w:jc w:val="left"/>
        <w:tblInd w:w="0" w:type="dxa"/>
        <w:tblLayout w:type="fixed"/>
        <w:tblCellMar>
          <w:top w:w="28" w:type="dxa"/>
          <w:left w:w="28" w:type="dxa"/>
          <w:bottom w:w="28" w:type="dxa"/>
          <w:right w:w="28" w:type="dxa"/>
        </w:tblCellMar>
      </w:tblPr>
      <w:tblGrid>
        <w:gridCol w:w="2271"/>
        <w:gridCol w:w="146"/>
        <w:gridCol w:w="196"/>
        <w:gridCol w:w="601"/>
        <w:gridCol w:w="166"/>
        <w:gridCol w:w="146"/>
        <w:gridCol w:w="146"/>
        <w:gridCol w:w="376"/>
        <w:gridCol w:w="316"/>
        <w:gridCol w:w="146"/>
        <w:gridCol w:w="196"/>
        <w:gridCol w:w="601"/>
        <w:gridCol w:w="166"/>
        <w:gridCol w:w="146"/>
        <w:gridCol w:w="146"/>
        <w:gridCol w:w="376"/>
        <w:gridCol w:w="70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Rates Per Day Worked: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Utilization: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Vessel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Quarter compared with Prior Year Quarter</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4"/>
        </w:rPr>
        <w:t>. Charter revenues were $4.7 million lower in the Current Year Quarter compared with the Prior Year Quarter. Charter revenues were $4.6 million lower due to net asset dispositions and $1.0 million lower due to the repositioning of two vessels out of the region subsequent to the Prior Year Quarter. Charter revenues were $0.9 million higher for the vessels included in the results of this region in both comparative periods (as applicable to each region, the “Regional Core Fleet”), which consists of three vessels, due to higher average day rates of $15,323 in the Current Year Quarter compared to $12,375 in the Prior Year Quarter and higher utilization of 31% in the Current Year Quarter compared to 9% in the Prior Year Quarter. As of March 31, 2026, the Company had no vessels cold-stacked in this region compared with one of 12 owned vessels (one FSV) as of March 31, 2025.</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4"/>
        </w:rPr>
        <w:t>. Direct operating expenses were $7.5 million lower in the Current Year Quarter compared with the Prior Year Quarter. Direct operating expenses were $5.6 million lower due to net asset dispositions, $1.4 million lower due to the repositioning of vessels between geographic regions and $0.5 million lower for the Regional Core Fleet primarily due to the timing of drydocking and repair expenditures.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b/>
          <w:i/>
          <w:color w:val="000000"/>
          <w:sz w:val="24"/>
        </w:rPr>
        <w:t>Africa and Europe.</w:t>
      </w:r>
      <w:r>
        <w:rPr>
          <w:rFonts w:ascii="Times New Roman" w:hAnsi="Times New Roman"/>
          <w:color w:val="000000"/>
          <w:sz w:val="20"/>
        </w:rPr>
        <w:t xml:space="preserve"> </w:t>
      </w:r>
      <w:r>
        <w:rPr>
          <w:rFonts w:ascii="Times New Roman" w:hAnsi="Times New Roman"/>
          <w:color w:val="000000"/>
          <w:sz w:val="24"/>
        </w:rPr>
        <w:t>For the three months ended March 31, 2026 and 2025 the Company’s time charter statistics and direct vessel profit in Africa and Europe were as follows (in thousands, except statistics):</w:t>
      </w:r>
    </w:p>
    <w:tbl>
      <w:tblPr>
        <w:tblW w:w="6742" w:type="dxa"/>
        <w:jc w:val="left"/>
        <w:tblInd w:w="0" w:type="dxa"/>
        <w:tblLayout w:type="fixed"/>
        <w:tblCellMar>
          <w:top w:w="28" w:type="dxa"/>
          <w:left w:w="28" w:type="dxa"/>
          <w:bottom w:w="28" w:type="dxa"/>
          <w:right w:w="28" w:type="dxa"/>
        </w:tblCellMar>
      </w:tblPr>
      <w:tblGrid>
        <w:gridCol w:w="2271"/>
        <w:gridCol w:w="146"/>
        <w:gridCol w:w="196"/>
        <w:gridCol w:w="601"/>
        <w:gridCol w:w="146"/>
        <w:gridCol w:w="146"/>
        <w:gridCol w:w="146"/>
        <w:gridCol w:w="376"/>
        <w:gridCol w:w="256"/>
        <w:gridCol w:w="146"/>
        <w:gridCol w:w="196"/>
        <w:gridCol w:w="601"/>
        <w:gridCol w:w="146"/>
        <w:gridCol w:w="146"/>
        <w:gridCol w:w="146"/>
        <w:gridCol w:w="376"/>
        <w:gridCol w:w="70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Rates Per Day Worked: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Utilization: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Vessel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Quarter compared with Prior Year Quarter</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0"/>
        </w:rPr>
        <w:t xml:space="preserve"> </w:t>
      </w:r>
      <w:r>
        <w:rPr>
          <w:rFonts w:ascii="Times New Roman" w:hAnsi="Times New Roman"/>
          <w:color w:val="000000"/>
          <w:sz w:val="24"/>
        </w:rPr>
        <w:t>Charter revenues were $1.7 million higher in the Current Year Quarter compared with the Prior Year Quarter. Charter revenues were $2.5 million higher for the Regional Core Fleet, which consists of 16 vessels, primarily due to higher average day rates of $18,841 in the Current Year Quarter compared to $17,931 in the Prior Year Quarter and higher utilization of 82% in the Current Year Quarter compared to 76% in the Prior Year Quarter. Charter revenues were $0.8 million lower due to the repositioning of two vessels out of the region subsequent to the Prior Year Quarter. Other marine services were $0.3 million lower primarily due to lower catering revenues. As of March 31, 2026 and 2025, the Company had no vessels cold-stacked in this region.</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expenses were $2.4 million lower in the Current Year Quarter compared with the Prior Year Quarter. Direct operating expenses were $1.4 million lower due to the repositioning of vessels between geographic regions and $1.0 million lower for the Regional Core Fleet primarily due to the timing of certain drydocking and repair expenditures.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b/>
          <w:i/>
          <w:color w:val="000000"/>
          <w:sz w:val="24"/>
        </w:rPr>
        <w:t>Middle East and Asia.</w:t>
      </w:r>
      <w:r>
        <w:rPr>
          <w:rFonts w:ascii="Times New Roman" w:hAnsi="Times New Roman"/>
          <w:color w:val="000000"/>
          <w:sz w:val="20"/>
        </w:rPr>
        <w:t xml:space="preserve"> </w:t>
      </w:r>
      <w:r>
        <w:rPr>
          <w:rFonts w:ascii="Times New Roman" w:hAnsi="Times New Roman"/>
          <w:color w:val="000000"/>
          <w:sz w:val="24"/>
        </w:rPr>
        <w:t>For the three months ended March 31, 2026 and 2025 the Company’s time charter statistics and direct vessel (loss) profit in the Middle East and Asia were as follows (in thousands, except statistics):</w:t>
      </w:r>
    </w:p>
    <w:tbl>
      <w:tblPr>
        <w:tblW w:w="6822" w:type="dxa"/>
        <w:jc w:val="left"/>
        <w:tblInd w:w="0" w:type="dxa"/>
        <w:tblLayout w:type="fixed"/>
        <w:tblCellMar>
          <w:top w:w="28" w:type="dxa"/>
          <w:left w:w="28" w:type="dxa"/>
          <w:bottom w:w="28" w:type="dxa"/>
          <w:right w:w="28" w:type="dxa"/>
        </w:tblCellMar>
      </w:tblPr>
      <w:tblGrid>
        <w:gridCol w:w="2271"/>
        <w:gridCol w:w="146"/>
        <w:gridCol w:w="196"/>
        <w:gridCol w:w="601"/>
        <w:gridCol w:w="166"/>
        <w:gridCol w:w="146"/>
        <w:gridCol w:w="146"/>
        <w:gridCol w:w="376"/>
        <w:gridCol w:w="316"/>
        <w:gridCol w:w="146"/>
        <w:gridCol w:w="196"/>
        <w:gridCol w:w="601"/>
        <w:gridCol w:w="146"/>
        <w:gridCol w:w="146"/>
        <w:gridCol w:w="146"/>
        <w:gridCol w:w="376"/>
        <w:gridCol w:w="70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Rates Per Day Worked: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Utilization: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Vessel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Quarter compared with Prior Year Quarter</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0"/>
        </w:rPr>
        <w:t xml:space="preserve"> </w:t>
      </w:r>
      <w:r>
        <w:rPr>
          <w:rFonts w:ascii="Times New Roman" w:hAnsi="Times New Roman"/>
          <w:color w:val="000000"/>
          <w:sz w:val="24"/>
        </w:rPr>
        <w:t>Charter revenues were $6.1 million lower in the Current Year Quarter compared with the Prior Year Quarter. Charter revenues were $4.4 million lower for the Regional Core Fleet, which consists of ten vessels, due to lower utilization of 61% in the Current Year Quarter compared to 80% in the Prior Year Quarter and lower average day rates of $15,994 in the Current Year Quarter compared to $18,413 in the Prior Year Quarter. Charter revenues were $2.3 million lower due to the disposition of three vessels subsequent to the Prior Year Quarter and $0.6 million higher due to the repositioning of one vessel into the region subsequent to the Prior Year Quarter. Other marine services were $0.3 million higher primarily due to higher catering revenues. As of March 31, 2026 and 2025, the Company had no vessels cold-stacked in this region.</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expenses were $2.7 million higher in the Current Year Quarter compared with the Prior Year Quarter. Direct operating expenses were $3.7 million higher for the Regional Core Fleet primarily due to the timing of certain drydocking and repair expenditures, $0.5 million higher due to the repositioning of vessels between geographic regions and $1.5 million lower due to net asset dispositions.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both"/>
        <w:rPr>
          <w:rFonts w:ascii="Times New Roman" w:hAnsi="Times New Roman"/>
          <w:sz w:val="20"/>
        </w:rPr>
      </w:pPr>
      <w:r>
        <w:rPr>
          <w:rFonts w:ascii="Times New Roman" w:hAnsi="Times New Roman"/>
          <w:b/>
          <w:i/>
          <w:color w:val="000000"/>
          <w:sz w:val="24"/>
        </w:rPr>
        <w:t xml:space="preserve">Latin America (Brazil, Mexico, Guyana, and Central and South America). </w:t>
      </w:r>
      <w:r>
        <w:rPr>
          <w:rFonts w:ascii="Times New Roman" w:hAnsi="Times New Roman"/>
          <w:color w:val="000000"/>
          <w:sz w:val="24"/>
        </w:rPr>
        <w:t>For the three months ended March 31, 2026 and 2025 the Company’s time charter statistics and direct vessel profit in Latin America were as follows (in thousands, except statistics):</w:t>
      </w:r>
    </w:p>
    <w:tbl>
      <w:tblPr>
        <w:tblW w:w="6742" w:type="dxa"/>
        <w:jc w:val="left"/>
        <w:tblInd w:w="0" w:type="dxa"/>
        <w:tblLayout w:type="fixed"/>
        <w:tblCellMar>
          <w:top w:w="28" w:type="dxa"/>
          <w:left w:w="28" w:type="dxa"/>
          <w:bottom w:w="28" w:type="dxa"/>
          <w:right w:w="28" w:type="dxa"/>
        </w:tblCellMar>
      </w:tblPr>
      <w:tblGrid>
        <w:gridCol w:w="2271"/>
        <w:gridCol w:w="146"/>
        <w:gridCol w:w="196"/>
        <w:gridCol w:w="601"/>
        <w:gridCol w:w="146"/>
        <w:gridCol w:w="146"/>
        <w:gridCol w:w="146"/>
        <w:gridCol w:w="376"/>
        <w:gridCol w:w="256"/>
        <w:gridCol w:w="146"/>
        <w:gridCol w:w="196"/>
        <w:gridCol w:w="601"/>
        <w:gridCol w:w="146"/>
        <w:gridCol w:w="146"/>
        <w:gridCol w:w="146"/>
        <w:gridCol w:w="376"/>
        <w:gridCol w:w="701"/>
      </w:tblGrid>
      <w:tr>
        <w:trPr/>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March 31,</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Charter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Rates Per Day Worked: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Utilization: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Available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FSV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PSV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Liftboats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Overall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Time charter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Bareboat charter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marine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Repairs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Drydocking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loss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Fuel, lubes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 Vessel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Current Year Quarter compared with Prior Year Quarter</w:t>
      </w:r>
    </w:p>
    <w:p>
      <w:pPr>
        <w:pStyle w:val="TextBody"/>
        <w:bidi w:val="0"/>
        <w:spacing w:before="200" w:after="283"/>
        <w:jc w:val="both"/>
        <w:rPr>
          <w:rFonts w:ascii="Times New Roman" w:hAnsi="Times New Roman"/>
          <w:sz w:val="20"/>
        </w:rPr>
      </w:pPr>
      <w:r>
        <w:rPr>
          <w:rFonts w:ascii="Times New Roman" w:hAnsi="Times New Roman"/>
          <w:i/>
          <w:color w:val="000000"/>
          <w:sz w:val="24"/>
        </w:rPr>
        <w:t>Operating Revenues.</w:t>
      </w:r>
      <w:r>
        <w:rPr>
          <w:rFonts w:ascii="Times New Roman" w:hAnsi="Times New Roman"/>
          <w:color w:val="000000"/>
          <w:sz w:val="20"/>
        </w:rPr>
        <w:t xml:space="preserve"> </w:t>
      </w:r>
      <w:r>
        <w:rPr>
          <w:rFonts w:ascii="Times New Roman" w:hAnsi="Times New Roman"/>
          <w:color w:val="000000"/>
          <w:sz w:val="24"/>
        </w:rPr>
        <w:t>Charter revenues were $0.8 million lower in the Current Year Quarter compared with the Prior Year Quarter. Charter revenues were $1.6 million lower for the Regional Core Fleet, which consists of six vessels, primarily due to lower utilization of 60% in the Current Year Quarter compared to 70% in the Prior Year Quarter and lower average day rates of $21,255 in the Current Year Quarter compared to $22,686 in the Prior Year Quarter. Charter revenues were $0.8 million higher due to the repositioning of two vessels into the region subsequent to the Prior Year Quarter. Other marine services were $1.4 million lower primarily due to lower mobilization revenues. As of March 31, 2026 and 2025, the Company had no vessels cold-stacked in this region.</w:t>
      </w:r>
    </w:p>
    <w:p>
      <w:pPr>
        <w:pStyle w:val="TextBody"/>
        <w:bidi w:val="0"/>
        <w:spacing w:before="200" w:after="283"/>
        <w:jc w:val="both"/>
        <w:rPr>
          <w:rFonts w:ascii="Times New Roman" w:hAnsi="Times New Roman"/>
          <w:sz w:val="20"/>
        </w:rPr>
      </w:pPr>
      <w:r>
        <w:rPr>
          <w:rFonts w:ascii="Times New Roman" w:hAnsi="Times New Roman"/>
          <w:i/>
          <w:color w:val="000000"/>
          <w:sz w:val="24"/>
        </w:rPr>
        <w:t>Direct Operating Expenses.</w:t>
      </w:r>
      <w:r>
        <w:rPr>
          <w:rFonts w:ascii="Times New Roman" w:hAnsi="Times New Roman"/>
          <w:color w:val="000000"/>
          <w:sz w:val="20"/>
        </w:rPr>
        <w:t xml:space="preserve"> </w:t>
      </w:r>
      <w:r>
        <w:rPr>
          <w:rFonts w:ascii="Times New Roman" w:hAnsi="Times New Roman"/>
          <w:color w:val="000000"/>
          <w:sz w:val="24"/>
        </w:rPr>
        <w:t>Direct operating expenses were $2.8 million higher in the Current Year Quarter compared with the Prior Year Quarter. Direct operating expenses were $2.5 million higher due to the repositioning of vessels between geographic regions and $0.3 million higher for the Regional Core Fleet primarily due to the timing of certain repair expenditures.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u w:val="single"/>
        </w:rPr>
      </w:pPr>
      <w:r>
        <w:rPr>
          <w:rFonts w:ascii="Times New Roman" w:hAnsi="Times New Roman"/>
          <w:b/>
          <w:color w:val="000000"/>
          <w:sz w:val="24"/>
          <w:u w:val="single"/>
        </w:rPr>
        <w:t>Other Operating Expenses</w:t>
      </w:r>
    </w:p>
    <w:p>
      <w:pPr>
        <w:pStyle w:val="TextBody"/>
        <w:bidi w:val="0"/>
        <w:spacing w:before="200" w:after="283"/>
        <w:jc w:val="both"/>
        <w:rPr>
          <w:rFonts w:ascii="Times New Roman" w:hAnsi="Times New Roman"/>
          <w:sz w:val="20"/>
        </w:rPr>
      </w:pPr>
      <w:r>
        <w:rPr>
          <w:rFonts w:ascii="Times New Roman" w:hAnsi="Times New Roman"/>
          <w:b/>
          <w:i/>
          <w:color w:val="000000"/>
          <w:sz w:val="24"/>
        </w:rPr>
        <w:t>Lease expense.</w:t>
      </w:r>
      <w:r>
        <w:rPr>
          <w:rFonts w:ascii="Times New Roman" w:hAnsi="Times New Roman"/>
          <w:color w:val="000000"/>
          <w:sz w:val="20"/>
        </w:rPr>
        <w:t xml:space="preserve"> </w:t>
      </w:r>
      <w:r>
        <w:rPr>
          <w:rFonts w:ascii="Times New Roman" w:hAnsi="Times New Roman"/>
          <w:color w:val="000000"/>
          <w:sz w:val="24"/>
        </w:rPr>
        <w:t>Leased-in equipment expense for the Current Year Quarter was nearly flat compared to the Prior Year Quarter.</w:t>
      </w:r>
    </w:p>
    <w:p>
      <w:pPr>
        <w:pStyle w:val="TextBody"/>
        <w:bidi w:val="0"/>
        <w:spacing w:before="200" w:after="283"/>
        <w:jc w:val="both"/>
        <w:rPr>
          <w:rFonts w:ascii="Times New Roman" w:hAnsi="Times New Roman"/>
          <w:sz w:val="20"/>
        </w:rPr>
      </w:pPr>
      <w:r>
        <w:rPr>
          <w:rFonts w:ascii="Times New Roman" w:hAnsi="Times New Roman"/>
          <w:b/>
          <w:i/>
          <w:color w:val="000000"/>
          <w:sz w:val="24"/>
        </w:rPr>
        <w:t>Administrative and general.</w:t>
      </w:r>
      <w:r>
        <w:rPr>
          <w:rFonts w:ascii="Times New Roman" w:hAnsi="Times New Roman"/>
          <w:color w:val="000000"/>
          <w:sz w:val="20"/>
        </w:rPr>
        <w:t xml:space="preserve"> </w:t>
      </w:r>
      <w:r>
        <w:rPr>
          <w:rFonts w:ascii="Times New Roman" w:hAnsi="Times New Roman"/>
          <w:color w:val="000000"/>
          <w:sz w:val="24"/>
        </w:rPr>
        <w:t>Administrative and general expenses for the Current Year Quarter were $1.5 million lower compared to the Prior Year Quarter primarily due to decreases in wages and benefits expenses partially offset by increases in allowance for credit losses.</w:t>
      </w:r>
    </w:p>
    <w:p>
      <w:pPr>
        <w:pStyle w:val="TextBody"/>
        <w:bidi w:val="0"/>
        <w:spacing w:before="200" w:after="283"/>
        <w:jc w:val="both"/>
        <w:rPr>
          <w:rFonts w:ascii="Times New Roman" w:hAnsi="Times New Roman"/>
          <w:sz w:val="20"/>
        </w:rPr>
      </w:pPr>
      <w:r>
        <w:rPr>
          <w:rFonts w:ascii="Times New Roman" w:hAnsi="Times New Roman"/>
          <w:b/>
          <w:i/>
          <w:color w:val="000000"/>
          <w:sz w:val="24"/>
        </w:rPr>
        <w:t>Depreciation and amortization.</w:t>
      </w:r>
      <w:r>
        <w:rPr>
          <w:rFonts w:ascii="Times New Roman" w:hAnsi="Times New Roman"/>
          <w:color w:val="000000"/>
          <w:sz w:val="20"/>
        </w:rPr>
        <w:t xml:space="preserve"> </w:t>
      </w:r>
      <w:r>
        <w:rPr>
          <w:rFonts w:ascii="Times New Roman" w:hAnsi="Times New Roman"/>
          <w:color w:val="000000"/>
          <w:sz w:val="24"/>
        </w:rPr>
        <w:t>Depreciation and amortization expense for the Current Year Quarter were $2.5 million lower compared to the Prior Year Quarter due to net fleet changes.</w:t>
      </w:r>
    </w:p>
    <w:p>
      <w:pPr>
        <w:pStyle w:val="TextBody"/>
        <w:bidi w:val="0"/>
        <w:spacing w:before="200" w:after="283"/>
        <w:jc w:val="both"/>
        <w:rPr>
          <w:rFonts w:ascii="Times New Roman" w:hAnsi="Times New Roman"/>
          <w:sz w:val="20"/>
        </w:rPr>
      </w:pPr>
      <w:r>
        <w:rPr>
          <w:rFonts w:ascii="Times New Roman" w:hAnsi="Times New Roman"/>
          <w:b/>
          <w:i/>
          <w:color w:val="000000"/>
          <w:sz w:val="24"/>
        </w:rPr>
        <w:t>Gains (Losses) on Asset Dispositions and Impairments, Net.</w:t>
      </w:r>
      <w:r>
        <w:rPr>
          <w:rFonts w:ascii="Times New Roman" w:hAnsi="Times New Roman"/>
          <w:color w:val="000000"/>
          <w:sz w:val="20"/>
        </w:rPr>
        <w:t xml:space="preserve"> </w:t>
      </w:r>
      <w:r>
        <w:rPr>
          <w:rFonts w:ascii="Times New Roman" w:hAnsi="Times New Roman"/>
          <w:color w:val="000000"/>
          <w:sz w:val="24"/>
        </w:rPr>
        <w:t xml:space="preserve">During the Current Year Quarter, the Company sold one PSV, </w:t>
      </w:r>
      <w:r>
        <w:rPr>
          <w:rFonts w:ascii="Times New Roman" w:hAnsi="Times New Roman"/>
          <w:color w:val="222222"/>
          <w:sz w:val="24"/>
        </w:rPr>
        <w:t xml:space="preserve">previously classified as held for sale, and other equipment </w:t>
      </w:r>
      <w:r>
        <w:rPr>
          <w:rFonts w:ascii="Times New Roman" w:hAnsi="Times New Roman"/>
          <w:color w:val="000000"/>
          <w:sz w:val="24"/>
        </w:rPr>
        <w:t xml:space="preserve">for net cash proceeds of $12.8 million, after transaction costs, for a gain of $7.4 million. During the Prior Year Quarter, the Company sold one liftboat and </w:t>
      </w:r>
      <w:r>
        <w:rPr>
          <w:rFonts w:ascii="Times New Roman" w:hAnsi="Times New Roman"/>
          <w:color w:val="222222"/>
          <w:sz w:val="24"/>
        </w:rPr>
        <w:t xml:space="preserve">other equipment </w:t>
      </w:r>
      <w:r>
        <w:rPr>
          <w:rFonts w:ascii="Times New Roman" w:hAnsi="Times New Roman"/>
          <w:color w:val="000000"/>
          <w:sz w:val="24"/>
        </w:rPr>
        <w:t>for net cash proceeds of $8.5 million, after transaction costs, for a gain of $5.8 million.</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Other Income (Expense), Net</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For the three months ended March 31, 2026 and 2025, the Company’s other income (expense) was as follows (in thousands):</w:t>
      </w:r>
    </w:p>
    <w:tbl>
      <w:tblPr>
        <w:tblW w:w="5992" w:type="dxa"/>
        <w:jc w:val="left"/>
        <w:tblInd w:w="0" w:type="dxa"/>
        <w:tblLayout w:type="fixed"/>
        <w:tblCellMar>
          <w:top w:w="28" w:type="dxa"/>
          <w:left w:w="28" w:type="dxa"/>
          <w:bottom w:w="28" w:type="dxa"/>
          <w:right w:w="28" w:type="dxa"/>
        </w:tblCellMar>
      </w:tblPr>
      <w:tblGrid>
        <w:gridCol w:w="2856"/>
        <w:gridCol w:w="146"/>
        <w:gridCol w:w="261"/>
        <w:gridCol w:w="761"/>
        <w:gridCol w:w="221"/>
        <w:gridCol w:w="194"/>
        <w:gridCol w:w="261"/>
        <w:gridCol w:w="881"/>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(9,586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Derivative gains,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gains (losses),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(7,270</w:t>
            </w:r>
          </w:p>
        </w:tc>
        <w:tc>
          <w:tcPr>
            <w:tcW w:w="2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4"/>
        </w:rPr>
        <w:t>Interest income.</w:t>
      </w:r>
      <w:r>
        <w:rPr>
          <w:rFonts w:ascii="Times New Roman" w:hAnsi="Times New Roman"/>
          <w:color w:val="000000"/>
          <w:sz w:val="20"/>
        </w:rPr>
        <w:t xml:space="preserve"> </w:t>
      </w:r>
      <w:r>
        <w:rPr>
          <w:rFonts w:ascii="Times New Roman" w:hAnsi="Times New Roman"/>
          <w:color w:val="000000"/>
          <w:sz w:val="24"/>
        </w:rPr>
        <w:t>Interest income for the Current Year Quarter compared with the Prior Year Quarter was nearly flat</w:t>
      </w:r>
      <w:r>
        <w:rPr>
          <w:rFonts w:ascii="Times New Roman" w:hAnsi="Times New Roman"/>
          <w:color w:val="222222"/>
          <w:sz w:val="24"/>
        </w:rPr>
        <w:t>.</w:t>
      </w:r>
    </w:p>
    <w:p>
      <w:pPr>
        <w:pStyle w:val="TextBody"/>
        <w:bidi w:val="0"/>
        <w:spacing w:before="200" w:after="283"/>
        <w:jc w:val="both"/>
        <w:rPr>
          <w:rFonts w:ascii="Times New Roman" w:hAnsi="Times New Roman"/>
          <w:sz w:val="20"/>
        </w:rPr>
      </w:pPr>
      <w:r>
        <w:rPr>
          <w:rFonts w:ascii="Times New Roman" w:hAnsi="Times New Roman"/>
          <w:b/>
          <w:i/>
          <w:color w:val="000000"/>
          <w:sz w:val="24"/>
        </w:rPr>
        <w:t>Interest expense.</w:t>
      </w:r>
      <w:r>
        <w:rPr>
          <w:rFonts w:ascii="Times New Roman" w:hAnsi="Times New Roman"/>
          <w:color w:val="000000"/>
          <w:sz w:val="20"/>
        </w:rPr>
        <w:t xml:space="preserve"> </w:t>
      </w:r>
      <w:r>
        <w:rPr>
          <w:rFonts w:ascii="Times New Roman" w:hAnsi="Times New Roman"/>
          <w:color w:val="000000"/>
          <w:sz w:val="24"/>
        </w:rPr>
        <w:t>Interest expense was lower in the Current Year Quarter compared with the Prior Year Quarter primarily due to lower outstanding debt obligations on the 2024 SMFH Credit Facility (which bears interest at a fixed rate of 10.30% per annum).</w:t>
      </w:r>
    </w:p>
    <w:p>
      <w:pPr>
        <w:pStyle w:val="TextBody"/>
        <w:bidi w:val="0"/>
        <w:spacing w:before="200" w:after="283"/>
        <w:jc w:val="both"/>
        <w:rPr>
          <w:rFonts w:ascii="Times New Roman" w:hAnsi="Times New Roman"/>
          <w:sz w:val="20"/>
        </w:rPr>
      </w:pPr>
      <w:r>
        <w:rPr>
          <w:rFonts w:ascii="Times New Roman" w:hAnsi="Times New Roman"/>
          <w:b/>
          <w:i/>
          <w:color w:val="000000"/>
          <w:sz w:val="24"/>
        </w:rPr>
        <w:t>Derivative gains (losses), net.</w:t>
      </w:r>
      <w:r>
        <w:rPr>
          <w:rFonts w:ascii="Times New Roman" w:hAnsi="Times New Roman"/>
          <w:color w:val="000000"/>
          <w:sz w:val="20"/>
        </w:rPr>
        <w:t xml:space="preserve"> </w:t>
      </w:r>
      <w:r>
        <w:rPr>
          <w:rFonts w:ascii="Times New Roman" w:hAnsi="Times New Roman"/>
          <w:color w:val="000000"/>
          <w:sz w:val="24"/>
        </w:rPr>
        <w:t>Net derivative gains for the Current Year Quarter compared with the Prior Year Quarter decreased due to the Company no longer having an open forward currency exchange contract.</w:t>
      </w:r>
    </w:p>
    <w:p>
      <w:pPr>
        <w:pStyle w:val="TextBody"/>
        <w:bidi w:val="0"/>
        <w:spacing w:before="200" w:after="283"/>
        <w:jc w:val="both"/>
        <w:rPr>
          <w:rFonts w:ascii="Times New Roman" w:hAnsi="Times New Roman"/>
          <w:sz w:val="20"/>
        </w:rPr>
      </w:pPr>
      <w:r>
        <w:rPr>
          <w:rFonts w:ascii="Times New Roman" w:hAnsi="Times New Roman"/>
          <w:b/>
          <w:i/>
          <w:color w:val="000000"/>
          <w:sz w:val="24"/>
        </w:rPr>
        <w:t>Foreign currency gains (losses), net.</w:t>
      </w:r>
      <w:r>
        <w:rPr>
          <w:rFonts w:ascii="Times New Roman" w:hAnsi="Times New Roman"/>
          <w:color w:val="000000"/>
          <w:sz w:val="20"/>
        </w:rPr>
        <w:t xml:space="preserve"> </w:t>
      </w:r>
      <w:r>
        <w:rPr>
          <w:rFonts w:ascii="Times New Roman" w:hAnsi="Times New Roman"/>
          <w:color w:val="000000"/>
          <w:sz w:val="24"/>
        </w:rPr>
        <w:t>Net foreign currency gains for the Current Year Quarter compared with foreign currency losses in the Prior Year Quarter were primarily due to the strengthening of the U.S. dollar in relation to the pound sterling and the euro.</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Income Tax Expense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three months ended March 31, 2026, the Company’s effective income tax rate of 16.2% was primarily due to foreign taxes paid that are not creditable against U.S. income taxes and foreign losses for which there is no benefit in the U.S. for income tax purposes.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Equity in Earnings of 50% or Less Owned Companies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Equity in earnings of 50% or less owned companies for the Current Year Quarter compared with the Prior Year Quarter were $0.8 million lower due to the following changes in equity earnings (in thousands):</w:t>
      </w:r>
    </w:p>
    <w:tbl>
      <w:tblPr>
        <w:tblW w:w="4982" w:type="dxa"/>
        <w:jc w:val="left"/>
        <w:tblInd w:w="0" w:type="dxa"/>
        <w:tblLayout w:type="fixed"/>
        <w:tblCellMar>
          <w:top w:w="28" w:type="dxa"/>
          <w:left w:w="28" w:type="dxa"/>
          <w:bottom w:w="28" w:type="dxa"/>
          <w:right w:w="28" w:type="dxa"/>
        </w:tblCellMar>
      </w:tblPr>
      <w:tblGrid>
        <w:gridCol w:w="1921"/>
        <w:gridCol w:w="146"/>
        <w:gridCol w:w="347"/>
        <w:gridCol w:w="666"/>
        <w:gridCol w:w="294"/>
        <w:gridCol w:w="258"/>
        <w:gridCol w:w="347"/>
        <w:gridCol w:w="666"/>
        <w:gridCol w:w="14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SEACOR Marine Arabia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Liquidity and Capital Resources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General</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Company’s ongoing liquidity requirements arise primarily from working capital needs, capital commitments and its obligations to service outstanding debt and comply with covenants under its 2024 SMFH Credit Facility. The Company may use its liquidity to fund capital expenditures, make acquisitions or to make other investments. Sources of liquidity are cash balances, cash flows from operations and sales under the Company’s at-the-market offering program entered into on February 7, 2025 (the “ATM Program”), which has approximately $25.0 million of remaining sales capacity as of March 31, 2026. From time to time, the Company may secure additional liquidity through asset sales or the issuance of debt, shares of Common Stock or common stock of its subsidiaries, preferred stock or a combination thereof.</w:t>
      </w:r>
    </w:p>
    <w:p>
      <w:pPr>
        <w:pStyle w:val="TextBody"/>
        <w:bidi w:val="0"/>
        <w:spacing w:before="200" w:after="283"/>
        <w:jc w:val="both"/>
        <w:rPr>
          <w:rFonts w:ascii="Times New Roman" w:hAnsi="Times New Roman"/>
          <w:sz w:val="20"/>
        </w:rPr>
      </w:pPr>
      <w:r>
        <w:rPr>
          <w:rFonts w:ascii="Times New Roman" w:hAnsi="Times New Roman"/>
          <w:color w:val="000000"/>
          <w:sz w:val="24"/>
        </w:rPr>
        <w:t>As of March 31, 2026 and March 31, 2025, the Company held balances of cash, cash equivalents and restricted cash totaling $75.4 million and $45.4 million, respectively.</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As of March 31, 2026, the Company had outstanding debt of $327.4 million, net of debt discount and issue costs. The Company’s contractual long-term debt maturities as of March 31, 2026, are as follows (in thousands):</w:t>
      </w:r>
    </w:p>
    <w:tbl>
      <w:tblPr>
        <w:tblW w:w="3190" w:type="dxa"/>
        <w:jc w:val="left"/>
        <w:tblInd w:w="0" w:type="dxa"/>
        <w:tblLayout w:type="fixed"/>
        <w:tblCellMar>
          <w:top w:w="28" w:type="dxa"/>
          <w:left w:w="28" w:type="dxa"/>
          <w:bottom w:w="28" w:type="dxa"/>
          <w:right w:w="28" w:type="dxa"/>
        </w:tblCellMar>
      </w:tblPr>
      <w:tblGrid>
        <w:gridCol w:w="1966"/>
        <w:gridCol w:w="146"/>
        <w:gridCol w:w="196"/>
        <w:gridCol w:w="691"/>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Actual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Remainder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Years subsequent to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331,400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As of March 31, 2026, the Company had unfunded capital commitments of $44.3 million consisting of $42.3 million in respect of the construction of two PSVs, $1.7 million in respect of two hybrid battery power systems and $0.3 million for miscellaneous vessel equipment. Of the unfunded capital commitments, $26.1 million is payable during 2026 and the remainder is payable during 2027. As of March 31, 2026, $30.9 million remained in a restricted account designated to make payments on the construction of the two PSVs, of which $11.3 million were deposited during the first quarter of 2026 from the sale of one PSV, and the remainder from prior vessel sales, in accordance with the terms of the 2024 SMFH Credit Facility as previously described in the 2025 Annual Report. Additionally, the 2024 SMFH Credit Facility includes a dedicated $41.0 million tranche that may be used to pay up to 50% of the purchase price of these vessels. $16.4 million of this tranche was drawn as of March 31, 2026, with the remaining $24.6 million of this tranche remaining undrawn and available.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Summary of Cash Flows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The following is a summary of the Company’s cash flows for the three months ended March 31, 2026 and 2025 (in thousands):</w:t>
      </w:r>
    </w:p>
    <w:tbl>
      <w:tblPr>
        <w:tblW w:w="9306" w:type="dxa"/>
        <w:jc w:val="left"/>
        <w:tblInd w:w="0" w:type="dxa"/>
        <w:tblLayout w:type="fixed"/>
        <w:tblCellMar>
          <w:top w:w="28" w:type="dxa"/>
          <w:left w:w="28" w:type="dxa"/>
          <w:bottom w:w="28" w:type="dxa"/>
          <w:right w:w="28" w:type="dxa"/>
        </w:tblCellMar>
      </w:tblPr>
      <w:tblGrid>
        <w:gridCol w:w="6171"/>
        <w:gridCol w:w="146"/>
        <w:gridCol w:w="249"/>
        <w:gridCol w:w="842"/>
        <w:gridCol w:w="211"/>
        <w:gridCol w:w="185"/>
        <w:gridCol w:w="249"/>
        <w:gridCol w:w="842"/>
        <w:gridCol w:w="4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provided by or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Effects of Exchange Rate Changes on Cash, 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(17,684</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(30,712</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Operating Activities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Cash flows used in operating activities was $15.1 million in the Current Year Quarter, an increase of $3.6 million compared to $11.5 million in the Prior Year Quarter due to changes in working capital and a decrease in days worked primarily due to net fleet changes. The components of cash flows provided by and/or used in operating activities during the Current Year Quarter and Prior Year Quarter were as follows (in thousands):</w:t>
      </w:r>
    </w:p>
    <w:tbl>
      <w:tblPr>
        <w:tblW w:w="10171" w:type="dxa"/>
        <w:jc w:val="left"/>
        <w:tblInd w:w="0" w:type="dxa"/>
        <w:tblLayout w:type="fixed"/>
        <w:tblCellMar>
          <w:top w:w="28" w:type="dxa"/>
          <w:left w:w="28" w:type="dxa"/>
          <w:bottom w:w="28" w:type="dxa"/>
          <w:right w:w="28" w:type="dxa"/>
        </w:tblCellMar>
      </w:tblPr>
      <w:tblGrid>
        <w:gridCol w:w="7036"/>
        <w:gridCol w:w="146"/>
        <w:gridCol w:w="249"/>
        <w:gridCol w:w="842"/>
        <w:gridCol w:w="211"/>
        <w:gridCol w:w="185"/>
        <w:gridCol w:w="249"/>
        <w:gridCol w:w="842"/>
        <w:gridCol w:w="411"/>
      </w:tblGrid>
      <w:tr>
        <w:trPr/>
        <w:tc>
          <w:tcPr>
            <w:tcW w:w="7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DVP: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United States, primarily Gulf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Africa and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Middle East and Asia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Latin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leased-in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Administrative and general (excluding provisions for bad debts and amortization of share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 before interest and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settlements on derivative transactions,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Interest paid, excluding capitalized interest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(15,133</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(11,466</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During the Current Year Quarter capitalized interest paid and included in the purchase of property and equipment was $1.0 million. During the Prior Year Quarter, the Company paid no capitalized interest.</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Investing Activities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Current Year Quarter, net cash provided by investing activities was $6.7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capital expenditures were $6.1 million; and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4"/>
        </w:rPr>
        <w:t xml:space="preserve">the Company sold </w:t>
      </w:r>
      <w:r>
        <w:rPr>
          <w:rFonts w:ascii="Times New Roman" w:hAnsi="Times New Roman"/>
          <w:color w:val="222222"/>
          <w:sz w:val="24"/>
        </w:rPr>
        <w:t>one PSV, previously classified as held for sale, and other equipment</w:t>
      </w:r>
      <w:r>
        <w:rPr>
          <w:color w:val="000000"/>
        </w:rPr>
        <w:t xml:space="preserve"> </w:t>
      </w:r>
      <w:r>
        <w:rPr>
          <w:rFonts w:ascii="Times New Roman" w:hAnsi="Times New Roman"/>
          <w:color w:val="000000"/>
          <w:sz w:val="24"/>
        </w:rPr>
        <w:t>for net cash proceeds of $12.8 million, after transaction costs, for a gain of $7.4 million.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Prior Year Quarter, net cash used in investing activities was $12.3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capital expenditures were $20.8 million;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sold one liftboat and other equipment for net cash proceeds of $8.5 million, after transaction costs, for a gain of $5.8 million.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Financing Activities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Current Year Quarter, net cash used in financing activities was $9.2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 xml:space="preserve">the Company made scheduled payments on long-term debt and other obligations of $7.5 million;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payments on tax withholdings for restricted stock vesting of $1.7 million.</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During the Prior Year Quarter, net cash used in financing activities was $6.9 million primarily as a result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scheduled payments on long-term debt and other obligations of $5.0 million;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payments on long-term debt issuance costs of $0.4 million;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made payments on tax withholdings for restricted stock vesting of $1.5 million.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Short and Long-Term Liquidity Requirements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 believes that a combination of cash balances on hand, cash generated from operating activities and access to the credit and capital markets, including the $25.0 million in remaining sales capacity under the ATM Program, will provide sufficient liquidity to meet its obligations, including to support its capital expenditures, working capital needs, debt service requirements and covenant compliance over the short to long term. With respect to the remaining $42.3 million in capital expenditures related to the construction of two PSVs, up to $24.6 million remains available under Tranche B of the 2024 SMFH Credit Facility and $30.9 million of proceeds from vessel sales remained in a restricted account designated for these capital expenditures as of March 31, 2026.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or the availability of the credit and capital markets on acceptable terms. Management continuously monitors the Company’s liquidity and compliance with covenants in its 2024 SMFH Credit Facility.</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Debt Securities and Credit Agreements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debt securities and credit agreements, see “Note 4. Long-Term Debt” in the unaudited consolidated financial statements included in Part I. Item 1. “Financial Statements” elsewhere in this Quarterly Report on Form 10-Q and in “Note 5. Long-Term Debt” in the Company’s audited consolidated financial statements included in its 2025 Annual Report. There have been no material changes to the Company’s long-term debt during the period.</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Future Cash Requirements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future cash requirements, refer to “Management’s Discussion and Analysis of Financial Condition and Results of Operations - Liquidity and Capital Resources” in the Company’s 2025 Annual Report. There has been no material change in the Company’s future cash requirements since our fiscal year ended December 31, 2025, except as described in “Results of Operations - Liquidity and Capital Resources” in this Quarterly Report on Form 10-Q.</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Contingencies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contingencies, see “Note 9. Commitments and Contingencies” in the unaudited consolidated financial statements included in Part I. Item 1. “Financial Statements” elsewhere in this Quarterly Report on Form 10-Q.</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rPr>
      </w:pPr>
      <w:bookmarkStart w:id="12" w:name="item_3_quantitative_qualitative_disclosu"/>
      <w:bookmarkEnd w:id="12"/>
      <w:r>
        <w:rPr>
          <w:rFonts w:ascii="Times New Roman" w:hAnsi="Times New Roman"/>
          <w:b/>
          <w:color w:val="000000"/>
          <w:sz w:val="24"/>
        </w:rPr>
        <w:t>ITEM 3. QUANTITATIVE AND QUALITATIVE DISCLOSURES ABOUT MARKET RISK</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exposure to market risk, refer to “Quantitative and Qualitative Disclosures About Market Risk” included in the Company’s 2025 Annual Report. There has been no material change in the Company’s exposure to market risk during the three months ended March 31, 2026.</w:t>
      </w:r>
    </w:p>
    <w:p>
      <w:pPr>
        <w:pStyle w:val="TextBody"/>
        <w:bidi w:val="0"/>
        <w:spacing w:before="200" w:after="283"/>
        <w:jc w:val="both"/>
        <w:rPr>
          <w:rFonts w:ascii="Times New Roman" w:hAnsi="Times New Roman"/>
          <w:sz w:val="20"/>
        </w:rPr>
      </w:pPr>
      <w:bookmarkStart w:id="13" w:name="item_4_controls_procedures"/>
      <w:bookmarkEnd w:id="13"/>
      <w:r>
        <w:rPr>
          <w:rFonts w:ascii="Times New Roman" w:hAnsi="Times New Roman"/>
          <w:b/>
          <w:color w:val="000000"/>
          <w:sz w:val="24"/>
        </w:rPr>
        <w:t>ITEM 4. CONTROLS</w:t>
      </w:r>
      <w:r>
        <w:rPr>
          <w:rFonts w:ascii="Times New Roman" w:hAnsi="Times New Roman"/>
          <w:color w:val="000000"/>
          <w:sz w:val="20"/>
        </w:rPr>
        <w:t xml:space="preserve"> </w:t>
      </w:r>
      <w:r>
        <w:rPr>
          <w:rFonts w:ascii="Times New Roman" w:hAnsi="Times New Roman"/>
          <w:b/>
          <w:color w:val="000000"/>
          <w:sz w:val="24"/>
        </w:rPr>
        <w:t>AND PROCEDURES</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Evaluation of Disclosure Controls and Procedures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With the participation of the Company’s principal executive officer and principal financial officer, management evaluated the effectiveness of the Company’s disclosure controls and procedures (as defined in Rules 13a-15(e) and 15d-15(e) under the Exchange Act), as of March 31, 2026. Based on their evaluation, the Company’s principal executive officer and principal financial officer concluded that the Company’s disclosure controls and procedures were effective as of March 31, 2026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The Company’s disclosure controls and procedures have been designed to ensure that information required to be disclosed by the Company in the reports it files or submits under the Exchange Act is recorded, processed, summarized and reported to the Company’s management, including its principal executive and principal financial officers, within the time periods specified in the SEC’s rules and forms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pStyle w:val="TextBody"/>
        <w:bidi w:val="0"/>
        <w:spacing w:before="200" w:after="283"/>
        <w:jc w:val="both"/>
        <w:rPr>
          <w:rFonts w:ascii="Times New Roman" w:hAnsi="Times New Roman"/>
          <w:b/>
          <w:color w:val="000000"/>
          <w:sz w:val="24"/>
        </w:rPr>
      </w:pPr>
      <w:r>
        <w:rPr>
          <w:rFonts w:ascii="Times New Roman" w:hAnsi="Times New Roman"/>
          <w:b/>
          <w:color w:val="000000"/>
          <w:sz w:val="24"/>
        </w:rPr>
        <w:t>Changes in Internal Control Over Financial Reporting</w:t>
      </w:r>
    </w:p>
    <w:p>
      <w:pPr>
        <w:pStyle w:val="TextBody"/>
        <w:bidi w:val="0"/>
        <w:spacing w:before="200" w:after="283"/>
        <w:jc w:val="both"/>
        <w:rPr>
          <w:rFonts w:ascii="Times New Roman" w:hAnsi="Times New Roman"/>
          <w:sz w:val="20"/>
        </w:rPr>
      </w:pPr>
      <w:r>
        <w:rPr>
          <w:rFonts w:ascii="Times New Roman" w:hAnsi="Times New Roman"/>
          <w:color w:val="000000"/>
          <w:sz w:val="24"/>
        </w:rPr>
        <w:t>There have been no changes in the Company’s internal control over financial reporting (as defined in Rules 13a-15(f) and 15d-15(f) under the Exchange Act) that occurred during the Current Year Quarter</w:t>
      </w:r>
      <w:r>
        <w:rPr>
          <w:rFonts w:ascii="Times New Roman" w:hAnsi="Times New Roman"/>
          <w:color w:val="000000"/>
          <w:sz w:val="20"/>
        </w:rPr>
        <w:t xml:space="preserve"> </w:t>
      </w:r>
      <w:r>
        <w:rPr>
          <w:rFonts w:ascii="Times New Roman" w:hAnsi="Times New Roman"/>
          <w:color w:val="000000"/>
          <w:sz w:val="24"/>
        </w:rPr>
        <w:t>that have materially affected, or are reasonably likely to materially affect, the Company’s internal control over financial reporting.</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4" w:name="part_iior_information"/>
      <w:bookmarkEnd w:id="14"/>
      <w:r>
        <w:rPr>
          <w:rFonts w:ascii="Times New Roman" w:hAnsi="Times New Roman"/>
          <w:b/>
          <w:color w:val="000000"/>
          <w:sz w:val="24"/>
        </w:rPr>
        <w:t>PART II—OTHER</w:t>
      </w:r>
      <w:r>
        <w:rPr>
          <w:rFonts w:ascii="Times New Roman" w:hAnsi="Times New Roman"/>
          <w:color w:val="000000"/>
          <w:sz w:val="20"/>
        </w:rPr>
        <w:t xml:space="preserve"> </w:t>
      </w:r>
      <w:r>
        <w:rPr>
          <w:rFonts w:ascii="Times New Roman" w:hAnsi="Times New Roman"/>
          <w:b/>
          <w:color w:val="000000"/>
          <w:sz w:val="24"/>
        </w:rPr>
        <w:t>INFORMATION</w:t>
      </w:r>
    </w:p>
    <w:p>
      <w:pPr>
        <w:pStyle w:val="TextBody"/>
        <w:bidi w:val="0"/>
        <w:spacing w:before="200" w:after="283"/>
        <w:jc w:val="both"/>
        <w:rPr>
          <w:rFonts w:ascii="Times New Roman" w:hAnsi="Times New Roman"/>
          <w:sz w:val="20"/>
        </w:rPr>
      </w:pPr>
      <w:bookmarkStart w:id="15" w:name="item_1_legal_proceedings"/>
      <w:bookmarkEnd w:id="15"/>
      <w:r>
        <w:rPr>
          <w:rFonts w:ascii="Times New Roman" w:hAnsi="Times New Roman"/>
          <w:b/>
          <w:color w:val="000000"/>
          <w:sz w:val="24"/>
        </w:rPr>
        <w:t>ITEM 1. LEGAL</w:t>
      </w:r>
      <w:r>
        <w:rPr>
          <w:rFonts w:ascii="Times New Roman" w:hAnsi="Times New Roman"/>
          <w:color w:val="000000"/>
          <w:sz w:val="20"/>
        </w:rPr>
        <w:t xml:space="preserve"> </w:t>
      </w:r>
      <w:r>
        <w:rPr>
          <w:rFonts w:ascii="Times New Roman" w:hAnsi="Times New Roman"/>
          <w:b/>
          <w:color w:val="000000"/>
          <w:sz w:val="24"/>
        </w:rPr>
        <w:t>PROCEEDINGS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description of developments with respect to pending legal proceedings described in the Company’s 2025 Annual Report, see “Note 9. Commitments and Contingencies” in the unaudited consolidated financial statements included in Part I. Item 1. “Financial Statements” elsewhere in this Quarterly Report on Form 10-Q.</w:t>
      </w:r>
    </w:p>
    <w:p>
      <w:pPr>
        <w:pStyle w:val="TextBody"/>
        <w:bidi w:val="0"/>
        <w:spacing w:before="200" w:after="283"/>
        <w:jc w:val="both"/>
        <w:rPr>
          <w:rFonts w:ascii="Times New Roman" w:hAnsi="Times New Roman"/>
          <w:b/>
          <w:color w:val="000000"/>
          <w:sz w:val="24"/>
        </w:rPr>
      </w:pPr>
      <w:bookmarkStart w:id="16" w:name="item_1a_risk_factors"/>
      <w:bookmarkEnd w:id="16"/>
      <w:r>
        <w:rPr>
          <w:rFonts w:ascii="Times New Roman" w:hAnsi="Times New Roman"/>
          <w:b/>
          <w:color w:val="000000"/>
          <w:sz w:val="24"/>
        </w:rPr>
        <w:t>ITEM 1A. RISK FACTORS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a discussion of the Company’s risk factors, refer to “Risk Factors” included in the Company’s 2025 Annual Report. There have been no material changes in the Company’s risk factors during the Current Year Quarter.</w:t>
      </w:r>
    </w:p>
    <w:p>
      <w:pPr>
        <w:pStyle w:val="TextBody"/>
        <w:bidi w:val="0"/>
        <w:spacing w:before="200" w:after="283"/>
        <w:jc w:val="both"/>
        <w:rPr>
          <w:rFonts w:ascii="Times New Roman" w:hAnsi="Times New Roman"/>
          <w:b/>
          <w:color w:val="000000"/>
          <w:sz w:val="24"/>
        </w:rPr>
      </w:pPr>
      <w:bookmarkStart w:id="17" w:name="item_2_unregistered_sales_equity_securit"/>
      <w:bookmarkEnd w:id="17"/>
      <w:r>
        <w:rPr>
          <w:rFonts w:ascii="Times New Roman" w:hAnsi="Times New Roman"/>
          <w:b/>
          <w:color w:val="000000"/>
          <w:sz w:val="24"/>
        </w:rPr>
        <w:t>ITEM 2. UNREGISTERED SALES OF EQUITY SECURITIES AND USE OF PROCEEDS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(a), (b) None.</w:t>
      </w:r>
    </w:p>
    <w:p>
      <w:pPr>
        <w:pStyle w:val="TextBody"/>
        <w:bidi w:val="0"/>
        <w:spacing w:before="120" w:after="200"/>
        <w:jc w:val="both"/>
        <w:rPr>
          <w:rFonts w:ascii="Times New Roman" w:hAnsi="Times New Roman"/>
          <w:color w:val="000000"/>
          <w:sz w:val="24"/>
        </w:rPr>
      </w:pPr>
      <w:r>
        <w:rPr>
          <w:rFonts w:ascii="Times New Roman" w:hAnsi="Times New Roman"/>
          <w:color w:val="000000"/>
          <w:sz w:val="24"/>
        </w:rPr>
        <w:t>(c) This table provides information with respect to purchases by the Company of shares of its Common Stock during the Current Year Quarter:</w:t>
      </w:r>
    </w:p>
    <w:tbl>
      <w:tblPr>
        <w:tblW w:w="10205" w:type="dxa"/>
        <w:jc w:val="left"/>
        <w:tblInd w:w="0" w:type="dxa"/>
        <w:tblLayout w:type="fixed"/>
        <w:tblCellMar>
          <w:top w:w="28" w:type="dxa"/>
          <w:left w:w="28" w:type="dxa"/>
          <w:bottom w:w="28" w:type="dxa"/>
          <w:right w:w="28" w:type="dxa"/>
        </w:tblCellMar>
      </w:tblPr>
      <w:tblGrid>
        <w:gridCol w:w="2825"/>
        <w:gridCol w:w="146"/>
        <w:gridCol w:w="253"/>
        <w:gridCol w:w="1212"/>
        <w:gridCol w:w="146"/>
        <w:gridCol w:w="146"/>
        <w:gridCol w:w="452"/>
        <w:gridCol w:w="978"/>
        <w:gridCol w:w="146"/>
        <w:gridCol w:w="146"/>
        <w:gridCol w:w="477"/>
        <w:gridCol w:w="1136"/>
        <w:gridCol w:w="146"/>
        <w:gridCol w:w="146"/>
        <w:gridCol w:w="489"/>
        <w:gridCol w:w="1165"/>
        <w:gridCol w:w="196"/>
      </w:tblGrid>
      <w:tr>
        <w:trPr/>
        <w:tc>
          <w:tcPr>
            <w:tcW w:w="2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8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Average 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Number of</w:t>
              <w:br/>
              <w:t>Shares Purchased</w:t>
              <w:br/>
              <w:t>as Part of a Publicly</w:t>
              <w:br/>
              <w:t>Announced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Maximum Number</w:t>
              <w:br/>
              <w:t>of Shares that may</w:t>
              <w:br/>
              <w:t>be Purchased Under</w:t>
              <w:br/>
              <w:t>the Plan</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January 1, 2026 to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1, 2026 to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 2026 to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4"/>
        </w:rPr>
      </w:pPr>
      <w:r>
        <w:rPr>
          <w:rFonts w:ascii="Times New Roman" w:hAnsi="Times New Roman"/>
          <w:color w:val="000000"/>
          <w:sz w:val="24"/>
        </w:rPr>
        <w:t>For the three months ended March 31, 2026, the Company acquired for treasury (i) 215,466 shares of Common Stock from its employees to cover their tax withholding obligations upon the vesting of restricted share awards for an aggregate purchase price of $1,644,006 and (ii) 12,721 shares of Common Stock from its employees to cover their tax withholding obligations upon the vesting of performance-based restricted stock units for an aggregate purchase price of $92,991. These shares were purchased in accordance with the terms of the Company’s 2022 Equity Incentive Plan.</w:t>
      </w:r>
    </w:p>
    <w:p>
      <w:pPr>
        <w:pStyle w:val="TextBody"/>
        <w:bidi w:val="0"/>
        <w:spacing w:before="200" w:after="283"/>
        <w:jc w:val="both"/>
        <w:rPr>
          <w:rFonts w:ascii="Times New Roman" w:hAnsi="Times New Roman"/>
          <w:b/>
          <w:color w:val="000000"/>
          <w:sz w:val="24"/>
        </w:rPr>
      </w:pPr>
      <w:bookmarkStart w:id="18" w:name="item_3_default_upon_senior_securities"/>
      <w:bookmarkEnd w:id="18"/>
      <w:r>
        <w:rPr>
          <w:rFonts w:ascii="Times New Roman" w:hAnsi="Times New Roman"/>
          <w:b/>
          <w:color w:val="000000"/>
          <w:sz w:val="24"/>
        </w:rPr>
        <w:t>ITEM 3. DEFAULT UPON SENIOR SECURITIES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None.</w:t>
      </w:r>
    </w:p>
    <w:p>
      <w:pPr>
        <w:pStyle w:val="TextBody"/>
        <w:bidi w:val="0"/>
        <w:spacing w:before="200" w:after="283"/>
        <w:jc w:val="both"/>
        <w:rPr>
          <w:rFonts w:ascii="Times New Roman" w:hAnsi="Times New Roman"/>
          <w:b/>
          <w:color w:val="000000"/>
          <w:sz w:val="24"/>
        </w:rPr>
      </w:pPr>
      <w:bookmarkStart w:id="19" w:name="item_4_mine_safety_disclosures"/>
      <w:bookmarkEnd w:id="19"/>
      <w:r>
        <w:rPr>
          <w:rFonts w:ascii="Times New Roman" w:hAnsi="Times New Roman"/>
          <w:b/>
          <w:color w:val="000000"/>
          <w:sz w:val="24"/>
        </w:rPr>
        <w:t>ITEM 4. MINE SAFETY DISCLOSURES</w:t>
      </w:r>
    </w:p>
    <w:p>
      <w:pPr>
        <w:pStyle w:val="TextBody"/>
        <w:bidi w:val="0"/>
        <w:spacing w:before="200" w:after="283"/>
        <w:jc w:val="both"/>
        <w:rPr>
          <w:rFonts w:ascii="Times New Roman" w:hAnsi="Times New Roman"/>
          <w:color w:val="000000"/>
          <w:sz w:val="24"/>
        </w:rPr>
      </w:pPr>
      <w:r>
        <w:rPr>
          <w:rFonts w:ascii="Times New Roman" w:hAnsi="Times New Roman"/>
          <w:color w:val="000000"/>
          <w:sz w:val="24"/>
        </w:rPr>
        <w:t>Not applicable.</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bookmarkStart w:id="20" w:name="item_5_or_information"/>
      <w:bookmarkEnd w:id="20"/>
      <w:r>
        <w:rPr>
          <w:rFonts w:ascii="Times New Roman" w:hAnsi="Times New Roman"/>
          <w:b/>
          <w:color w:val="000000"/>
          <w:sz w:val="24"/>
        </w:rPr>
        <w:t>ITEM 5. OTHER</w:t>
      </w:r>
      <w:r>
        <w:rPr>
          <w:rFonts w:ascii="Times New Roman" w:hAnsi="Times New Roman"/>
          <w:color w:val="000000"/>
          <w:sz w:val="20"/>
        </w:rPr>
        <w:t xml:space="preserve"> </w:t>
      </w:r>
      <w:r>
        <w:rPr>
          <w:rFonts w:ascii="Times New Roman" w:hAnsi="Times New Roman"/>
          <w:b/>
          <w:color w:val="000000"/>
          <w:sz w:val="24"/>
        </w:rPr>
        <w:t>INFORMATION</w:t>
      </w:r>
    </w:p>
    <w:p>
      <w:pPr>
        <w:pStyle w:val="TextBody"/>
        <w:bidi w:val="0"/>
        <w:spacing w:before="200" w:after="200"/>
        <w:jc w:val="both"/>
        <w:rPr>
          <w:rFonts w:ascii="Times New Roman" w:hAnsi="Times New Roman"/>
          <w:sz w:val="20"/>
        </w:rPr>
      </w:pPr>
      <w:r>
        <w:rPr>
          <w:rFonts w:ascii="Times New Roman" w:hAnsi="Times New Roman"/>
          <w:color w:val="000000"/>
          <w:sz w:val="24"/>
        </w:rPr>
        <w:t>During the first quarter of 2026, none of our directors or Section 16 officers adopted</w:t>
      </w:r>
      <w:r>
        <w:rPr>
          <w:rFonts w:ascii="Times New Roman" w:hAnsi="Times New Roman"/>
          <w:color w:val="000000"/>
          <w:sz w:val="20"/>
        </w:rPr>
        <w:t xml:space="preserve"> </w:t>
      </w:r>
      <w:r>
        <w:rPr>
          <w:rFonts w:ascii="Times New Roman" w:hAnsi="Times New Roman"/>
          <w:color w:val="000000"/>
          <w:sz w:val="24"/>
        </w:rPr>
        <w:t>or terminated</w:t>
      </w:r>
      <w:r>
        <w:rPr>
          <w:rFonts w:ascii="Times New Roman" w:hAnsi="Times New Roman"/>
          <w:color w:val="000000"/>
          <w:sz w:val="20"/>
        </w:rPr>
        <w:t xml:space="preserve"> </w:t>
      </w:r>
      <w:r>
        <w:rPr>
          <w:rFonts w:ascii="Times New Roman" w:hAnsi="Times New Roman"/>
          <w:color w:val="000000"/>
          <w:sz w:val="24"/>
        </w:rPr>
        <w:t>a “Rule 10b5-1 trading arrangement” or “non-Rule 10b5-1 trading arrangement” (as each term is defined in Item 408(a) of Regulation S-K), except as set forth in the table below:</w:t>
      </w:r>
    </w:p>
    <w:tbl>
      <w:tblPr>
        <w:tblW w:w="10205" w:type="dxa"/>
        <w:jc w:val="left"/>
        <w:tblInd w:w="0" w:type="dxa"/>
        <w:tblLayout w:type="fixed"/>
        <w:tblCellMar>
          <w:top w:w="28" w:type="dxa"/>
          <w:left w:w="28" w:type="dxa"/>
          <w:bottom w:w="28" w:type="dxa"/>
          <w:right w:w="28" w:type="dxa"/>
        </w:tblCellMar>
      </w:tblPr>
      <w:tblGrid>
        <w:gridCol w:w="2103"/>
        <w:gridCol w:w="146"/>
        <w:gridCol w:w="886"/>
        <w:gridCol w:w="146"/>
        <w:gridCol w:w="784"/>
        <w:gridCol w:w="146"/>
        <w:gridCol w:w="1603"/>
        <w:gridCol w:w="146"/>
        <w:gridCol w:w="1669"/>
        <w:gridCol w:w="146"/>
        <w:gridCol w:w="2430"/>
      </w:tblGrid>
      <w:tr>
        <w:trPr/>
        <w:tc>
          <w:tcPr>
            <w:tcW w:w="21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c>
          <w:tcPr>
            <w:tcW w:w="21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Type of Trading Arrangement</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Duration of Trading Arrangement</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Number of Securities to be Sold pursuant to Trading Arrangement</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Andrew H. Everett II, Senior Vice President, General Counsel and Secretary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9,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15,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145,000 shares of Common Stock</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Gellert, President and Chief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15,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Up to 224,362 shares of Common Stock</w:t>
            </w:r>
            <w:r>
              <w:rPr>
                <w:rFonts w:ascii="Times New Roman" w:hAnsi="Times New Roman"/>
                <w:color w:val="000000"/>
                <w:sz w:val="13"/>
              </w:rPr>
              <w:t>(3)</w:t>
            </w:r>
          </w:p>
        </w:tc>
      </w:tr>
      <w:tr>
        <w:trPr/>
        <w:tc>
          <w:tcPr>
            <w:tcW w:w="21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Jesús Llorca, Executive Vice President and 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15,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Up to 399,113 shares of Common Stock</w:t>
            </w:r>
            <w:r>
              <w:rPr>
                <w:rFonts w:ascii="Times New Roman" w:hAnsi="Times New Roman"/>
                <w:color w:val="000000"/>
                <w:sz w:val="13"/>
              </w:rPr>
              <w:t>(4)</w:t>
            </w:r>
          </w:p>
        </w:tc>
      </w:tr>
      <w:tr>
        <w:trPr/>
        <w:tc>
          <w:tcPr>
            <w:tcW w:w="21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Gregory Rossmiller, Senior Vice President and Chief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Rule 10b5-1 trading arrangement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15,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 to 121,329 shares of Common Stock</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Each trading arrangement marked as a “Rule 10b5-1 trading arrangement” is intended to satisfy the affirmative defense of Rule 10b5-1(c).</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Each trading arrangement permits transactions through and including the earlier to occur of (i) the completion of all sales under the trading arrangement and (ii) the date listed in the table.</w:t>
      </w:r>
    </w:p>
    <w:p>
      <w:pPr>
        <w:pStyle w:val="TextBody"/>
        <w:bidi w:val="0"/>
        <w:spacing w:before="4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40" w:after="283"/>
        <w:jc w:val="both"/>
        <w:rPr>
          <w:rFonts w:ascii="Times New Roman" w:hAnsi="Times New Roman"/>
          <w:sz w:val="24"/>
        </w:rPr>
      </w:pPr>
      <w:r>
        <w:rPr>
          <w:rFonts w:ascii="Times New Roman" w:hAnsi="Times New Roman"/>
          <w:color w:val="000000"/>
          <w:sz w:val="16"/>
        </w:rPr>
        <w:t>Mr. Gellert</w:t>
      </w:r>
      <w:r>
        <w:rPr>
          <w:rFonts w:ascii="Times New Roman" w:hAnsi="Times New Roman"/>
          <w:color w:val="000000"/>
          <w:sz w:val="24"/>
        </w:rPr>
        <w:t>’</w:t>
      </w:r>
      <w:r>
        <w:rPr>
          <w:rFonts w:ascii="Times New Roman" w:hAnsi="Times New Roman"/>
          <w:color w:val="000000"/>
          <w:sz w:val="16"/>
        </w:rPr>
        <w:t>s Rule 10b5-1 trading arrangement provides for the potential sale of up to (i) 74,362</w:t>
      </w:r>
      <w:r>
        <w:rPr>
          <w:rFonts w:ascii="Times New Roman" w:hAnsi="Times New Roman"/>
          <w:color w:val="000000"/>
          <w:sz w:val="24"/>
        </w:rPr>
        <w:t xml:space="preserve"> </w:t>
      </w:r>
      <w:r>
        <w:rPr>
          <w:rFonts w:ascii="Times New Roman" w:hAnsi="Times New Roman"/>
          <w:color w:val="000000"/>
          <w:sz w:val="16"/>
        </w:rPr>
        <w:t>shares of Common Stock and (ii) 150,000</w:t>
      </w:r>
      <w:r>
        <w:rPr>
          <w:rFonts w:ascii="Times New Roman" w:hAnsi="Times New Roman"/>
          <w:color w:val="000000"/>
          <w:sz w:val="24"/>
        </w:rPr>
        <w:t xml:space="preserve"> </w:t>
      </w:r>
      <w:r>
        <w:rPr>
          <w:rFonts w:ascii="Times New Roman" w:hAnsi="Times New Roman"/>
          <w:color w:val="000000"/>
          <w:sz w:val="16"/>
        </w:rPr>
        <w:t>shares of Common Stock issuable upon the exercise of options to acquire shares of Common Stock.</w:t>
      </w:r>
    </w:p>
    <w:p>
      <w:pPr>
        <w:pStyle w:val="TextBody"/>
        <w:bidi w:val="0"/>
        <w:spacing w:before="40" w:after="200"/>
        <w:jc w:val="both"/>
        <w:rPr>
          <w:rFonts w:ascii="Times New Roman" w:hAnsi="Times New Roman"/>
          <w:color w:val="000000"/>
          <w:sz w:val="18"/>
        </w:rPr>
      </w:pPr>
      <w:r>
        <w:rPr>
          <w:rFonts w:ascii="Times New Roman" w:hAnsi="Times New Roman"/>
          <w:color w:val="000000"/>
          <w:sz w:val="18"/>
        </w:rPr>
        <w:t>(4)</w:t>
      </w:r>
    </w:p>
    <w:p>
      <w:pPr>
        <w:pStyle w:val="TextBody"/>
        <w:bidi w:val="0"/>
        <w:spacing w:before="40" w:after="200"/>
        <w:jc w:val="both"/>
        <w:rPr>
          <w:rFonts w:ascii="Times New Roman" w:hAnsi="Times New Roman"/>
          <w:sz w:val="24"/>
        </w:rPr>
      </w:pPr>
      <w:r>
        <w:rPr>
          <w:rFonts w:ascii="Times New Roman" w:hAnsi="Times New Roman"/>
          <w:color w:val="000000"/>
          <w:sz w:val="16"/>
        </w:rPr>
        <w:t>Mr. Llorca</w:t>
      </w:r>
      <w:r>
        <w:rPr>
          <w:rFonts w:ascii="Times New Roman" w:hAnsi="Times New Roman"/>
          <w:color w:val="000000"/>
          <w:sz w:val="24"/>
        </w:rPr>
        <w:t>’</w:t>
      </w:r>
      <w:r>
        <w:rPr>
          <w:rFonts w:ascii="Times New Roman" w:hAnsi="Times New Roman"/>
          <w:color w:val="000000"/>
          <w:sz w:val="16"/>
        </w:rPr>
        <w:t>s Rule 10b5-1 trading arrangement provides for the potential sale of up to (i) 249,113</w:t>
      </w:r>
      <w:r>
        <w:rPr>
          <w:rFonts w:ascii="Times New Roman" w:hAnsi="Times New Roman"/>
          <w:color w:val="000000"/>
          <w:sz w:val="24"/>
        </w:rPr>
        <w:t xml:space="preserve"> </w:t>
      </w:r>
      <w:r>
        <w:rPr>
          <w:rFonts w:ascii="Times New Roman" w:hAnsi="Times New Roman"/>
          <w:color w:val="000000"/>
          <w:sz w:val="16"/>
        </w:rPr>
        <w:t>shares of Common Stock and (ii) 150,000</w:t>
      </w:r>
      <w:r>
        <w:rPr>
          <w:rFonts w:ascii="Times New Roman" w:hAnsi="Times New Roman"/>
          <w:color w:val="000000"/>
          <w:sz w:val="24"/>
        </w:rPr>
        <w:t xml:space="preserve"> </w:t>
      </w:r>
      <w:r>
        <w:rPr>
          <w:rFonts w:ascii="Times New Roman" w:hAnsi="Times New Roman"/>
          <w:color w:val="000000"/>
          <w:sz w:val="16"/>
        </w:rPr>
        <w:t>shares of Common Stock issuable upon the exercise of options to acquire shares of Common Stock.</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bookmarkStart w:id="21" w:name="item_6_exhibits"/>
      <w:bookmarkEnd w:id="21"/>
      <w:r>
        <w:rPr>
          <w:rFonts w:ascii="Times New Roman" w:hAnsi="Times New Roman"/>
          <w:b/>
          <w:color w:val="000000"/>
          <w:sz w:val="24"/>
        </w:rPr>
        <w:t>ITEM 6.</w:t>
      </w:r>
      <w:r>
        <w:rPr>
          <w:rFonts w:ascii="Times New Roman" w:hAnsi="Times New Roman"/>
          <w:color w:val="000000"/>
          <w:sz w:val="20"/>
        </w:rPr>
        <w:t xml:space="preserve"> </w:t>
      </w:r>
      <w:r>
        <w:rPr>
          <w:rFonts w:ascii="Times New Roman" w:hAnsi="Times New Roman"/>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801"/>
        <w:gridCol w:w="146"/>
        <w:gridCol w:w="9258"/>
      </w:tblGrid>
      <w:tr>
        <w:trPr/>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8" w:type="dxa"/>
            <w:tcBorders/>
            <w:vAlign w:val="center"/>
          </w:tcPr>
          <w:p>
            <w:pPr>
              <w:pStyle w:val="TableContents"/>
              <w:bidi w:val="0"/>
              <w:spacing w:before="0" w:after="283"/>
              <w:jc w:val="left"/>
              <w:rPr>
                <w:sz w:val="4"/>
                <w:szCs w:val="4"/>
              </w:rPr>
            </w:pPr>
            <w:r>
              <w:rPr>
                <w:sz w:val="4"/>
                <w:szCs w:val="4"/>
              </w:rPr>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10_1.htm">
              <w:r>
                <w:rPr>
                  <w:rStyle w:val="InternetLink"/>
                  <w:rFonts w:ascii="Times New Roman" w:hAnsi="Times New Roman"/>
                  <w:color w:val="0000FF"/>
                  <w:sz w:val="24"/>
                  <w:u w:val="single"/>
                </w:rPr>
                <w:t>Form of Restricted Stock Grant Agreement under the SEACOR Marine Holdings Inc. 2025 Equity Incentive Plan.</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10_2.htm">
              <w:r>
                <w:rPr>
                  <w:rStyle w:val="InternetLink"/>
                  <w:rFonts w:ascii="Times New Roman" w:hAnsi="Times New Roman"/>
                  <w:color w:val="0000FF"/>
                  <w:sz w:val="24"/>
                  <w:u w:val="single"/>
                </w:rPr>
                <w:t>Form of Performance Restricted Stock Unit Grant Agreement under the SEACOR Marine Holdings Inc. 2025 Equity Incentive Plan.</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31_1.htm">
              <w:r>
                <w:rPr>
                  <w:rStyle w:val="InternetLink"/>
                  <w:rFonts w:ascii="Times New Roman" w:hAnsi="Times New Roman"/>
                  <w:color w:val="0000FF"/>
                  <w:sz w:val="24"/>
                  <w:u w:val="single"/>
                </w:rPr>
                <w:t>Certification by the Principal Executive Officer pursuant to Rule 13a-14(a) and Rule 15d-14(a) of the Securities Exchange Act, as amended.</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31_2.htm">
              <w:r>
                <w:rPr>
                  <w:rStyle w:val="InternetLink"/>
                  <w:rFonts w:ascii="Times New Roman" w:hAnsi="Times New Roman"/>
                  <w:color w:val="0000FF"/>
                  <w:sz w:val="24"/>
                  <w:u w:val="single"/>
                </w:rPr>
                <w:t>Certification by the Principal Financial Officer pursuant to Rule 13a-14(a) and Rule 15d-14(a) of the Securities Exchange Act, as amended.</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pPr>
            <w:hyperlink w:anchor="smhi-ex32.htm">
              <w:r>
                <w:rPr>
                  <w:rStyle w:val="InternetLink"/>
                  <w:rFonts w:ascii="Times New Roman" w:hAnsi="Times New Roman"/>
                  <w:color w:val="0000FF"/>
                  <w:sz w:val="24"/>
                  <w:u w:val="single"/>
                </w:rPr>
                <w:t>Certification by the Principal Executive Officer and Chief Financial Officer pursuant to 18 U.S.C. Section 1350, as adopted pursuant to Section 906 of the Sarbanes-Oxley Act of 2002.</w:t>
              </w:r>
            </w:hyperlink>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Inline XBRL Instance Document – the instance document does not appear in the Interactive Data File because its XBRL tags are embedded within the Inline XBRL document.</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Inline XBRL Taxonomy Extension Schema With Embedded Linkbase Documents.</w:t>
            </w:r>
          </w:p>
        </w:tc>
      </w:tr>
      <w:tr>
        <w:trPr/>
        <w:tc>
          <w:tcPr>
            <w:tcW w:w="8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The cover page for the Company’s Quarterly Report on Form 10-Q for the quarter ended March 31, 2026, has been formatted in Inline XBRL.</w:t>
            </w:r>
          </w:p>
        </w:tc>
      </w:tr>
      <w:tr>
        <w:trPr/>
        <w:tc>
          <w:tcPr>
            <w:tcW w:w="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 Management contract or compensatory plan or arrangement.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2" w:name="signatures"/>
      <w:bookmarkEnd w:id="22"/>
      <w:r>
        <w:rPr>
          <w:rFonts w:ascii="Times New Roman" w:hAnsi="Times New Roman"/>
          <w:b/>
          <w:color w:val="000000"/>
          <w:sz w:val="24"/>
        </w:rPr>
        <w:t>SIGNATURES</w:t>
      </w:r>
    </w:p>
    <w:p>
      <w:pPr>
        <w:pStyle w:val="TextBody"/>
        <w:bidi w:val="0"/>
        <w:spacing w:before="200" w:after="200"/>
        <w:jc w:val="both"/>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tbl>
      <w:tblPr>
        <w:tblW w:w="6671" w:type="dxa"/>
        <w:jc w:val="left"/>
        <w:tblInd w:w="0" w:type="dxa"/>
        <w:tblLayout w:type="fixed"/>
        <w:tblCellMar>
          <w:top w:w="28" w:type="dxa"/>
          <w:left w:w="28" w:type="dxa"/>
          <w:bottom w:w="28" w:type="dxa"/>
          <w:right w:w="28" w:type="dxa"/>
        </w:tblCellMar>
      </w:tblPr>
      <w:tblGrid>
        <w:gridCol w:w="631"/>
        <w:gridCol w:w="146"/>
        <w:gridCol w:w="1501"/>
        <w:gridCol w:w="451"/>
        <w:gridCol w:w="146"/>
        <w:gridCol w:w="3796"/>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SEACOR Marine Holdings Inc.</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April 29,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John Gellert</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John Gellert, </w:t>
            </w:r>
            <w:r>
              <w:rPr>
                <w:rFonts w:ascii="Times New Roman" w:hAnsi="Times New Roman"/>
                <w:i/>
                <w:color w:val="000000"/>
                <w:sz w:val="24"/>
              </w:rPr>
              <w:t>President,</w:t>
            </w:r>
            <w:r>
              <w:rPr>
                <w:rFonts w:ascii="Times New Roman" w:hAnsi="Times New Roman"/>
                <w:color w:val="000000"/>
                <w:sz w:val="24"/>
              </w:rPr>
              <w:t xml:space="preserve"> </w:t>
            </w:r>
          </w:p>
          <w:p>
            <w:pPr>
              <w:pStyle w:val="TableContents"/>
              <w:bidi w:val="0"/>
              <w:jc w:val="left"/>
              <w:rPr>
                <w:rFonts w:ascii="Times New Roman" w:hAnsi="Times New Roman"/>
                <w:i/>
                <w:color w:val="000000"/>
                <w:sz w:val="24"/>
              </w:rPr>
            </w:pPr>
            <w:r>
              <w:rPr>
                <w:rFonts w:ascii="Times New Roman" w:hAnsi="Times New Roman"/>
                <w:i/>
                <w:color w:val="000000"/>
                <w:sz w:val="24"/>
              </w:rPr>
              <w:t>Chief Executive Officer</w:t>
            </w:r>
          </w:p>
          <w:p>
            <w:pPr>
              <w:pStyle w:val="TableContents"/>
              <w:bidi w:val="0"/>
              <w:spacing w:before="0" w:after="283"/>
              <w:jc w:val="left"/>
              <w:rPr>
                <w:rFonts w:ascii="Times New Roman" w:hAnsi="Times New Roman"/>
                <w:i/>
                <w:color w:val="000000"/>
                <w:sz w:val="24"/>
              </w:rPr>
            </w:pPr>
            <w:r>
              <w:rPr>
                <w:rFonts w:ascii="Times New Roman" w:hAnsi="Times New Roman"/>
                <w:i/>
                <w:color w:val="000000"/>
                <w:sz w:val="24"/>
              </w:rPr>
              <w:t>(Principal Executive Officer)</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April 29,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Jesús Llorca</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000000"/>
                <w:sz w:val="24"/>
              </w:rPr>
              <w:t xml:space="preserve">Jesús Llorca, </w:t>
            </w:r>
            <w:r>
              <w:rPr>
                <w:rFonts w:ascii="Times New Roman" w:hAnsi="Times New Roman"/>
                <w:i/>
                <w:color w:val="000000"/>
                <w:sz w:val="24"/>
              </w:rPr>
              <w:t>Executive Vice President</w:t>
            </w:r>
          </w:p>
          <w:p>
            <w:pPr>
              <w:pStyle w:val="TableContents"/>
              <w:bidi w:val="0"/>
              <w:jc w:val="left"/>
              <w:rPr>
                <w:rFonts w:ascii="Times New Roman" w:hAnsi="Times New Roman"/>
                <w:i/>
                <w:color w:val="000000"/>
                <w:sz w:val="24"/>
              </w:rPr>
            </w:pPr>
            <w:r>
              <w:rPr>
                <w:rFonts w:ascii="Times New Roman" w:hAnsi="Times New Roman"/>
                <w:i/>
                <w:color w:val="000000"/>
                <w:sz w:val="24"/>
              </w:rPr>
              <w:t>and Chief Financial Officer</w:t>
            </w:r>
          </w:p>
          <w:p>
            <w:pPr>
              <w:pStyle w:val="TableContents"/>
              <w:bidi w:val="0"/>
              <w:jc w:val="left"/>
              <w:rPr>
                <w:rFonts w:ascii="Times New Roman" w:hAnsi="Times New Roman"/>
                <w:i/>
                <w:color w:val="000000"/>
                <w:sz w:val="24"/>
              </w:rPr>
            </w:pPr>
            <w:r>
              <w:rPr>
                <w:rFonts w:ascii="Times New Roman" w:hAnsi="Times New Roman"/>
                <w:i/>
                <w:color w:val="000000"/>
                <w:sz w:val="24"/>
              </w:rPr>
              <w:t>(Principal Financial Officer)</w:t>
            </w:r>
          </w:p>
          <w:p>
            <w:pPr>
              <w:pStyle w:val="TableContents"/>
              <w:bidi w:val="0"/>
              <w:spacing w:before="0" w:after="283"/>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April 29,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Gregory S. Rossmiller</w:t>
            </w:r>
          </w:p>
        </w:tc>
      </w:tr>
      <w:tr>
        <w:trPr/>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Gregory S. Rossmiller,</w:t>
            </w:r>
          </w:p>
          <w:p>
            <w:pPr>
              <w:pStyle w:val="TableContents"/>
              <w:bidi w:val="0"/>
              <w:jc w:val="left"/>
              <w:rPr>
                <w:rFonts w:ascii="Times New Roman" w:hAnsi="Times New Roman"/>
                <w:sz w:val="24"/>
              </w:rPr>
            </w:pPr>
            <w:r>
              <w:rPr>
                <w:rFonts w:ascii="Times New Roman" w:hAnsi="Times New Roman"/>
                <w:i/>
                <w:color w:val="000000"/>
                <w:sz w:val="24"/>
              </w:rPr>
              <w:t>Senior</w:t>
            </w:r>
            <w:r>
              <w:rPr>
                <w:rFonts w:ascii="Times New Roman" w:hAnsi="Times New Roman"/>
                <w:color w:val="000000"/>
                <w:sz w:val="24"/>
              </w:rPr>
              <w:t xml:space="preserve"> </w:t>
            </w:r>
            <w:r>
              <w:rPr>
                <w:rFonts w:ascii="Times New Roman" w:hAnsi="Times New Roman"/>
                <w:i/>
                <w:color w:val="000000"/>
                <w:sz w:val="24"/>
              </w:rPr>
              <w:t>Vice President</w:t>
            </w:r>
          </w:p>
          <w:p>
            <w:pPr>
              <w:pStyle w:val="TableContents"/>
              <w:bidi w:val="0"/>
              <w:jc w:val="left"/>
              <w:rPr>
                <w:rFonts w:ascii="Times New Roman" w:hAnsi="Times New Roman"/>
                <w:i/>
                <w:color w:val="000000"/>
                <w:sz w:val="24"/>
              </w:rPr>
            </w:pPr>
            <w:r>
              <w:rPr>
                <w:rFonts w:ascii="Times New Roman" w:hAnsi="Times New Roman"/>
                <w:i/>
                <w:color w:val="000000"/>
                <w:sz w:val="24"/>
              </w:rPr>
              <w:t>and Chief Accounting Officer</w:t>
            </w:r>
          </w:p>
          <w:p>
            <w:pPr>
              <w:pStyle w:val="TableContents"/>
              <w:bidi w:val="0"/>
              <w:jc w:val="left"/>
              <w:rPr>
                <w:rFonts w:ascii="Times New Roman" w:hAnsi="Times New Roman"/>
                <w:i/>
                <w:color w:val="000000"/>
                <w:sz w:val="24"/>
              </w:rPr>
            </w:pPr>
            <w:r>
              <w:rPr>
                <w:rFonts w:ascii="Times New Roman" w:hAnsi="Times New Roman"/>
                <w:i/>
                <w:color w:val="000000"/>
                <w:sz w:val="24"/>
              </w:rPr>
              <w:t>(Principal Accounting Officer)</w:t>
            </w:r>
          </w:p>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smhi-ex10_1.htm"/>
      <w:bookmarkStart w:id="24" w:name="kssmhiex10_1"/>
      <w:bookmarkEnd w:id="23"/>
      <w:bookmarkEnd w:id="24"/>
      <w:r>
        <w:rPr>
          <w:rFonts w:ascii="Times New Roman" w:hAnsi="Times New Roman"/>
          <w:b/>
          <w:color w:val="000000"/>
          <w:sz w:val="24"/>
        </w:rPr>
        <w:t>Exhibit 10.1</w:t>
      </w:r>
      <w:r>
        <w:br w:type="page"/>
      </w:r>
    </w:p>
    <w:p>
      <w:pPr>
        <w:pStyle w:val="TextBody"/>
        <w:bidi w:val="0"/>
        <w:spacing w:before="0" w:after="240"/>
        <w:jc w:val="center"/>
        <w:rPr>
          <w:rFonts w:ascii="Times New Roman" w:hAnsi="Times New Roman"/>
          <w:b/>
          <w:color w:val="000000"/>
          <w:sz w:val="24"/>
        </w:rPr>
      </w:pPr>
      <w:bookmarkStart w:id="25" w:name="sb5dfe6e2551f45f1beeddd30f106bef7"/>
      <w:bookmarkEnd w:id="25"/>
      <w:r>
        <w:rPr>
          <w:rFonts w:ascii="Times New Roman" w:hAnsi="Times New Roman"/>
          <w:b/>
          <w:color w:val="000000"/>
          <w:sz w:val="24"/>
        </w:rPr>
        <w:t>RESTRICTED STOCK GRANT AGREEMENT</w:t>
        <w:br/>
        <w:t>PURSUANT TO THE SEACOR MARINE HOLDINGS INC.</w:t>
        <w:br/>
        <w:t>2025 EQUITY INCENTIVE PLAN</w:t>
      </w:r>
    </w:p>
    <w:p>
      <w:pPr>
        <w:pStyle w:val="TextBody"/>
        <w:bidi w:val="0"/>
        <w:spacing w:before="0" w:after="240"/>
        <w:jc w:val="both"/>
        <w:rPr>
          <w:rFonts w:ascii="Times New Roman" w:hAnsi="Times New Roman"/>
          <w:sz w:val="20"/>
        </w:rPr>
      </w:pPr>
      <w:r>
        <w:rPr>
          <w:rFonts w:ascii="Times New Roman" w:hAnsi="Times New Roman"/>
          <w:b/>
          <w:color w:val="000000"/>
          <w:sz w:val="24"/>
        </w:rPr>
        <w:t>THIS RESTRICTED STOCK GRANT AGREEMENT</w:t>
      </w:r>
      <w:r>
        <w:rPr>
          <w:rFonts w:ascii="Times New Roman" w:hAnsi="Times New Roman"/>
          <w:color w:val="000000"/>
          <w:sz w:val="20"/>
        </w:rPr>
        <w:t xml:space="preserve"> </w:t>
      </w:r>
      <w:r>
        <w:rPr>
          <w:rFonts w:ascii="Times New Roman" w:hAnsi="Times New Roman"/>
          <w:color w:val="000000"/>
          <w:sz w:val="24"/>
        </w:rPr>
        <w:t>(this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dated as of [__________], is between SEACOR Marine Holdings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[__________] (the “</w:t>
      </w:r>
      <w:r>
        <w:rPr>
          <w:rFonts w:ascii="Times New Roman" w:hAnsi="Times New Roman"/>
          <w:color w:val="000000"/>
          <w:sz w:val="24"/>
          <w:u w:val="single"/>
        </w:rPr>
        <w:t>Grantee</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 I T N E S S E T H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0"/>
        </w:rPr>
        <w:t xml:space="preserve"> </w:t>
      </w:r>
      <w:r>
        <w:rPr>
          <w:rFonts w:ascii="Times New Roman" w:hAnsi="Times New Roman"/>
          <w:color w:val="000000"/>
          <w:sz w:val="24"/>
        </w:rPr>
        <w:t>the Grantee is an employee of, or consultant to, the Company or its Affiliates;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0"/>
        </w:rPr>
        <w:t xml:space="preserve"> </w:t>
      </w:r>
      <w:r>
        <w:rPr>
          <w:rFonts w:ascii="Times New Roman" w:hAnsi="Times New Roman"/>
          <w:color w:val="000000"/>
          <w:sz w:val="24"/>
        </w:rPr>
        <w:t>the Company desires to issue and grant to the Grantee, and the Grantee desires to accept, Shares, upon the terms and subject to the conditions herein set forth;</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premises and the mutual covenants herein contained, the parties hereto, intending to be legally bound, hereby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Grant of Restricted Stock</w:t>
      </w:r>
      <w:r>
        <w:rPr>
          <w:rFonts w:ascii="Times New Roman" w:hAnsi="Times New Roman"/>
          <w:color w:val="000000"/>
          <w:sz w:val="24"/>
        </w:rPr>
        <w:t>. In recognition of the Grantee’s commitment to the continued growth and financial success of the Company, the Company hereby grants to the Grantee a total of [__________] restricted Shares (the “</w:t>
      </w:r>
      <w:r>
        <w:rPr>
          <w:rFonts w:ascii="Times New Roman" w:hAnsi="Times New Roman"/>
          <w:color w:val="000000"/>
          <w:sz w:val="24"/>
          <w:u w:val="single"/>
        </w:rPr>
        <w:t>Restricted Stock</w:t>
      </w:r>
      <w:r>
        <w:rPr>
          <w:color w:val="000000"/>
        </w:rPr>
        <w:t>”</w:t>
      </w:r>
      <w:r>
        <w:rPr>
          <w:rFonts w:ascii="Times New Roman" w:hAnsi="Times New Roman"/>
          <w:color w:val="000000"/>
          <w:sz w:val="24"/>
        </w:rPr>
        <w:t>). Except as otherwise provided herein including, without limitation, the provisions of Paragraph 4 hereof, the Grantee shall have with respect to the Restricted Stock all of the rights of a holder of Shares, including the right to receive dividends, if paid, and the right to vote the Shares, provided, however, that the amount of any dividend otherwise payable on the Restricted Stock prior to the date on which the Restricted Stock has become vested shall instead be held in escrow from and after the dividend payment date until the Restricted Stock vests, at which time the amount of the dividend shall be paid to the Grantee (or, if such Restricted Stock is forfeited prior to becoming vested, the amount of any dividend related to such Restricted Stock shall also be forfeited). Unless otherwise directed by the Committee, the Restricted Stock shall be held in book entry form with appropriate restrictions relating to the transfer of such Shares.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Vesting</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Subject to the terms and conditions set forth herein, including, without limitation, the provisions of Paragraph 5 hereof, beneficial ownership without the restrictions set forth in Paragraph 1 hereof (“</w:t>
      </w:r>
      <w:r>
        <w:rPr>
          <w:rFonts w:ascii="Times New Roman" w:hAnsi="Times New Roman"/>
          <w:color w:val="000000"/>
          <w:sz w:val="24"/>
          <w:u w:val="single"/>
        </w:rPr>
        <w:t>Beneficial Ownership</w:t>
      </w:r>
      <w:r>
        <w:rPr>
          <w:rFonts w:ascii="Times New Roman" w:hAnsi="Times New Roman"/>
          <w:color w:val="000000"/>
          <w:sz w:val="20"/>
        </w:rPr>
        <w:t>”</w:t>
      </w:r>
      <w:r>
        <w:rPr>
          <w:rFonts w:ascii="Times New Roman" w:hAnsi="Times New Roman"/>
          <w:color w:val="000000"/>
          <w:sz w:val="24"/>
        </w:rPr>
        <w:t>) of the Restricted Stock shall vest in the Grantee as follows and on the respective dates herein set forth (each such date, a “</w:t>
      </w:r>
      <w:r>
        <w:rPr>
          <w:rFonts w:ascii="Times New Roman" w:hAnsi="Times New Roman"/>
          <w:color w:val="000000"/>
          <w:sz w:val="24"/>
          <w:u w:val="single"/>
        </w:rPr>
        <w:t>Vesting Date</w:t>
      </w:r>
      <w:r>
        <w:rPr>
          <w:rFonts w:ascii="Times New Roman" w:hAnsi="Times New Roman"/>
          <w:color w:val="000000"/>
          <w:sz w:val="20"/>
        </w:rPr>
        <w:t>”</w:t>
      </w:r>
      <w:r>
        <w:rPr>
          <w:rFonts w:ascii="Times New Roman" w:hAnsi="Times New Roman"/>
          <w:color w:val="000000"/>
          <w:sz w:val="24"/>
        </w:rPr>
        <w:t>); provided, however, that, if any scheduled Vesting Date occurs during a trading “blackout” period with respect to the Grantee (a “</w:t>
      </w:r>
      <w:r>
        <w:rPr>
          <w:rFonts w:ascii="Times New Roman" w:hAnsi="Times New Roman"/>
          <w:color w:val="000000"/>
          <w:sz w:val="24"/>
          <w:u w:val="single"/>
        </w:rPr>
        <w:t>Blackout Period</w:t>
      </w:r>
      <w:r>
        <w:rPr>
          <w:rFonts w:ascii="Times New Roman" w:hAnsi="Times New Roman"/>
          <w:color w:val="000000"/>
          <w:sz w:val="20"/>
        </w:rPr>
        <w:t>”</w:t>
      </w:r>
      <w:r>
        <w:rPr>
          <w:rFonts w:ascii="Times New Roman" w:hAnsi="Times New Roman"/>
          <w:color w:val="000000"/>
          <w:sz w:val="24"/>
        </w:rPr>
        <w:t>), then the Restricted Stock otherwise ordinarily scheduled to vest on such Vesting Date shall instead vest on the earlier of (a) the first day following the termination of the applicable Blackout Period, or (b) December 31 of the year in which the Vesting Date was originally scheduled to occur: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47" w:type="dxa"/>
        <w:jc w:val="left"/>
        <w:tblInd w:w="0" w:type="dxa"/>
        <w:tblLayout w:type="fixed"/>
        <w:tblCellMar>
          <w:top w:w="28" w:type="dxa"/>
          <w:left w:w="28" w:type="dxa"/>
          <w:bottom w:w="28" w:type="dxa"/>
          <w:right w:w="28" w:type="dxa"/>
        </w:tblCellMar>
      </w:tblPr>
      <w:tblGrid>
        <w:gridCol w:w="1591"/>
        <w:gridCol w:w="2956"/>
      </w:tblGrid>
      <w:tr>
        <w:trPr/>
        <w:tc>
          <w:tcPr>
            <w:tcW w:w="1591" w:type="dxa"/>
            <w:tcBorders/>
            <w:shd w:fill="FFFFFF" w:val="clear"/>
            <w:vAlign w:val="center"/>
          </w:tcPr>
          <w:p>
            <w:pPr>
              <w:pStyle w:val="TableContents"/>
              <w:bidi w:val="0"/>
              <w:spacing w:before="0" w:after="283"/>
              <w:jc w:val="left"/>
              <w:rPr>
                <w:sz w:val="4"/>
                <w:szCs w:val="4"/>
              </w:rPr>
            </w:pPr>
            <w:r>
              <w:rPr>
                <w:sz w:val="4"/>
                <w:szCs w:val="4"/>
              </w:rPr>
            </w:r>
          </w:p>
        </w:tc>
        <w:tc>
          <w:tcPr>
            <w:tcW w:w="2956" w:type="dxa"/>
            <w:tcBorders/>
            <w:shd w:fill="FFFFFF" w:val="clear"/>
            <w:vAlign w:val="center"/>
          </w:tcPr>
          <w:p>
            <w:pPr>
              <w:pStyle w:val="TableContents"/>
              <w:bidi w:val="0"/>
              <w:spacing w:before="0" w:after="283"/>
              <w:jc w:val="left"/>
              <w:rPr>
                <w:sz w:val="4"/>
                <w:szCs w:val="4"/>
              </w:rPr>
            </w:pPr>
            <w:r>
              <w:rPr>
                <w:sz w:val="4"/>
                <w:szCs w:val="4"/>
              </w:rPr>
            </w:r>
          </w:p>
        </w:tc>
      </w:tr>
      <w:tr>
        <w:trPr/>
        <w:tc>
          <w:tcPr>
            <w:tcW w:w="1591" w:type="dxa"/>
            <w:tcBorders>
              <w:top w:val="single" w:sz="6" w:space="0" w:color="000000"/>
              <w:left w:val="single" w:sz="6" w:space="0" w:color="000000"/>
              <w:bottom w:val="single" w:sz="6" w:space="0" w:color="000000"/>
              <w:right w:val="single" w:sz="6"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DATE</w:t>
            </w:r>
          </w:p>
        </w:tc>
        <w:tc>
          <w:tcPr>
            <w:tcW w:w="2956" w:type="dxa"/>
            <w:tcBorders>
              <w:top w:val="single" w:sz="6" w:space="0" w:color="000000"/>
              <w:bottom w:val="single" w:sz="6" w:space="0" w:color="000000"/>
              <w:right w:val="single" w:sz="6" w:space="0" w:color="000000"/>
            </w:tcBorders>
            <w:tcMar>
              <w:top w:w="30" w:type="dxa"/>
              <w:left w:w="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NUMBER OF SHARES</w:t>
            </w:r>
          </w:p>
        </w:tc>
      </w:tr>
      <w:tr>
        <w:trPr/>
        <w:tc>
          <w:tcPr>
            <w:tcW w:w="1591" w:type="dxa"/>
            <w:tcBorders>
              <w:left w:val="single" w:sz="6" w:space="0" w:color="000000"/>
              <w:bottom w:val="single" w:sz="6" w:space="0" w:color="000000"/>
              <w:right w:val="single" w:sz="6"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March 4, 2027</w:t>
            </w:r>
          </w:p>
        </w:tc>
        <w:tc>
          <w:tcPr>
            <w:tcW w:w="2956" w:type="dxa"/>
            <w:tcBorders>
              <w:bottom w:val="single" w:sz="6" w:space="0" w:color="000000"/>
              <w:right w:val="single" w:sz="6"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1/5</w:t>
            </w:r>
            <w:r>
              <w:rPr>
                <w:rFonts w:ascii="Times New Roman" w:hAnsi="Times New Roman"/>
                <w:b/>
                <w:color w:val="000000"/>
                <w:sz w:val="16"/>
              </w:rPr>
              <w:t>th</w:t>
            </w:r>
            <w:r>
              <w:rPr>
                <w:rFonts w:ascii="Times New Roman" w:hAnsi="Times New Roman"/>
                <w:color w:val="000000"/>
                <w:sz w:val="24"/>
              </w:rPr>
              <w:t> </w:t>
            </w:r>
            <w:r>
              <w:rPr>
                <w:rFonts w:ascii="Times New Roman" w:hAnsi="Times New Roman"/>
                <w:b/>
                <w:color w:val="000000"/>
                <w:sz w:val="24"/>
              </w:rPr>
              <w:t>of the Restricted Stock</w:t>
            </w:r>
          </w:p>
        </w:tc>
      </w:tr>
      <w:tr>
        <w:trPr/>
        <w:tc>
          <w:tcPr>
            <w:tcW w:w="1591" w:type="dxa"/>
            <w:tcBorders>
              <w:left w:val="single" w:sz="6" w:space="0" w:color="000000"/>
              <w:bottom w:val="single" w:sz="6" w:space="0" w:color="000000"/>
              <w:right w:val="single" w:sz="6"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March 4, 2028</w:t>
            </w:r>
          </w:p>
        </w:tc>
        <w:tc>
          <w:tcPr>
            <w:tcW w:w="2956" w:type="dxa"/>
            <w:tcBorders>
              <w:bottom w:val="single" w:sz="6" w:space="0" w:color="000000"/>
              <w:right w:val="single" w:sz="6"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1/5</w:t>
            </w:r>
            <w:r>
              <w:rPr>
                <w:rFonts w:ascii="Times New Roman" w:hAnsi="Times New Roman"/>
                <w:b/>
                <w:color w:val="000000"/>
                <w:sz w:val="16"/>
              </w:rPr>
              <w:t>th</w:t>
            </w:r>
            <w:r>
              <w:rPr>
                <w:rFonts w:ascii="Times New Roman" w:hAnsi="Times New Roman"/>
                <w:color w:val="000000"/>
                <w:sz w:val="24"/>
              </w:rPr>
              <w:t> </w:t>
            </w:r>
            <w:r>
              <w:rPr>
                <w:rFonts w:ascii="Times New Roman" w:hAnsi="Times New Roman"/>
                <w:b/>
                <w:color w:val="000000"/>
                <w:sz w:val="24"/>
              </w:rPr>
              <w:t>of the Restricted Stock</w:t>
            </w:r>
          </w:p>
        </w:tc>
      </w:tr>
      <w:tr>
        <w:trPr/>
        <w:tc>
          <w:tcPr>
            <w:tcW w:w="1591" w:type="dxa"/>
            <w:tcBorders>
              <w:left w:val="single" w:sz="6" w:space="0" w:color="000000"/>
              <w:bottom w:val="single" w:sz="6" w:space="0" w:color="000000"/>
              <w:right w:val="single" w:sz="6"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March 4, 2029</w:t>
            </w:r>
          </w:p>
        </w:tc>
        <w:tc>
          <w:tcPr>
            <w:tcW w:w="2956" w:type="dxa"/>
            <w:tcBorders>
              <w:bottom w:val="single" w:sz="6" w:space="0" w:color="000000"/>
              <w:right w:val="single" w:sz="6"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1/5</w:t>
            </w:r>
            <w:r>
              <w:rPr>
                <w:rFonts w:ascii="Times New Roman" w:hAnsi="Times New Roman"/>
                <w:b/>
                <w:color w:val="000000"/>
                <w:sz w:val="16"/>
              </w:rPr>
              <w:t>th</w:t>
            </w:r>
            <w:r>
              <w:rPr>
                <w:rFonts w:ascii="Times New Roman" w:hAnsi="Times New Roman"/>
                <w:color w:val="000000"/>
                <w:sz w:val="24"/>
              </w:rPr>
              <w:t> </w:t>
            </w:r>
            <w:r>
              <w:rPr>
                <w:rFonts w:ascii="Times New Roman" w:hAnsi="Times New Roman"/>
                <w:b/>
                <w:color w:val="000000"/>
                <w:sz w:val="24"/>
              </w:rPr>
              <w:t>of the Restricted Stock</w:t>
            </w:r>
          </w:p>
        </w:tc>
      </w:tr>
      <w:tr>
        <w:trPr/>
        <w:tc>
          <w:tcPr>
            <w:tcW w:w="1591" w:type="dxa"/>
            <w:tcBorders>
              <w:left w:val="single" w:sz="6" w:space="0" w:color="000000"/>
              <w:bottom w:val="single" w:sz="6" w:space="0" w:color="000000"/>
              <w:right w:val="single" w:sz="6"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March 4, 2030</w:t>
            </w:r>
          </w:p>
        </w:tc>
        <w:tc>
          <w:tcPr>
            <w:tcW w:w="2956" w:type="dxa"/>
            <w:tcBorders>
              <w:bottom w:val="single" w:sz="6" w:space="0" w:color="000000"/>
              <w:right w:val="single" w:sz="6"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1/5</w:t>
            </w:r>
            <w:r>
              <w:rPr>
                <w:rFonts w:ascii="Times New Roman" w:hAnsi="Times New Roman"/>
                <w:b/>
                <w:color w:val="000000"/>
                <w:sz w:val="16"/>
              </w:rPr>
              <w:t>th</w:t>
            </w:r>
            <w:r>
              <w:rPr>
                <w:rFonts w:ascii="Times New Roman" w:hAnsi="Times New Roman"/>
                <w:color w:val="000000"/>
                <w:sz w:val="24"/>
              </w:rPr>
              <w:t> </w:t>
            </w:r>
            <w:r>
              <w:rPr>
                <w:rFonts w:ascii="Times New Roman" w:hAnsi="Times New Roman"/>
                <w:b/>
                <w:color w:val="000000"/>
                <w:sz w:val="24"/>
              </w:rPr>
              <w:t>of the Restricted Stock</w:t>
            </w:r>
          </w:p>
        </w:tc>
      </w:tr>
      <w:tr>
        <w:trPr/>
        <w:tc>
          <w:tcPr>
            <w:tcW w:w="1591" w:type="dxa"/>
            <w:tcBorders>
              <w:left w:val="single" w:sz="6" w:space="0" w:color="000000"/>
              <w:bottom w:val="single" w:sz="6" w:space="0" w:color="000000"/>
              <w:right w:val="single" w:sz="6" w:space="0" w:color="000000"/>
            </w:tcBorders>
            <w:tcMar>
              <w:top w:w="0" w:type="dxa"/>
              <w:left w:w="30" w:type="dxa"/>
              <w:bottom w:w="30" w:type="dxa"/>
              <w:right w:w="3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March 4, 2031</w:t>
            </w:r>
          </w:p>
        </w:tc>
        <w:tc>
          <w:tcPr>
            <w:tcW w:w="2956" w:type="dxa"/>
            <w:tcBorders>
              <w:bottom w:val="single" w:sz="6" w:space="0" w:color="000000"/>
              <w:right w:val="single" w:sz="6" w:space="0" w:color="000000"/>
            </w:tcBorders>
            <w:tcMar>
              <w:top w:w="0" w:type="dxa"/>
              <w:left w:w="0" w:type="dxa"/>
              <w:bottom w:w="30" w:type="dxa"/>
              <w:right w:w="3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24"/>
              </w:rPr>
              <w:t>1/5</w:t>
            </w:r>
            <w:r>
              <w:rPr>
                <w:rFonts w:ascii="Times New Roman" w:hAnsi="Times New Roman"/>
                <w:b/>
                <w:color w:val="000000"/>
                <w:sz w:val="16"/>
              </w:rPr>
              <w:t>th</w:t>
            </w:r>
            <w:r>
              <w:rPr>
                <w:rFonts w:ascii="Times New Roman" w:hAnsi="Times New Roman"/>
                <w:color w:val="000000"/>
                <w:sz w:val="24"/>
              </w:rPr>
              <w:t> </w:t>
            </w:r>
            <w:r>
              <w:rPr>
                <w:rFonts w:ascii="Times New Roman" w:hAnsi="Times New Roman"/>
                <w:b/>
                <w:color w:val="000000"/>
                <w:sz w:val="24"/>
              </w:rPr>
              <w:t>of the Restricted Stock</w:t>
            </w:r>
          </w:p>
        </w:tc>
      </w:tr>
    </w:tbl>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Beneficial Ownership of all of the aforementioned shares of Restricted Stock shall vest immediately, without any action on the part of the Company (or its successor as applicable) or the Grantee if, prior to a Forfeiture (as defined below) by the Grantee pursuant to Paragraph 4 hereof, any of the following events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death of the Grantee;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Grantee’s formal retirement from employment with the Company under acceptable circumstances as determined by the Committee in its sole discretion (which determination may be conditioned upon, among other things, the Grantee entering into a non-competition agreement with the Company);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termination of the Grantee’s employment with the Company and/or its Affiliates, as applicable, by the Company (or applicable Affiliates) without Cause (including upon or following the Grantee’s Disability).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Non-Transferability of Restricted Stock</w:t>
      </w:r>
      <w:r>
        <w:rPr>
          <w:rFonts w:ascii="Times New Roman" w:hAnsi="Times New Roman"/>
          <w:color w:val="000000"/>
          <w:sz w:val="24"/>
        </w:rPr>
        <w:t>. Except as expressly provided in Paragraph 2 hereof, prior to the applicable date on which Restricted Stock vests hereunder, no unvested Restricted Stock (nor any interest therein) may be sold, assigned, transferred, pledged, hypothecated or otherwise disposed of, shall not be assignable by operation of law and shall not be subject to execution, attachment or similar process. Any attempted sale, assignment, transfer, pledge, hypothecation or other disposition of any unvested Restricted Stock contrary to the provisions hereof shall be null and void and without effect. Notwithstanding the foregoing, unvested Restricted Stock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Forfeiture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Except upon occurrence of the events set forth in Paragraphs 2 hereof, or as otherwise provided pursuant to Paragraph 5 hereof, or as otherwise provided by the Committee, upon termination of the Grantee’s employment with the Company and/or its Affiliates, as applicable, prior to vesting of Beneficial Ownership in all of the Restricted Stock, and notwithstanding the provisions of Paragraph 2 hereof, Beneficial Ownership of the remaining unvested Restricted Stock shall not vest in the Grantee and all such unvested Restricted Stock shall immediately thereupon be forfeited by the Grantee to the Company (a “</w:t>
      </w:r>
      <w:r>
        <w:rPr>
          <w:rFonts w:ascii="Times New Roman" w:hAnsi="Times New Roman"/>
          <w:color w:val="000000"/>
          <w:sz w:val="24"/>
          <w:u w:val="single"/>
        </w:rPr>
        <w:t>Forfeiture</w:t>
      </w:r>
      <w:r>
        <w:rPr>
          <w:color w:val="000000"/>
        </w:rPr>
        <w:t>”</w:t>
      </w:r>
      <w:r>
        <w:rPr>
          <w:rFonts w:ascii="Times New Roman" w:hAnsi="Times New Roman"/>
          <w:color w:val="000000"/>
          <w:sz w:val="24"/>
        </w:rPr>
        <w:t>) without any consideration therefor.</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and after the occurrence of such Forfeiture, and notwithstanding any provision herein to the contrary including, without limitation, the provisions of Paragraph 1 hereof, the Grantee shall have no rights to or interests in any of the forfeited Restricted Stock.</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Adjustment Provisions; Change of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Restricted Stock shall be subject to adjustment as provided in Section 4(b) of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Restricted Stock shall be subject to Section 12 of the Plan upon and following a Change of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Representations and Warranties of Grantee</w:t>
      </w:r>
      <w:r>
        <w:rPr>
          <w:rFonts w:ascii="Times New Roman" w:hAnsi="Times New Roman"/>
          <w:color w:val="000000"/>
          <w:sz w:val="24"/>
        </w:rPr>
        <w:t>. The Grantee hereby represents and warrants to the Company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Grantee has the legal right and capacity to enter into this Agreement and fully understands the terms and conditions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The Grantee is acquiring the Restricted Stock for investment purposes only and not with a view to, or in connection with, the public distribution thereof in violation of the Securities Act of 1933, as amended (the “</w:t>
      </w:r>
      <w:r>
        <w:rPr>
          <w:rFonts w:ascii="Times New Roman" w:hAnsi="Times New Roman"/>
          <w:color w:val="000000"/>
          <w:sz w:val="24"/>
          <w:u w:val="single"/>
        </w:rPr>
        <w:t>Securities Act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Restricted Stock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The Grantee understands and agrees that none of the Restricted Stock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the SEACOR Marine Holdings Inc. Insider Trading and Tipping Procedures and Guidelines (the “</w:t>
      </w:r>
      <w:r>
        <w:rPr>
          <w:rFonts w:ascii="Times New Roman" w:hAnsi="Times New Roman"/>
          <w:color w:val="000000"/>
          <w:sz w:val="24"/>
          <w:u w:val="single"/>
        </w:rPr>
        <w:t>Insider Trading Policy</w:t>
      </w:r>
      <w:r>
        <w:rPr>
          <w:color w:val="000000"/>
        </w:rPr>
        <w:t>”</w:t>
      </w:r>
      <w:r>
        <w:rPr>
          <w:rFonts w:ascii="Times New Roman" w:hAnsi="Times New Roman"/>
          <w:color w:val="000000"/>
          <w:sz w:val="24"/>
        </w:rPr>
        <w:t>). The Grantee further understands that the Company has no obligation to cause or to refrain from causing the resale of any of the Restricted Stock or any other Shares or shares of its capital stock to be registered under the Securities Act or to comply with any exemption under the Securities Act which would permit the shares of the Restricted Stock to be sold or otherwise transferred by the Grantee. The Grantee further understands that, without approval in writing pursuant to the Insider Trading Policy, no trade may be executed in any interest or position relating to the future price of Company securities, such as a put option, call option, or short sale (which prohibition includes, among other things, establishing any “collar” or other mechanism for the purpose of establishing a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Notwithstanding anything herein to the contrary, the Company shall have no obligation to deliver any Shares hereunder or make any other distribution of benefits under hereunder unless such delivery or distribution would comply with all applicable laws (including,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limitation, the Securities Act), and the applicable requirements of any securities exchange or similar entity.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Any notice required or permitted hereunder shall be deemed given, if to the Grantee, when delivered (a) by a nationally recognized 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Withholding</w:t>
      </w:r>
      <w:r>
        <w:rPr>
          <w:rFonts w:ascii="Times New Roman" w:hAnsi="Times New Roman"/>
          <w:color w:val="000000"/>
          <w:sz w:val="24"/>
        </w:rPr>
        <w:t>. All payments or distributions of Restricted Stock or with respect thereto shall be net of any amounts required to be withheld pursuant to applicable federal, national, state and local tax withholding requirements. The Company shall have the right to withhold the amount of such taxes from any other sums due or to become due from the Company to the Grantee as the Company shall determine. The Company may, in its discretion and subject to such rules as it may adopt (including any as may be required to satisfy applicable tax), permit the Grantee to pay all or a portion of the federal, national, state and local withholding taxes arising in connection with the Restricted Stock or any payments or distributions with respect thereto by electing to have the Company withhold Shares having a Fair Market Value equal to the amount to be withheld, provided that such withholding shall only be at rates required by applicable statues or regulations.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Failure to Enforce Not a Waiver</w:t>
      </w:r>
      <w:r>
        <w:rPr>
          <w:rFonts w:ascii="Times New Roman" w:hAnsi="Times New Roman"/>
          <w:color w:val="000000"/>
          <w:sz w:val="24"/>
        </w:rPr>
        <w:t>. The failure of the Company to enforce at any time any provision of this Agreement shall in no way be construed to be a waiver of such provision or of any other provision hereof.</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Amendment and Termination</w:t>
      </w:r>
      <w:r>
        <w:rPr>
          <w:rFonts w:ascii="Times New Roman" w:hAnsi="Times New Roman"/>
          <w:color w:val="000000"/>
          <w:sz w:val="24"/>
        </w:rPr>
        <w:t>. Subject to the terms of the Plan, this Agreement may not be amended or terminated unless such amendment or termination is in writing and duly executed by each of the parties 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Tenure</w:t>
      </w:r>
      <w:r>
        <w:rPr>
          <w:rFonts w:ascii="Times New Roman" w:hAnsi="Times New Roman"/>
          <w:color w:val="000000"/>
          <w:sz w:val="24"/>
        </w:rPr>
        <w:t>. The Grantee’s right to continue to serve the Company or any of its Affiliates as an officer, employee, or otherwise, shall not be enlarged or otherwise affected by the award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Counterparts</w:t>
      </w:r>
      <w:r>
        <w:rPr>
          <w:rFonts w:ascii="Times New Roman" w:hAnsi="Times New Roman"/>
          <w:color w:val="000000"/>
          <w:sz w:val="24"/>
        </w:rPr>
        <w:t>. This Agreement may be executed in counterparts, each of which shall be deemed to be an original, but all of which together shall constitute but one and the same instrument.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Benefit and Binding Effect</w:t>
      </w:r>
      <w:r>
        <w:rPr>
          <w:rFonts w:ascii="Times New Roman" w:hAnsi="Times New Roman"/>
          <w:color w:val="000000"/>
          <w:sz w:val="24"/>
        </w:rPr>
        <w:t>. This Agreement shall be binding upon and shall inure to the benefit of the Company, its 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Entire Agreement</w:t>
      </w:r>
      <w:r>
        <w:rPr>
          <w:rFonts w:ascii="Times New Roman" w:hAnsi="Times New Roman"/>
          <w:color w:val="000000"/>
          <w:sz w:val="24"/>
        </w:rPr>
        <w:t>. This Agreement contains the entire understanding of the parties hereto with respect to the Restricted Stock and supersedes all prior agreements, discussions and understandings with respect to such subject matter.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Governing Law</w:t>
      </w:r>
      <w:r>
        <w:rPr>
          <w:rFonts w:ascii="Times New Roman" w:hAnsi="Times New Roman"/>
          <w:color w:val="000000"/>
          <w:sz w:val="24"/>
        </w:rPr>
        <w:t>. This Agreement shall be governed by, and construed and enforced in accordance with, the laws of the State of Delaware, without giving effect to principles and provisions thereof relating to conflict or choice of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Clawback</w:t>
      </w:r>
      <w:r>
        <w:rPr>
          <w:rFonts w:ascii="Times New Roman" w:hAnsi="Times New Roman"/>
          <w:color w:val="000000"/>
          <w:sz w:val="24"/>
        </w:rPr>
        <w:t>. The Restricted Stock and the Shares issued upon vesting of the Restricted Stock will be subject to such clawback provisions as may be required to be made pursuant to any applicable law, government regulation or stock exchange listing requirement, or other applicable Company policy.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2025 Equity Incentive Plan Controls</w:t>
      </w:r>
      <w:r>
        <w:rPr>
          <w:rFonts w:ascii="Times New Roman" w:hAnsi="Times New Roman"/>
          <w:color w:val="000000"/>
          <w:sz w:val="24"/>
        </w:rPr>
        <w:t>.</w:t>
      </w:r>
      <w:r>
        <w:rPr>
          <w:color w:val="000000"/>
        </w:rPr>
        <w:t xml:space="preserve"> </w:t>
      </w:r>
      <w:r>
        <w:rPr>
          <w:rFonts w:ascii="Times New Roman" w:hAnsi="Times New Roman"/>
          <w:color w:val="000000"/>
          <w:sz w:val="24"/>
        </w:rPr>
        <w:t>This Agreement is subject to all terms and provisions of the SEACOR Marine Holdings Inc. 2025 Equity Incentive Plan (and as amended, modified or supplemented from time to time, the “</w:t>
      </w:r>
      <w:r>
        <w:rPr>
          <w:rFonts w:ascii="Times New Roman" w:hAnsi="Times New Roman"/>
          <w:color w:val="000000"/>
          <w:sz w:val="24"/>
          <w:u w:val="single"/>
        </w:rPr>
        <w:t>Plan</w:t>
      </w:r>
      <w:r>
        <w:rPr>
          <w:color w:val="000000"/>
        </w:rPr>
        <w:t>”</w:t>
      </w:r>
      <w:r>
        <w:rPr>
          <w:rFonts w:ascii="Times New Roman" w:hAnsi="Times New Roman"/>
          <w:color w:val="000000"/>
          <w:sz w:val="24"/>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pStyle w:val="TextBody"/>
        <w:bidi w:val="0"/>
        <w:spacing w:before="0" w:after="24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Company has executed this Agreement on the date and year first above written.</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w:t>
      </w:r>
    </w:p>
    <w:p>
      <w:pPr>
        <w:pStyle w:val="TextBody"/>
        <w:bidi w:val="0"/>
        <w:jc w:val="both"/>
        <w:rPr>
          <w:rFonts w:ascii="Times New Roman" w:hAnsi="Times New Roman"/>
          <w:b/>
          <w:color w:val="000000"/>
          <w:sz w:val="24"/>
        </w:rPr>
      </w:pPr>
      <w:r>
        <w:rPr>
          <w:rFonts w:ascii="Times New Roman" w:hAnsi="Times New Roman"/>
          <w:b/>
          <w:color w:val="000000"/>
          <w:sz w:val="24"/>
        </w:rPr>
        <w:t>[Name]</w:t>
      </w:r>
    </w:p>
    <w:p>
      <w:pPr>
        <w:pStyle w:val="TextBody"/>
        <w:bidi w:val="0"/>
        <w:jc w:val="both"/>
        <w:rPr>
          <w:rFonts w:ascii="Times New Roman" w:hAnsi="Times New Roman"/>
          <w:b/>
          <w:color w:val="000000"/>
          <w:sz w:val="24"/>
        </w:rPr>
      </w:pPr>
      <w:r>
        <w:rPr>
          <w:rFonts w:ascii="Times New Roman" w:hAnsi="Times New Roman"/>
          <w:b/>
          <w:color w:val="000000"/>
          <w:sz w:val="24"/>
        </w:rPr>
        <w:t>[Title]</w:t>
      </w:r>
    </w:p>
    <w:p>
      <w:pPr>
        <w:pStyle w:val="TextBody"/>
        <w:bidi w:val="0"/>
        <w:spacing w:before="0" w:after="480"/>
        <w:jc w:val="both"/>
        <w:rPr/>
      </w:pPr>
      <w:r>
        <w:rPr/>
        <w:t> </w:t>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The undersigned hereby accepts, and agrees to, all terms and provisions of the foregoing Restricted Stock Grant Agreement.</w:t>
      </w:r>
    </w:p>
    <w:p>
      <w:pPr>
        <w:pStyle w:val="TextBody"/>
        <w:bidi w:val="0"/>
        <w:jc w:val="both"/>
        <w:rPr>
          <w:rFonts w:ascii="Times New Roman" w:hAnsi="Times New Roman"/>
          <w:b/>
          <w:color w:val="000000"/>
          <w:sz w:val="24"/>
        </w:rPr>
      </w:pPr>
      <w:r>
        <w:rPr>
          <w:rFonts w:ascii="Times New Roman" w:hAnsi="Times New Roman"/>
          <w:b/>
          <w:color w:val="000000"/>
          <w:sz w:val="24"/>
        </w:rPr>
        <w:t>GRANTEE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Signature: ______________________________________</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Name: 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Date: ______________________________________</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smhi-ex10_2.htm"/>
      <w:bookmarkStart w:id="27" w:name="kssmhiex10_2"/>
      <w:bookmarkEnd w:id="26"/>
      <w:bookmarkEnd w:id="27"/>
      <w:r>
        <w:rPr>
          <w:rFonts w:ascii="Times New Roman" w:hAnsi="Times New Roman"/>
          <w:b/>
          <w:color w:val="000000"/>
          <w:sz w:val="24"/>
        </w:rPr>
        <w:t>Exhibit 10.2</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PERFORMANCE RESTRICTED STOCK UNIT GRANT AGREEMENT</w:t>
      </w:r>
    </w:p>
    <w:p>
      <w:pPr>
        <w:pStyle w:val="TextBody"/>
        <w:bidi w:val="0"/>
        <w:jc w:val="center"/>
        <w:rPr>
          <w:rFonts w:ascii="Times New Roman" w:hAnsi="Times New Roman"/>
          <w:b/>
          <w:color w:val="000000"/>
          <w:sz w:val="23"/>
        </w:rPr>
      </w:pPr>
      <w:r>
        <w:rPr>
          <w:rFonts w:ascii="Times New Roman" w:hAnsi="Times New Roman"/>
          <w:b/>
          <w:color w:val="000000"/>
          <w:sz w:val="23"/>
        </w:rPr>
        <w:t>PURSUANT TO THE SEACOR MARINE HOLDINGS INC.</w:t>
      </w:r>
    </w:p>
    <w:p>
      <w:pPr>
        <w:pStyle w:val="TextBody"/>
        <w:bidi w:val="0"/>
        <w:jc w:val="center"/>
        <w:rPr>
          <w:rFonts w:ascii="Times New Roman" w:hAnsi="Times New Roman"/>
          <w:b/>
          <w:color w:val="000000"/>
          <w:sz w:val="23"/>
        </w:rPr>
      </w:pPr>
      <w:r>
        <w:rPr>
          <w:rFonts w:ascii="Times New Roman" w:hAnsi="Times New Roman"/>
          <w:b/>
          <w:color w:val="000000"/>
          <w:sz w:val="23"/>
        </w:rPr>
        <w:t>2025 EQUITY INCENTIVE PLAN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3"/>
        </w:rPr>
        <w:t xml:space="preserve">THIS PERFORMANCE RESTRICTED STOCK UNIT GRANT AGREEMENT </w:t>
      </w:r>
      <w:r>
        <w:rPr>
          <w:rFonts w:ascii="Times New Roman" w:hAnsi="Times New Roman"/>
          <w:color w:val="000000"/>
          <w:sz w:val="23"/>
        </w:rPr>
        <w:t>(this “</w:t>
      </w:r>
      <w:r>
        <w:rPr>
          <w:rFonts w:ascii="Times New Roman" w:hAnsi="Times New Roman"/>
          <w:b/>
          <w:color w:val="000000"/>
          <w:sz w:val="23"/>
        </w:rPr>
        <w:t>Agreement</w:t>
      </w:r>
      <w:r>
        <w:rPr>
          <w:rFonts w:ascii="Times New Roman" w:hAnsi="Times New Roman"/>
          <w:color w:val="000000"/>
          <w:sz w:val="20"/>
        </w:rPr>
        <w:t>”</w:t>
      </w:r>
      <w:r>
        <w:rPr>
          <w:rFonts w:ascii="Times New Roman" w:hAnsi="Times New Roman"/>
          <w:color w:val="000000"/>
          <w:sz w:val="23"/>
        </w:rPr>
        <w:t>), dated as of [</w:t>
      </w:r>
      <w:r>
        <w:rPr>
          <w:rFonts w:ascii="Times New Roman" w:hAnsi="Times New Roman"/>
          <w:color w:val="000000"/>
          <w:sz w:val="23"/>
          <w:u w:val="single"/>
        </w:rPr>
        <w:t>__________</w:t>
      </w:r>
      <w:r>
        <w:rPr>
          <w:rFonts w:ascii="Times New Roman" w:hAnsi="Times New Roman"/>
          <w:color w:val="000000"/>
          <w:sz w:val="23"/>
        </w:rPr>
        <w:t>] (the “</w:t>
      </w:r>
      <w:r>
        <w:rPr>
          <w:rFonts w:ascii="Times New Roman" w:hAnsi="Times New Roman"/>
          <w:b/>
          <w:color w:val="000000"/>
          <w:sz w:val="23"/>
        </w:rPr>
        <w:t>Grant Date</w:t>
      </w:r>
      <w:r>
        <w:rPr>
          <w:rFonts w:ascii="Times New Roman" w:hAnsi="Times New Roman"/>
          <w:color w:val="000000"/>
          <w:sz w:val="20"/>
        </w:rPr>
        <w:t>”</w:t>
      </w:r>
      <w:r>
        <w:rPr>
          <w:rFonts w:ascii="Times New Roman" w:hAnsi="Times New Roman"/>
          <w:color w:val="000000"/>
          <w:sz w:val="23"/>
        </w:rPr>
        <w:t>), is between SEACOR Marine Holdings Inc., a Delaware corporation (the “</w:t>
      </w:r>
      <w:r>
        <w:rPr>
          <w:rFonts w:ascii="Times New Roman" w:hAnsi="Times New Roman"/>
          <w:b/>
          <w:color w:val="000000"/>
          <w:sz w:val="23"/>
        </w:rPr>
        <w:t>Company</w:t>
      </w:r>
      <w:r>
        <w:rPr>
          <w:rFonts w:ascii="Times New Roman" w:hAnsi="Times New Roman"/>
          <w:color w:val="000000"/>
          <w:sz w:val="20"/>
        </w:rPr>
        <w:t>”</w:t>
      </w:r>
      <w:r>
        <w:rPr>
          <w:rFonts w:ascii="Times New Roman" w:hAnsi="Times New Roman"/>
          <w:color w:val="000000"/>
          <w:sz w:val="23"/>
        </w:rPr>
        <w:t>), and [__________] (the “</w:t>
      </w:r>
      <w:r>
        <w:rPr>
          <w:rFonts w:ascii="Times New Roman" w:hAnsi="Times New Roman"/>
          <w:b/>
          <w:color w:val="000000"/>
          <w:sz w:val="23"/>
        </w:rPr>
        <w:t>Grantee</w:t>
      </w:r>
      <w:r>
        <w:rPr>
          <w:rFonts w:ascii="Times New Roman" w:hAnsi="Times New Roman"/>
          <w:color w:val="000000"/>
          <w:sz w:val="20"/>
        </w:rPr>
        <w:t>”</w:t>
      </w:r>
      <w:r>
        <w:rPr>
          <w:rFonts w:ascii="Times New Roman" w:hAnsi="Times New Roman"/>
          <w:color w:val="000000"/>
          <w:sz w:val="23"/>
        </w:rPr>
        <w:t>). This Agreement is subject to all terms and provisions of the SEACOR Marine Holdings Inc. 2025 Equity Incentive Plan (and as amended, modified or supplemented from time to time, the “</w:t>
      </w:r>
      <w:r>
        <w:rPr>
          <w:rFonts w:ascii="Times New Roman" w:hAnsi="Times New Roman"/>
          <w:b/>
          <w:color w:val="000000"/>
          <w:sz w:val="23"/>
        </w:rPr>
        <w:t>Plan</w:t>
      </w:r>
      <w:r>
        <w:rPr>
          <w:rFonts w:ascii="Times New Roman" w:hAnsi="Times New Roman"/>
          <w:color w:val="000000"/>
          <w:sz w:val="20"/>
        </w:rPr>
        <w:t>”</w:t>
      </w:r>
      <w:r>
        <w:rPr>
          <w:rFonts w:ascii="Times New Roman" w:hAnsi="Times New Roman"/>
          <w:color w:val="000000"/>
          <w:sz w:val="23"/>
        </w:rPr>
        <w:t>), which are incorporated herein by reference. In the event of any conflict, the terms and provisions of the Plan shall control over the terms and provisions of this Agreement. All capitalized terms herein shall have the meanings given to such terms by the Plan unless otherwise defined herein or unless the context clearly indicates otherwise.</w:t>
      </w:r>
    </w:p>
    <w:p>
      <w:pPr>
        <w:pStyle w:val="TextBody"/>
        <w:bidi w:val="0"/>
        <w:jc w:val="left"/>
        <w:rPr/>
      </w:pPr>
      <w:r>
        <w:rPr/>
        <w:t> </w:t>
      </w:r>
    </w:p>
    <w:p>
      <w:pPr>
        <w:pStyle w:val="TextBody"/>
        <w:bidi w:val="0"/>
        <w:jc w:val="center"/>
        <w:rPr>
          <w:rFonts w:ascii="Times New Roman" w:hAnsi="Times New Roman"/>
          <w:color w:val="000000"/>
          <w:sz w:val="23"/>
        </w:rPr>
      </w:pPr>
      <w:r>
        <w:rPr>
          <w:rFonts w:ascii="Times New Roman" w:hAnsi="Times New Roman"/>
          <w:color w:val="000000"/>
          <w:sz w:val="23"/>
        </w:rPr>
        <w:t>W I T N E S S E T H:</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3"/>
        </w:rPr>
        <w:t>WHEREAS</w:t>
      </w:r>
      <w:r>
        <w:rPr>
          <w:rFonts w:ascii="Times New Roman" w:hAnsi="Times New Roman"/>
          <w:color w:val="000000"/>
          <w:sz w:val="23"/>
        </w:rPr>
        <w:t>, the Grantee is an employee of, or consultant to, the Company or its Affiliates;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3"/>
        </w:rPr>
        <w:t>WHEREAS</w:t>
      </w:r>
      <w:r>
        <w:rPr>
          <w:rFonts w:ascii="Times New Roman" w:hAnsi="Times New Roman"/>
          <w:color w:val="000000"/>
          <w:sz w:val="23"/>
        </w:rPr>
        <w:t>, the Company desires to issue and grant to the Grantee, and the Grantee desires to accept, this Award, upon the terms and subject to the conditions herein set forth;</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3"/>
        </w:rPr>
        <w:t>NOW, THEREFORE,</w:t>
      </w:r>
      <w:r>
        <w:rPr>
          <w:rFonts w:ascii="Times New Roman" w:hAnsi="Times New Roman"/>
          <w:color w:val="000000"/>
          <w:sz w:val="20"/>
        </w:rPr>
        <w:t xml:space="preserve"> </w:t>
      </w:r>
      <w:r>
        <w:rPr>
          <w:rFonts w:ascii="Times New Roman" w:hAnsi="Times New Roman"/>
          <w:color w:val="000000"/>
          <w:sz w:val="23"/>
        </w:rPr>
        <w:t>in consideration of the promises and the mutual covenants herein contained, the parties hereto, intending to be legally bound, hereby agree as follows:</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w:t>
      </w:r>
    </w:p>
    <w:p>
      <w:pPr>
        <w:pStyle w:val="TextBody"/>
        <w:bidi w:val="0"/>
        <w:jc w:val="both"/>
        <w:rPr/>
      </w:pPr>
      <w:r>
        <w:rPr>
          <w:rFonts w:ascii="Times New Roman" w:hAnsi="Times New Roman"/>
          <w:color w:val="000000"/>
          <w:sz w:val="23"/>
          <w:u w:val="single"/>
        </w:rPr>
        <w:t>Grant of Restricted Stock Units</w:t>
      </w:r>
      <w:r>
        <w:rPr>
          <w:rFonts w:ascii="Times New Roman" w:hAnsi="Times New Roman"/>
          <w:color w:val="000000"/>
          <w:sz w:val="23"/>
        </w:rPr>
        <w:t>. In recognition of the Grantee’s commitment to the continued growth and financial success of the Company, the Company hereby grants to the Grantee, on the terms and conditions hereinafter set forth, a performance-based Restricted Stock Unit Award consisting of [____] units (“</w:t>
      </w:r>
      <w:r>
        <w:rPr>
          <w:rFonts w:ascii="Times New Roman" w:hAnsi="Times New Roman"/>
          <w:b/>
          <w:color w:val="000000"/>
          <w:sz w:val="23"/>
        </w:rPr>
        <w:t>PRSUs</w:t>
      </w:r>
      <w:r>
        <w:rPr>
          <w:color w:val="000000"/>
        </w:rPr>
        <w:t>”</w:t>
      </w:r>
      <w:r>
        <w:rPr>
          <w:rFonts w:ascii="Times New Roman" w:hAnsi="Times New Roman"/>
          <w:color w:val="000000"/>
          <w:sz w:val="23"/>
        </w:rPr>
        <w:t xml:space="preserve">), which shall consist of five substantially equal tranches, Tranche A PRSUs consisting of [____] PRSUs, Tranche B PRSUs consisting of [____] PRSUs, Tranche C PRSUs consisting of [____] PRSUs, Tranche D PRSUs consisting of [____] PRSUs and Tranche E PRSUs consisting of [____] PRSUs. Each PRSU represents the right to receive one Share, subject to the terms set forth in this Agreement and the Plan.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Section 2.</w:t>
      </w:r>
    </w:p>
    <w:p>
      <w:pPr>
        <w:pStyle w:val="TextBody"/>
        <w:bidi w:val="0"/>
        <w:jc w:val="left"/>
        <w:rPr/>
      </w:pPr>
      <w:r>
        <w:rPr>
          <w:rFonts w:ascii="Times New Roman" w:hAnsi="Times New Roman"/>
          <w:color w:val="000000"/>
          <w:sz w:val="23"/>
          <w:u w:val="single"/>
        </w:rPr>
        <w:t>Vesting Requirements; Eligible Units</w:t>
      </w:r>
      <w:r>
        <w:rPr>
          <w:rFonts w:ascii="Times New Roman" w:hAnsi="Times New Roman"/>
          <w:color w:val="000000"/>
          <w:sz w:val="23"/>
        </w:rPr>
        <w:t>.</w:t>
      </w:r>
    </w:p>
    <w:p>
      <w:pPr>
        <w:pStyle w:val="TextBody"/>
        <w:bidi w:val="0"/>
        <w:jc w:val="both"/>
        <w:rPr>
          <w:rFonts w:ascii="Times New Roman" w:hAnsi="Times New Roman"/>
          <w:sz w:val="20"/>
        </w:rPr>
      </w:pPr>
      <w:r>
        <w:rPr>
          <w:rFonts w:ascii="Times New Roman" w:hAnsi="Times New Roman"/>
          <w:b/>
          <w:color w:val="000000"/>
          <w:sz w:val="23"/>
        </w:rPr>
        <w:t>Share Price Hurdle Conditions</w:t>
      </w:r>
      <w:r>
        <w:rPr>
          <w:rFonts w:ascii="Times New Roman" w:hAnsi="Times New Roman"/>
          <w:color w:val="000000"/>
          <w:sz w:val="23"/>
        </w:rPr>
        <w:t>: Except as otherwise provided herein, the PRSUs granted under this Agreement shall become eligible to vest upon the achievement of the following Share price hurdles (once the applicable price threshold is achieved, the “</w:t>
      </w:r>
      <w:r>
        <w:rPr>
          <w:rFonts w:ascii="Times New Roman" w:hAnsi="Times New Roman"/>
          <w:b/>
          <w:color w:val="000000"/>
          <w:sz w:val="23"/>
        </w:rPr>
        <w:t>Eligible Units</w:t>
      </w:r>
      <w:r>
        <w:rPr>
          <w:rFonts w:ascii="Times New Roman" w:hAnsi="Times New Roman"/>
          <w:color w:val="000000"/>
          <w:sz w:val="20"/>
        </w:rPr>
        <w:t>”</w:t>
      </w:r>
      <w:r>
        <w:rPr>
          <w:rFonts w:ascii="Times New Roman" w:hAnsi="Times New Roman"/>
          <w:color w:val="000000"/>
          <w:sz w:val="23"/>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Tranche A if the closing price of a Share on the NYSE is maintained at $7.67 and above for 60 consecutive trading days during the Performance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Tranche B if the closing price of a Share on the NYSE is maintained at $8.52 and above for 60 consecutive trading days during the Performance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Tranche C if the closing price of a Share on the NYSE is maintained at $9.38 and above for 60 consecutive trading days during the Performance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Tranche D if the closing price of a Share on the NYSE is maintained at $10.23 and above for</w:t>
      </w:r>
      <w:r>
        <w:rPr>
          <w:rFonts w:ascii="Times New Roman" w:hAnsi="Times New Roman"/>
          <w:color w:val="000000"/>
          <w:sz w:val="20"/>
        </w:rPr>
        <w:t xml:space="preserve"> </w:t>
      </w:r>
    </w:p>
    <w:p>
      <w:pPr>
        <w:pStyle w:val="TextBody"/>
        <w:bidi w:val="0"/>
        <w:jc w:val="left"/>
        <w:rPr>
          <w:rFonts w:ascii="Times New Roman" w:hAnsi="Times New Roman"/>
          <w:color w:val="FFFFFF"/>
          <w:sz w:val="10"/>
        </w:rPr>
      </w:pPr>
      <w:r>
        <w:rPr>
          <w:rFonts w:ascii="Times New Roman" w:hAnsi="Times New Roman"/>
          <w:color w:val="FFFFFF"/>
          <w:sz w:val="10"/>
        </w:rPr>
        <w:t>DEPTS.00106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3"/>
        </w:rPr>
        <w:t>60 consecutive trading days during the Performance Period; and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Tranche E if the closing price of a Share on the NYSE is maintained at $11.08 and above for 60 consecutive trading days during the Performance Period.</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b/>
          <w:color w:val="000000"/>
          <w:sz w:val="23"/>
        </w:rPr>
        <w:t>Performance Period</w:t>
      </w:r>
      <w:r>
        <w:rPr>
          <w:rFonts w:ascii="Times New Roman" w:hAnsi="Times New Roman"/>
          <w:color w:val="000000"/>
          <w:sz w:val="20"/>
        </w:rPr>
        <w:t xml:space="preserve">” </w:t>
      </w:r>
      <w:r>
        <w:rPr>
          <w:rFonts w:ascii="Times New Roman" w:hAnsi="Times New Roman"/>
          <w:color w:val="000000"/>
          <w:sz w:val="23"/>
        </w:rPr>
        <w:t>means the period beginning on and including the Grant Date and ending on and including the third (3</w:t>
      </w:r>
      <w:r>
        <w:rPr>
          <w:rFonts w:ascii="Times New Roman" w:hAnsi="Times New Roman"/>
          <w:color w:val="000000"/>
          <w:sz w:val="15"/>
        </w:rPr>
        <w:t>rd</w:t>
      </w:r>
      <w:r>
        <w:rPr>
          <w:rFonts w:ascii="Times New Roman" w:hAnsi="Times New Roman"/>
          <w:color w:val="000000"/>
          <w:sz w:val="23"/>
        </w:rPr>
        <w:t>) anniversary of the Grant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Except as set forth in Section 3 below, any Eligible Units that are earned pursuant to this Section 2 will only be settled in accordance with Section 5 if the Grantee remains continuously employed by the Company or an Affiliate through the last day of the Performance Period (the “</w:t>
      </w:r>
      <w:r>
        <w:rPr>
          <w:rFonts w:ascii="Times New Roman" w:hAnsi="Times New Roman"/>
          <w:b/>
          <w:color w:val="000000"/>
          <w:sz w:val="23"/>
        </w:rPr>
        <w:t>Time-Based Requirement</w:t>
      </w:r>
      <w:r>
        <w:rPr>
          <w:rFonts w:ascii="Times New Roman" w:hAnsi="Times New Roman"/>
          <w:color w:val="000000"/>
          <w:sz w:val="20"/>
        </w:rPr>
        <w:t>”</w:t>
      </w:r>
      <w:r>
        <w:rPr>
          <w:rFonts w:ascii="Times New Roman" w:hAnsi="Times New Roman"/>
          <w:color w:val="000000"/>
          <w:sz w:val="23"/>
        </w:rPr>
        <w:t>). Any PRSUs that do not constitute Eligible Units as of the last day of the Performance Period will be automatically forfeited without consideration.</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Section 3.</w:t>
      </w:r>
    </w:p>
    <w:p>
      <w:pPr>
        <w:pStyle w:val="TextBody"/>
        <w:bidi w:val="0"/>
        <w:jc w:val="left"/>
        <w:rPr/>
      </w:pPr>
      <w:r>
        <w:rPr>
          <w:rFonts w:ascii="Times New Roman" w:hAnsi="Times New Roman"/>
          <w:color w:val="000000"/>
          <w:sz w:val="23"/>
          <w:u w:val="single"/>
        </w:rPr>
        <w:t>Termination of Service</w:t>
      </w:r>
      <w:r>
        <w:rPr>
          <w:rFonts w:ascii="Times New Roman" w:hAnsi="Times New Roman"/>
          <w:color w:val="000000"/>
          <w:sz w:val="23"/>
        </w:rPr>
        <w:t xml:space="preserve">. </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3"/>
          <w:u w:val="single"/>
        </w:rPr>
        <w:t>Generally</w:t>
      </w:r>
      <w:r>
        <w:rPr>
          <w:rFonts w:ascii="Times New Roman" w:hAnsi="Times New Roman"/>
          <w:color w:val="000000"/>
          <w:sz w:val="23"/>
        </w:rPr>
        <w:t xml:space="preserve">. Except as otherwise provided herein, upon the occurrence of a termination of the Grantee’s employment with the Company for any reason, all unvested PRSUs (including any Eligible Units) will be forfeited and the Grantee will not be entitled to any compensation or other amount with respect to such forfeited PRSUs.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3"/>
          <w:u w:val="single"/>
        </w:rPr>
        <w:t>Qualifying Terminations</w:t>
      </w:r>
      <w:r>
        <w:rPr>
          <w:rFonts w:ascii="Times New Roman" w:hAnsi="Times New Roman"/>
          <w:color w:val="000000"/>
          <w:sz w:val="23"/>
        </w:rPr>
        <w:t>. Upon the occurrence of a termination of the Grantee’s employment with the Company as a result of (i) the Grantee’s death or Disability, (ii) the Grantee’s formal retirement from employment with the Company under acceptable circumstances as determined by the Committee in its sole discretion (which determination may be conditioned upon, among other things, the Grantee entering into a non-competition agreement with the Company), or (iii) the Company’s termination of the Grantee’s employment without Cause, the Time-Based Requirement shall be deemed to be waived, and any PRSUs that constitute Eligible Units as of the Grantee’s termination date will be settled in accordance with Section 5 below, and any PRSUs that do not constitute Eligible Units as of the Grantee’s termination date shall be automatically forfeited for no consideration.</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4.</w:t>
      </w:r>
    </w:p>
    <w:p>
      <w:pPr>
        <w:pStyle w:val="TextBody"/>
        <w:bidi w:val="0"/>
        <w:jc w:val="both"/>
        <w:rPr/>
      </w:pPr>
      <w:r>
        <w:rPr>
          <w:rFonts w:ascii="Times New Roman" w:hAnsi="Times New Roman"/>
          <w:color w:val="000000"/>
          <w:sz w:val="23"/>
          <w:u w:val="single"/>
        </w:rPr>
        <w:t>Change of Control</w:t>
      </w:r>
      <w:r>
        <w:rPr>
          <w:rFonts w:ascii="Times New Roman" w:hAnsi="Times New Roman"/>
          <w:color w:val="000000"/>
          <w:sz w:val="23"/>
        </w:rPr>
        <w:t xml:space="preserve">. Upon the consummation of a Change of Control, the Grantee shall immediately become vested in any PRSUs that were Eligible Units as of immediately prior to such Change of Control (i.e., the Time-Based Requirement shall be deemed to be waived with respect to such Eligible Units), and the Grantee shall also vest in all or a portion of any then-unearned PRSUs based on the value of the per Share consideration received by the Company’s shareholders in relation to the applicable Share price hurdles set forth in Section 2 above (with any PRSUs that vest as a result of the foregoing being deemed to be Eligible Units for purposes of this Agreement). Any PRSUs that do not vest as a result of the immediately foregoing sentence shall be automatically forfeited immediately following the Change of Control for no consideration. </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5.</w:t>
      </w:r>
    </w:p>
    <w:p>
      <w:pPr>
        <w:pStyle w:val="TextBody"/>
        <w:bidi w:val="0"/>
        <w:jc w:val="both"/>
        <w:rPr/>
      </w:pPr>
      <w:r>
        <w:rPr>
          <w:rFonts w:ascii="Times New Roman" w:hAnsi="Times New Roman"/>
          <w:color w:val="000000"/>
          <w:sz w:val="24"/>
          <w:u w:val="single"/>
        </w:rPr>
        <w:t>Settlement</w:t>
      </w:r>
      <w:r>
        <w:rPr>
          <w:rFonts w:ascii="Times New Roman" w:hAnsi="Times New Roman"/>
          <w:color w:val="000000"/>
          <w:sz w:val="24"/>
        </w:rPr>
        <w:t xml:space="preserve">. On or immediately following (but in no event later than 10 days following) the earlier of (1) the last day of the Performance Period, or (2) a Change of Control (provided that such Change of Control also constitutes a “change in control event”, as defined in </w:t>
      </w:r>
      <w:r>
        <w:rPr>
          <w:rFonts w:ascii="Times New Roman" w:hAnsi="Times New Roman"/>
          <w:color w:val="000000"/>
          <w:sz w:val="23"/>
        </w:rPr>
        <w:t>Treasury Regulation §1.409A-3(i)(5)</w:t>
      </w:r>
      <w:r>
        <w:rPr>
          <w:rFonts w:ascii="Times New Roman" w:hAnsi="Times New Roman"/>
          <w:color w:val="000000"/>
          <w:sz w:val="24"/>
        </w:rPr>
        <w:t xml:space="preserve">), any Eligible Units will be paid by delivering to the Grantee a number of Shares equal to the number of Eligible Units (or the per share consideration received by the shareholders of the Company if such settlement occurs in connection with or following a Change of Control); provided, however, that, if the settlement date occurs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during a trading “blackout” period with respect to the Grantee (a “</w:t>
      </w:r>
      <w:r>
        <w:rPr>
          <w:rFonts w:ascii="Times New Roman" w:hAnsi="Times New Roman"/>
          <w:b/>
          <w:color w:val="000000"/>
          <w:sz w:val="24"/>
        </w:rPr>
        <w:t>Blackout Period</w:t>
      </w:r>
      <w:r>
        <w:rPr>
          <w:color w:val="000000"/>
        </w:rPr>
        <w:t>”</w:t>
      </w:r>
      <w:r>
        <w:rPr>
          <w:rFonts w:ascii="Times New Roman" w:hAnsi="Times New Roman"/>
          <w:color w:val="000000"/>
          <w:sz w:val="24"/>
        </w:rPr>
        <w:t>), then the Shares otherwise required to be delivered on such settlement date shall instead be delivered on the earlier of (a) the first day following the termination of the applicable Blackout Period, or (b) December 31 of the year in which the settlement date was originally scheduled to occur. Notwithstanding the foregoing, any Eligible Units that become payable upon the Grantee’s death shall instead be paid within 30 days following the date of the Grantee’s death.</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6.</w:t>
      </w:r>
    </w:p>
    <w:p>
      <w:pPr>
        <w:pStyle w:val="TextBody"/>
        <w:bidi w:val="0"/>
        <w:jc w:val="both"/>
        <w:rPr/>
      </w:pPr>
      <w:r>
        <w:rPr>
          <w:rFonts w:ascii="Times New Roman" w:hAnsi="Times New Roman"/>
          <w:color w:val="000000"/>
          <w:sz w:val="23"/>
          <w:u w:val="single"/>
        </w:rPr>
        <w:t>Restrictions on Transfer</w:t>
      </w:r>
      <w:r>
        <w:rPr>
          <w:rFonts w:ascii="Times New Roman" w:hAnsi="Times New Roman"/>
          <w:color w:val="000000"/>
          <w:sz w:val="23"/>
        </w:rPr>
        <w:t xml:space="preserve">. No PRSUs (nor any interest therein) may be sold, assigned, transferred, pledged, hypothecated or otherwise disposed of, shall not be assignable by operation of law and shall not be subject to execution, attachment or similar process, otherwise than by will or by the laws of descent and distribution. Any attempted sale, assignment, transfer, pledge, hypothecation or other disposition of any PRSUs (or any interest therein) contrary to the provisions hereof shall be null and void and without effect. Notwithstanding the foregoing, PRSUs may be transferred by the Grantee solely to the Grantee’s spouse, siblings, parents, children and grandchildren or trusts for the benefit of such persons or partnerships, corporations, limited liability companies or other entities owned solely by such persons, including trusts for such persons. The Grantee may sell, assign and/or transfer any Shares issued in respect of the PRSUs pursuant to this Agreement, in whole or in part, subject to compliance with the Company’s securities trading policies in effect from time to time. </w:t>
      </w:r>
    </w:p>
    <w:p>
      <w:pPr>
        <w:pStyle w:val="TextBody"/>
        <w:bidi w:val="0"/>
        <w:jc w:val="left"/>
        <w:rPr/>
      </w:pPr>
      <w:r>
        <w:rPr/>
        <w:t> </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Section 7.</w:t>
      </w:r>
    </w:p>
    <w:p>
      <w:pPr>
        <w:pStyle w:val="TextBody"/>
        <w:bidi w:val="0"/>
        <w:jc w:val="left"/>
        <w:rPr/>
      </w:pPr>
      <w:r>
        <w:rPr>
          <w:rFonts w:ascii="Times New Roman" w:hAnsi="Times New Roman"/>
          <w:color w:val="000000"/>
          <w:sz w:val="23"/>
          <w:u w:val="single"/>
        </w:rPr>
        <w:t>Representations and Warranties of Grantee</w:t>
      </w:r>
      <w:r>
        <w:rPr>
          <w:rFonts w:ascii="Times New Roman" w:hAnsi="Times New Roman"/>
          <w:color w:val="000000"/>
          <w:sz w:val="23"/>
        </w:rPr>
        <w:t>. The Grantee hereby represents and warrants to the Company as follows:</w:t>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A. The Grantee has the legal right and capacity to enter into this Agreement and fully understands the terms and conditions of this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B. The Grantee is acquiring the PRSUs (and any Shares issued thereunder) for investment purposes only and not with a view to, or in connection with, the public distribution thereof in violation of the Securities Act of 1933, as amended (the “</w:t>
      </w:r>
      <w:r>
        <w:rPr>
          <w:rFonts w:ascii="Times New Roman" w:hAnsi="Times New Roman"/>
          <w:b/>
          <w:color w:val="000000"/>
          <w:sz w:val="23"/>
        </w:rPr>
        <w:t>Securities Act</w:t>
      </w:r>
      <w:r>
        <w:rPr>
          <w:rFonts w:ascii="Times New Roman" w:hAnsi="Times New Roman"/>
          <w:color w:val="000000"/>
          <w:sz w:val="20"/>
        </w:rPr>
        <w:t>”</w:t>
      </w:r>
      <w:r>
        <w:rPr>
          <w:rFonts w:ascii="Times New Roman" w:hAnsi="Times New Roman"/>
          <w:color w:val="000000"/>
          <w:sz w:val="23"/>
        </w:rPr>
        <w: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C. If any PRSUs or the Shares thereunder shall be registered under the Securities Act, no public offering (otherwise than on a national securities exchange, as defined in the Securities Exchange Act of 1934, as amended) of any Shares acquired hereunder shall be made by the Grantee (or any other person) under such circumstances that he or she (or such person) may be deemed an underwriter, as defined in the Securities Act.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3"/>
        </w:rPr>
        <w:t>D. The Grantee understands and agrees that none of the PRSUs or the Shares thereunder may be offered, sold, assigned, transferred, pledged, hypothecated or otherwise disposed of except in compliance with this Agreement and the Securities Act pursuant to an effective registration statement or applicable exemption from the registration requirements of the Securities Act and applicable state securities or “blue sky” laws, and then only in accordance with any applicable insider trading policy of the Company (as may be in effect from time to time, the “</w:t>
      </w:r>
      <w:r>
        <w:rPr>
          <w:rFonts w:ascii="Times New Roman" w:hAnsi="Times New Roman"/>
          <w:b/>
          <w:color w:val="000000"/>
          <w:sz w:val="23"/>
        </w:rPr>
        <w:t>Insider Trading Policy</w:t>
      </w:r>
      <w:r>
        <w:rPr>
          <w:rFonts w:ascii="Times New Roman" w:hAnsi="Times New Roman"/>
          <w:color w:val="000000"/>
          <w:sz w:val="20"/>
        </w:rPr>
        <w:t>”</w:t>
      </w:r>
      <w:r>
        <w:rPr>
          <w:rFonts w:ascii="Times New Roman" w:hAnsi="Times New Roman"/>
          <w:color w:val="000000"/>
          <w:sz w:val="23"/>
        </w:rPr>
        <w:t>). The Grantee further understands that the Company has no obligation to cause or to refrain from causing the resale of any Shares issued in respect of the PRSUs or shares of its capital stock to be registered under the Securities Act or to comply with any exemption under the Securities Act which would permit any Shares issued in respect of the PRSUs to be sold or otherwise transferred by the Grantee. The Grantee further understands that, without approval in writing pursuant to the Insider Trading Policy, no trade may be executed in any interest or position relating to the future price of Company securities, such as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a put option, call option, or short sale (which prohibition includes, among other things, establishing any “collar” or other mechanism for the purpose of establishing a price).</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E. Notwithstanding anything herein to the contrary, the Company shall have no obligation to deliver any Shares hereunder or make any other distribution of benefits under hereunder unless such delivery or distribution would comply with all applicable laws (including, without limitation, the Securities Act), and the applicable requirements of any securities exchange or similar entity.</w:t>
      </w:r>
    </w:p>
    <w:p>
      <w:pPr>
        <w:pStyle w:val="TextBody"/>
        <w:bidi w:val="0"/>
        <w:jc w:val="left"/>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8.</w:t>
      </w:r>
    </w:p>
    <w:p>
      <w:pPr>
        <w:pStyle w:val="TextBody"/>
        <w:bidi w:val="0"/>
        <w:jc w:val="both"/>
        <w:rPr/>
      </w:pPr>
      <w:r>
        <w:rPr>
          <w:rFonts w:ascii="Times New Roman" w:hAnsi="Times New Roman"/>
          <w:color w:val="000000"/>
          <w:sz w:val="23"/>
          <w:u w:val="single"/>
        </w:rPr>
        <w:t>Notices</w:t>
      </w:r>
      <w:r>
        <w:rPr>
          <w:rFonts w:ascii="Times New Roman" w:hAnsi="Times New Roman"/>
          <w:color w:val="000000"/>
          <w:sz w:val="23"/>
        </w:rPr>
        <w:t>. Any notice required or permitted hereunder shall be deemed given, if to the Grantee, when delivered (a) by a nationally recognized overnight delivery service (receipt requested), (b) by e-mail or other electronic means, or (c) by certified or registered mail, return receipt requested, postage prepaid, at such address as the Company shall maintain for the Grantee in its personnel records or such other address as he or she may designate in writing to the Company. Grantee will promptly notify the Company in writing upon any change in Grantee’s mailing address or e-mail address. Any notice required or permitted hereunder shall be deemed given, if to the Company, when delivered by certified or registered mail, return receipt requested, postage prepaid, to the Company, at 12121 Wickchester Lane, Suite 500, Houston, TX 77079, Attention: General Counsel or such other address as the Company may designate in writing to the Grantee.</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9.</w:t>
      </w:r>
    </w:p>
    <w:p>
      <w:pPr>
        <w:pStyle w:val="TextBody"/>
        <w:bidi w:val="0"/>
        <w:jc w:val="both"/>
        <w:rPr/>
      </w:pPr>
      <w:r>
        <w:rPr>
          <w:rFonts w:ascii="Times New Roman" w:hAnsi="Times New Roman"/>
          <w:color w:val="000000"/>
          <w:sz w:val="23"/>
          <w:u w:val="single"/>
        </w:rPr>
        <w:t>Adjustments</w:t>
      </w:r>
      <w:r>
        <w:rPr>
          <w:rFonts w:ascii="Times New Roman" w:hAnsi="Times New Roman"/>
          <w:color w:val="000000"/>
          <w:sz w:val="23"/>
        </w:rPr>
        <w:t>. The PRSUs granted under this Agreement shall be subject to adjustment as provided in Section 4(b) of the Plan.</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10.</w:t>
      </w:r>
    </w:p>
    <w:p>
      <w:pPr>
        <w:pStyle w:val="TextBody"/>
        <w:bidi w:val="0"/>
        <w:jc w:val="both"/>
        <w:rPr/>
      </w:pPr>
      <w:r>
        <w:rPr>
          <w:rFonts w:ascii="Times New Roman" w:hAnsi="Times New Roman"/>
          <w:color w:val="000000"/>
          <w:sz w:val="23"/>
          <w:u w:val="single"/>
        </w:rPr>
        <w:t>Tenure</w:t>
      </w:r>
      <w:r>
        <w:rPr>
          <w:rFonts w:ascii="Times New Roman" w:hAnsi="Times New Roman"/>
          <w:color w:val="000000"/>
          <w:sz w:val="23"/>
        </w:rPr>
        <w:t>. The Grantee’s right to continue to serve the Company or any of its Affiliates as an officer, employee, or otherwise, shall not be enlarged or otherwise affected by the award hereunder.</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11.</w:t>
      </w:r>
    </w:p>
    <w:p>
      <w:pPr>
        <w:pStyle w:val="TextBody"/>
        <w:bidi w:val="0"/>
        <w:jc w:val="both"/>
        <w:rPr/>
      </w:pPr>
      <w:r>
        <w:rPr>
          <w:rFonts w:ascii="Times New Roman" w:hAnsi="Times New Roman"/>
          <w:color w:val="000000"/>
          <w:sz w:val="23"/>
          <w:u w:val="single"/>
        </w:rPr>
        <w:t>Limitation of Rights as a Shareholder</w:t>
      </w:r>
      <w:r>
        <w:rPr>
          <w:rFonts w:ascii="Times New Roman" w:hAnsi="Times New Roman"/>
          <w:color w:val="000000"/>
          <w:sz w:val="23"/>
        </w:rPr>
        <w:t xml:space="preserve">. The Grantee will not have any privileges of a stockholder of the Company with respect to the PRSUs, including, without limitation, any right to vote any Shares underlying such PRSUs; except, that, if determined by the Committee in its sole discretion, the Grantee may have the right to receive dividend equivalents in respect of the Shares underlying the PRSUs (to the extend dividends are paid). The amount of any dividend equivalent(s) otherwise payable on the PRSUs shall be held in escrow from and after the dividend payment date until there is a settlement and delivery of Shares to the Grantee in accordance with Section 5 hereof, at which time such dividend equivalents (if any) will be paid. </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12.</w:t>
      </w:r>
    </w:p>
    <w:p>
      <w:pPr>
        <w:pStyle w:val="TextBody"/>
        <w:bidi w:val="0"/>
        <w:jc w:val="both"/>
        <w:rPr/>
      </w:pPr>
      <w:r>
        <w:rPr>
          <w:rFonts w:ascii="Times New Roman" w:hAnsi="Times New Roman"/>
          <w:color w:val="000000"/>
          <w:sz w:val="23"/>
          <w:u w:val="single"/>
        </w:rPr>
        <w:t>Clawback</w:t>
      </w:r>
      <w:r>
        <w:rPr>
          <w:rFonts w:ascii="Times New Roman" w:hAnsi="Times New Roman"/>
          <w:color w:val="000000"/>
          <w:sz w:val="23"/>
        </w:rPr>
        <w:t>. The PRSUs and any Shares issued in respect thereof will be subject to such clawback provisions as may be required to be made pursuant to any applicable law, government regulation or stock exchange listing requirement, or other applicable Company policy.</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13.</w:t>
      </w:r>
    </w:p>
    <w:p>
      <w:pPr>
        <w:pStyle w:val="TextBody"/>
        <w:bidi w:val="0"/>
        <w:jc w:val="both"/>
        <w:rPr/>
      </w:pPr>
      <w:r>
        <w:rPr>
          <w:rFonts w:ascii="Times New Roman" w:hAnsi="Times New Roman"/>
          <w:color w:val="000000"/>
          <w:sz w:val="23"/>
          <w:u w:val="single"/>
        </w:rPr>
        <w:t>Governing Law; Entire Agreement</w:t>
      </w:r>
      <w:r>
        <w:rPr>
          <w:rFonts w:ascii="Times New Roman" w:hAnsi="Times New Roman"/>
          <w:color w:val="000000"/>
          <w:sz w:val="23"/>
        </w:rPr>
        <w:t>. This Agreement shall be governed by, and construed and enforced in accordance with, the laws of the State of Delaware, without giving effect to principles and provisions thereof relating to conflict or choice of laws. This Agreement contains the entire understanding of the parties hereto with respect to the PRSUs and any Shares issued in respect thereof and supersedes all prior agreements, discussions and understandings with respect to such subject matter.</w:t>
      </w:r>
    </w:p>
    <w:p>
      <w:pPr>
        <w:pStyle w:val="TextBody"/>
        <w:bidi w:val="0"/>
        <w:jc w:val="left"/>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14.</w:t>
      </w:r>
    </w:p>
    <w:p>
      <w:pPr>
        <w:pStyle w:val="TextBody"/>
        <w:bidi w:val="0"/>
        <w:jc w:val="both"/>
        <w:rPr/>
      </w:pPr>
      <w:r>
        <w:rPr>
          <w:rFonts w:ascii="Times New Roman" w:hAnsi="Times New Roman"/>
          <w:color w:val="000000"/>
          <w:sz w:val="23"/>
          <w:u w:val="single"/>
        </w:rPr>
        <w:t>Counterparts</w:t>
      </w:r>
      <w:r>
        <w:rPr>
          <w:rFonts w:ascii="Times New Roman" w:hAnsi="Times New Roman"/>
          <w:color w:val="000000"/>
          <w:sz w:val="23"/>
        </w:rPr>
        <w:t xml:space="preserve">. This Agreement may be executed in counterparts, each of which shall be deemed to be an original, but all of which together shall constitute but one and the same instrument.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15.</w:t>
      </w:r>
    </w:p>
    <w:p>
      <w:pPr>
        <w:pStyle w:val="TextBody"/>
        <w:bidi w:val="0"/>
        <w:jc w:val="both"/>
        <w:rPr/>
      </w:pPr>
      <w:r>
        <w:rPr>
          <w:rFonts w:ascii="Times New Roman" w:hAnsi="Times New Roman"/>
          <w:color w:val="000000"/>
          <w:sz w:val="23"/>
          <w:u w:val="single"/>
        </w:rPr>
        <w:t>Benefit and Binding Effec</w:t>
      </w:r>
      <w:r>
        <w:rPr>
          <w:rFonts w:ascii="Times New Roman" w:hAnsi="Times New Roman"/>
          <w:color w:val="000000"/>
          <w:sz w:val="23"/>
        </w:rPr>
        <w:t>t. This Agreement shall be binding upon and shall inure to the benefit of the Company, its successors and assigns, and the Grantee, his or her executors, administrators, personal representatives and heirs. In the event that any part of this Agreement shall be held to be invalid or unenforceable, the remaining parts hereof shall nevertheless continue to be valid and enforceable as though the invalid portions were not a part hereof.</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16.</w:t>
      </w:r>
    </w:p>
    <w:p>
      <w:pPr>
        <w:pStyle w:val="TextBody"/>
        <w:bidi w:val="0"/>
        <w:jc w:val="both"/>
        <w:rPr/>
      </w:pPr>
      <w:r>
        <w:rPr>
          <w:rFonts w:ascii="Times New Roman" w:hAnsi="Times New Roman"/>
          <w:color w:val="000000"/>
          <w:sz w:val="23"/>
          <w:u w:val="single"/>
        </w:rPr>
        <w:t>Severability</w:t>
      </w:r>
      <w:r>
        <w:rPr>
          <w:rFonts w:ascii="Times New Roman" w:hAnsi="Times New Roman"/>
          <w:color w:val="000000"/>
          <w:sz w:val="23"/>
        </w:rPr>
        <w:t>. The invalidity or unenforceability of any provision of the Plan or this Award Agreement will not affect the validity or enforceability of any other provision of the Plan or this Award Agreement, and each provision of the Plan and this Award Agreement will be severable and enforceable to the extent permitted by law.</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17.</w:t>
      </w:r>
    </w:p>
    <w:p>
      <w:pPr>
        <w:pStyle w:val="TextBody"/>
        <w:bidi w:val="0"/>
        <w:jc w:val="both"/>
        <w:rPr/>
      </w:pPr>
      <w:r>
        <w:rPr>
          <w:rFonts w:ascii="Times New Roman" w:hAnsi="Times New Roman"/>
          <w:color w:val="000000"/>
          <w:sz w:val="23"/>
          <w:u w:val="single"/>
        </w:rPr>
        <w:t>Section 409A</w:t>
      </w:r>
      <w:r>
        <w:rPr>
          <w:rFonts w:ascii="Times New Roman" w:hAnsi="Times New Roman"/>
          <w:color w:val="000000"/>
          <w:sz w:val="23"/>
        </w:rPr>
        <w:t>. This Agreement is intended to comply with Section 409A or an exemption thereunder and will be construed and administered in accordance with Section 409A. The PRSUs granted hereunder will be subject to Section 16 of the Plan.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Grantee on account of non-compliance with Section 409A.</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18.</w:t>
      </w:r>
    </w:p>
    <w:p>
      <w:pPr>
        <w:pStyle w:val="TextBody"/>
        <w:bidi w:val="0"/>
        <w:jc w:val="both"/>
        <w:rPr/>
      </w:pPr>
      <w:r>
        <w:rPr>
          <w:rFonts w:ascii="Times New Roman" w:hAnsi="Times New Roman"/>
          <w:color w:val="000000"/>
          <w:sz w:val="23"/>
          <w:u w:val="single"/>
        </w:rPr>
        <w:t>Taxes; Withholding</w:t>
      </w:r>
      <w:r>
        <w:rPr>
          <w:rFonts w:ascii="Times New Roman" w:hAnsi="Times New Roman"/>
          <w:color w:val="000000"/>
          <w:sz w:val="23"/>
        </w:rPr>
        <w:t xml:space="preserve">. The Grantee acknowledges and agrees that if required by law, the Company may withhold or cause to be withheld federal, state and/or local income or any other applicable taxes in connection with the vesting or settlement of the PRSUs in accordance with the provisions of the Plan. Notwithstanding the generality of the foregoing, </w:t>
      </w:r>
      <w:r>
        <w:rPr>
          <w:rFonts w:ascii="Times New Roman" w:hAnsi="Times New Roman"/>
          <w:color w:val="000000"/>
          <w:sz w:val="24"/>
        </w:rPr>
        <w:t xml:space="preserve">all payments or distributions in respect of the PRSUs or with respect thereto shall be net of any amounts required to be withheld pursuant to applicable federal, national, state and local tax withholding requirements. The Company shall </w:t>
      </w:r>
      <w:r>
        <w:rPr>
          <w:rFonts w:ascii="Times New Roman" w:hAnsi="Times New Roman"/>
          <w:color w:val="000000"/>
          <w:sz w:val="23"/>
        </w:rPr>
        <w:t>have the right to withhold the amount of such taxes from any other sums due or to become due from the Company to the Grantee as the Company shall determine. The Company may, in its discretion and subject to such rules as it may adopt (including any as may be required to satisfy applicable tax), permit the Grantee to pay all or a portion of the federal, national, state and local withholding taxes arising in connection with the vesting or settlement of the PRSUs and any payments or distributions with respect thereto by electing to have the Company withhold Shares having a Fair Market Value equal to the amount to be withheld.</w:t>
      </w:r>
    </w:p>
    <w:p>
      <w:pPr>
        <w:pStyle w:val="TextBody"/>
        <w:bidi w:val="0"/>
        <w:jc w:val="both"/>
        <w:rPr/>
      </w:pPr>
      <w:r>
        <w:rPr/>
        <w:t> </w:t>
      </w:r>
    </w:p>
    <w:p>
      <w:pPr>
        <w:pStyle w:val="TextBody"/>
        <w:bidi w:val="0"/>
        <w:spacing w:before="0" w:after="0"/>
        <w:jc w:val="both"/>
        <w:rPr>
          <w:rFonts w:ascii="Times New Roman" w:hAnsi="Times New Roman"/>
          <w:color w:val="000000"/>
          <w:sz w:val="24"/>
          <w:u w:val="single"/>
        </w:rPr>
      </w:pPr>
      <w:r>
        <w:rPr>
          <w:rFonts w:ascii="Times New Roman" w:hAnsi="Times New Roman"/>
          <w:color w:val="000000"/>
          <w:sz w:val="24"/>
          <w:u w:val="single"/>
        </w:rPr>
        <w:t>Section 19.</w:t>
      </w:r>
    </w:p>
    <w:p>
      <w:pPr>
        <w:pStyle w:val="TextBody"/>
        <w:bidi w:val="0"/>
        <w:jc w:val="both"/>
        <w:rPr/>
      </w:pPr>
      <w:r>
        <w:rPr>
          <w:rFonts w:ascii="Times New Roman" w:hAnsi="Times New Roman"/>
          <w:color w:val="000000"/>
          <w:sz w:val="23"/>
          <w:u w:val="single"/>
        </w:rPr>
        <w:t>Amendment and Termination</w:t>
      </w:r>
      <w:r>
        <w:rPr>
          <w:rFonts w:ascii="Times New Roman" w:hAnsi="Times New Roman"/>
          <w:color w:val="000000"/>
          <w:sz w:val="23"/>
        </w:rPr>
        <w:t>. Subject to the terms of the Plan, this Agreement may not be amended or terminated unless such amendment or termination is in writing and duly executed by each of the parties hereto.</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3"/>
        </w:rPr>
      </w:pPr>
      <w:r>
        <w:rPr>
          <w:rFonts w:ascii="Times New Roman" w:hAnsi="Times New Roman"/>
          <w:color w:val="000000"/>
          <w:sz w:val="23"/>
        </w:rPr>
        <w:t>(SIGNATURES ON FOLLOWING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3"/>
        </w:rPr>
        <w:t>IN WITNESS WHEREOF,</w:t>
      </w:r>
      <w:r>
        <w:rPr>
          <w:rFonts w:ascii="Times New Roman" w:hAnsi="Times New Roman"/>
          <w:color w:val="000000"/>
          <w:sz w:val="20"/>
        </w:rPr>
        <w:t xml:space="preserve"> </w:t>
      </w:r>
      <w:r>
        <w:rPr>
          <w:rFonts w:ascii="Times New Roman" w:hAnsi="Times New Roman"/>
          <w:color w:val="000000"/>
          <w:sz w:val="23"/>
        </w:rPr>
        <w:t>the Company has executed this Agreement on the date and year first written above.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SEACOR MARINE HOLDINGS INC.</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____________________________________</w:t>
      </w:r>
    </w:p>
    <w:p>
      <w:pPr>
        <w:pStyle w:val="TextBody"/>
        <w:bidi w:val="0"/>
        <w:jc w:val="both"/>
        <w:rPr>
          <w:rFonts w:ascii="Times New Roman" w:hAnsi="Times New Roman"/>
          <w:b/>
          <w:color w:val="000000"/>
          <w:sz w:val="24"/>
        </w:rPr>
      </w:pPr>
      <w:r>
        <w:rPr>
          <w:rFonts w:ascii="Times New Roman" w:hAnsi="Times New Roman"/>
          <w:b/>
          <w:color w:val="000000"/>
          <w:sz w:val="24"/>
        </w:rPr>
        <w:t>[Name]</w:t>
      </w:r>
    </w:p>
    <w:p>
      <w:pPr>
        <w:pStyle w:val="TextBody"/>
        <w:bidi w:val="0"/>
        <w:jc w:val="both"/>
        <w:rPr>
          <w:rFonts w:ascii="Times New Roman" w:hAnsi="Times New Roman"/>
          <w:sz w:val="20"/>
        </w:rPr>
      </w:pPr>
      <w:r>
        <w:rPr>
          <w:rFonts w:ascii="Times New Roman" w:hAnsi="Times New Roman"/>
          <w:b/>
          <w:color w:val="000000"/>
          <w:sz w:val="24"/>
        </w:rPr>
        <w:t>[Title]</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accepts, and agrees to, all terms and provisions of the foregoing Performance Restricted Stock Unit Grant Agreement.</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______________________________________________</w:t>
      </w:r>
    </w:p>
    <w:p>
      <w:pPr>
        <w:pStyle w:val="TextBody"/>
        <w:bidi w:val="0"/>
        <w:jc w:val="both"/>
        <w:rPr>
          <w:rFonts w:ascii="Times New Roman" w:hAnsi="Times New Roman"/>
          <w:color w:val="000000"/>
          <w:sz w:val="23"/>
        </w:rPr>
      </w:pPr>
      <w:r>
        <w:rPr>
          <w:rFonts w:ascii="Times New Roman" w:hAnsi="Times New Roman"/>
          <w:color w:val="000000"/>
          <w:sz w:val="23"/>
        </w:rPr>
        <w:t>Name: ________________________________________</w:t>
      </w:r>
    </w:p>
    <w:p>
      <w:pPr>
        <w:pStyle w:val="TextBody"/>
        <w:bidi w:val="0"/>
        <w:jc w:val="both"/>
        <w:rPr>
          <w:rFonts w:ascii="Times New Roman" w:hAnsi="Times New Roman"/>
          <w:color w:val="000000"/>
          <w:sz w:val="23"/>
        </w:rPr>
      </w:pPr>
      <w:r>
        <w:rPr>
          <w:rFonts w:ascii="Times New Roman" w:hAnsi="Times New Roman"/>
          <w:color w:val="000000"/>
          <w:sz w:val="23"/>
        </w:rPr>
        <w:t>Dated: ________________________________________</w:t>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smhi-ex31_1.htm"/>
      <w:bookmarkStart w:id="29" w:name="kssmhiex31_1"/>
      <w:bookmarkEnd w:id="28"/>
      <w:bookmarkEnd w:id="29"/>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AND 15d-14(a),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Gellert,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SEACOR Marine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887" w:type="dxa"/>
        <w:jc w:val="left"/>
        <w:tblInd w:w="0" w:type="dxa"/>
        <w:tblLayout w:type="fixed"/>
        <w:tblCellMar>
          <w:top w:w="28" w:type="dxa"/>
          <w:left w:w="28" w:type="dxa"/>
          <w:bottom w:w="28" w:type="dxa"/>
          <w:right w:w="28" w:type="dxa"/>
        </w:tblCellMar>
      </w:tblPr>
      <w:tblGrid>
        <w:gridCol w:w="6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3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r>
        <w:trPr/>
        <w:tc>
          <w:tcPr>
            <w:tcW w:w="388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0" w:name="smhi-ex31_2.htm"/>
      <w:bookmarkStart w:id="31" w:name="kssmhiex31_2"/>
      <w:bookmarkEnd w:id="30"/>
      <w:bookmarkEnd w:id="31"/>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 13a-14(a) AND RULE 15d-14(a), AS AMENDED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Jesús Llorca,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quarterly report on Form 10-Q of SEACOR Marine Holdings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182" w:type="dxa"/>
        <w:jc w:val="left"/>
        <w:tblInd w:w="0" w:type="dxa"/>
        <w:tblLayout w:type="fixed"/>
        <w:tblCellMar>
          <w:top w:w="28" w:type="dxa"/>
          <w:left w:w="28" w:type="dxa"/>
          <w:bottom w:w="28" w:type="dxa"/>
          <w:right w:w="28" w:type="dxa"/>
        </w:tblCellMar>
      </w:tblPr>
      <w:tblGrid>
        <w:gridCol w:w="646"/>
        <w:gridCol w:w="2536"/>
      </w:tblGrid>
      <w:tr>
        <w:trPr/>
        <w:tc>
          <w:tcPr>
            <w:tcW w:w="6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Executive Vice President and</w:t>
            </w:r>
          </w:p>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2" w:name="smhi-ex32.htm"/>
      <w:bookmarkStart w:id="33" w:name="kssmhiex32"/>
      <w:bookmarkEnd w:id="32"/>
      <w:bookmarkEnd w:id="33"/>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AND CHIEF FINANCIAL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BY SECTION 906 OF THE SARBANES-OXLEY ACT OF 2002</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of the undersigned, the Chief Executive Officer and the Chief Financial Officer of SEACOR Marine Holdings Inc. (the “Company”), hereby certifies, to the best of her/his knowledge and belief, that the Form 10-Q of the Company for the quarterly period ended March 31, 2026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pStyle w:val="TextBody"/>
        <w:bidi w:val="0"/>
        <w:jc w:val="both"/>
        <w:rPr/>
      </w:pPr>
      <w:r>
        <w:rPr/>
        <w:t> </w:t>
      </w:r>
    </w:p>
    <w:tbl>
      <w:tblPr>
        <w:tblW w:w="3887" w:type="dxa"/>
        <w:jc w:val="left"/>
        <w:tblInd w:w="0" w:type="dxa"/>
        <w:tblLayout w:type="fixed"/>
        <w:tblCellMar>
          <w:top w:w="28" w:type="dxa"/>
          <w:left w:w="28" w:type="dxa"/>
          <w:bottom w:w="28" w:type="dxa"/>
          <w:right w:w="28" w:type="dxa"/>
        </w:tblCellMar>
      </w:tblPr>
      <w:tblGrid>
        <w:gridCol w:w="646"/>
        <w:gridCol w:w="3241"/>
      </w:tblGrid>
      <w:tr>
        <w:trPr/>
        <w:tc>
          <w:tcPr>
            <w:tcW w:w="646"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r>
        <w:trPr/>
        <w:tc>
          <w:tcPr>
            <w:tcW w:w="388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Gellert</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tbl>
      <w:tblPr>
        <w:tblW w:w="3182" w:type="dxa"/>
        <w:jc w:val="left"/>
        <w:tblInd w:w="0" w:type="dxa"/>
        <w:tblLayout w:type="fixed"/>
        <w:tblCellMar>
          <w:top w:w="28" w:type="dxa"/>
          <w:left w:w="28" w:type="dxa"/>
          <w:bottom w:w="28" w:type="dxa"/>
          <w:right w:w="28" w:type="dxa"/>
        </w:tblCellMar>
      </w:tblPr>
      <w:tblGrid>
        <w:gridCol w:w="646"/>
        <w:gridCol w:w="2536"/>
      </w:tblGrid>
      <w:tr>
        <w:trPr/>
        <w:tc>
          <w:tcPr>
            <w:tcW w:w="6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2026</w:t>
            </w:r>
          </w:p>
        </w:tc>
      </w:tr>
      <w:tr>
        <w:trPr/>
        <w:tc>
          <w:tcPr>
            <w:tcW w:w="318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Jesús Llorca</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Executive Vice President and</w:t>
            </w:r>
          </w:p>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22651</Words>
  <Characters>120800</Characters>
  <CharactersWithSpaces>146746</CharactersWithSpaces>
  <Paragraphs>10368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