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(Mark One)</w:t>
      </w:r>
    </w:p>
    <w:p>
      <w:pPr>
        <w:spacing w:after="0" w:line="16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19"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7" w:lineRule="exact"/>
        <w:rPr>
          <w:sz w:val="24"/>
          <w:szCs w:val="24"/>
          <w:color w:val="auto"/>
        </w:rPr>
      </w:pPr>
    </w:p>
    <w:p>
      <w:pPr>
        <w:jc w:val="center"/>
        <w:ind w:right="-19"/>
        <w:spacing w:after="0"/>
        <w:tabs>
          <w:tab w:leader="none" w:pos="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1-37966</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SEACOR Marine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170"/>
              <w:spacing w:after="0"/>
              <w:rPr>
                <w:sz w:val="20"/>
                <w:szCs w:val="20"/>
                <w:color w:val="auto"/>
              </w:rPr>
            </w:pPr>
            <w:r>
              <w:rPr>
                <w:rFonts w:ascii="Arial" w:cs="Arial" w:eastAsia="Arial" w:hAnsi="Arial"/>
                <w:sz w:val="18"/>
                <w:szCs w:val="18"/>
                <w:b w:val="1"/>
                <w:bCs w:val="1"/>
                <w:color w:val="auto"/>
              </w:rPr>
              <w:t>47-2564547</w:t>
            </w:r>
          </w:p>
        </w:tc>
      </w:tr>
      <w:tr>
        <w:trPr>
          <w:trHeight w:val="216"/>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(State or Other Jurisdiction of</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60" w:type="dxa"/>
            <w:vAlign w:val="bottom"/>
          </w:tcPr>
          <w:p>
            <w:pPr>
              <w:jc w:val="center"/>
              <w:ind w:right="1730"/>
              <w:spacing w:after="0"/>
              <w:rPr>
                <w:sz w:val="20"/>
                <w:szCs w:val="20"/>
                <w:color w:val="auto"/>
              </w:rPr>
            </w:pPr>
            <w:r>
              <w:rPr>
                <w:rFonts w:ascii="Arial" w:cs="Arial" w:eastAsia="Arial" w:hAnsi="Arial"/>
                <w:sz w:val="18"/>
                <w:szCs w:val="18"/>
                <w:b w:val="1"/>
                <w:bCs w:val="1"/>
                <w:color w:val="auto"/>
                <w:w w:val="93"/>
              </w:rPr>
              <w:t>Incorporation or Organization)</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2"/>
              </w:rPr>
              <w:t>Identification No.)</w:t>
            </w:r>
          </w:p>
        </w:tc>
      </w:tr>
      <w:tr>
        <w:trPr>
          <w:trHeight w:val="338"/>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12121 Wickchester Lane, Suite 500, Houston, TX</w:t>
            </w:r>
          </w:p>
        </w:tc>
        <w:tc>
          <w:tcPr>
            <w:tcW w:w="3200" w:type="dxa"/>
            <w:vAlign w:val="bottom"/>
          </w:tcPr>
          <w:p>
            <w:pPr>
              <w:jc w:val="right"/>
              <w:ind w:right="390"/>
              <w:spacing w:after="0"/>
              <w:rPr>
                <w:sz w:val="20"/>
                <w:szCs w:val="20"/>
                <w:color w:val="auto"/>
              </w:rPr>
            </w:pPr>
            <w:r>
              <w:rPr>
                <w:rFonts w:ascii="Arial" w:cs="Arial" w:eastAsia="Arial" w:hAnsi="Arial"/>
                <w:sz w:val="18"/>
                <w:szCs w:val="18"/>
                <w:b w:val="1"/>
                <w:bCs w:val="1"/>
                <w:color w:val="auto"/>
              </w:rPr>
              <w:t>77079</w:t>
            </w:r>
          </w:p>
        </w:tc>
      </w:tr>
      <w:tr>
        <w:trPr>
          <w:trHeight w:val="297"/>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4"/>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(346) 980-1700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7" w:lineRule="exact"/>
        <w:rPr>
          <w:sz w:val="24"/>
          <w:szCs w:val="24"/>
          <w:color w:val="auto"/>
        </w:rPr>
      </w:pPr>
    </w:p>
    <w:p>
      <w:pPr>
        <w:ind w:left="7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4520" w:type="dxa"/>
            <w:vAlign w:val="bottom"/>
            <w:tcBorders>
              <w:top w:val="single" w:sz="8" w:color="auto"/>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b w:val="1"/>
                <w:bCs w:val="1"/>
                <w:color w:val="auto"/>
                <w:w w:val="89"/>
              </w:rPr>
              <w:t>Trading Symbol(s)</w:t>
            </w:r>
          </w:p>
        </w:tc>
        <w:tc>
          <w:tcPr>
            <w:tcW w:w="448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
        </w:trPr>
        <w:tc>
          <w:tcPr>
            <w:tcW w:w="1580" w:type="dxa"/>
            <w:vAlign w:val="bottom"/>
            <w:tcBorders>
              <w:left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45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40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rPr>
              <w:t>SMHI</w:t>
            </w:r>
          </w:p>
        </w:tc>
        <w:tc>
          <w:tcPr>
            <w:tcW w:w="560" w:type="dxa"/>
            <w:vAlign w:val="bottom"/>
            <w:tcBorders>
              <w:bottom w:val="single" w:sz="8" w:color="auto"/>
            </w:tcBorders>
          </w:tcPr>
          <w:p>
            <w:pPr>
              <w:spacing w:after="0"/>
              <w:rPr>
                <w:sz w:val="18"/>
                <w:szCs w:val="18"/>
                <w:color w:val="auto"/>
              </w:rPr>
            </w:pPr>
          </w:p>
        </w:tc>
        <w:tc>
          <w:tcPr>
            <w:tcW w:w="3920" w:type="dxa"/>
            <w:vAlign w:val="bottom"/>
            <w:tcBorders>
              <w:bottom w:val="single" w:sz="8" w:color="auto"/>
              <w:right w:val="single" w:sz="8" w:color="auto"/>
            </w:tcBorders>
            <w:gridSpan w:val="2"/>
          </w:tcPr>
          <w:p>
            <w:pPr>
              <w:jc w:val="center"/>
              <w:ind w:right="580"/>
              <w:spacing w:after="0"/>
              <w:rPr>
                <w:sz w:val="20"/>
                <w:szCs w:val="20"/>
                <w:color w:val="auto"/>
              </w:rPr>
            </w:pPr>
            <w:r>
              <w:rPr>
                <w:rFonts w:ascii="Arial" w:cs="Arial" w:eastAsia="Arial" w:hAnsi="Arial"/>
                <w:sz w:val="18"/>
                <w:szCs w:val="18"/>
                <w:color w:val="auto"/>
                <w:w w:val="91"/>
              </w:rPr>
              <w:t>New York Stock Exchange</w:t>
            </w:r>
          </w:p>
        </w:tc>
      </w:tr>
    </w:tbl>
    <w:p>
      <w:pPr>
        <w:spacing w:after="0" w:line="107" w:lineRule="exact"/>
        <w:rPr>
          <w:sz w:val="24"/>
          <w:szCs w:val="24"/>
          <w:color w:val="auto"/>
        </w:rPr>
      </w:pPr>
    </w:p>
    <w:p>
      <w:pPr>
        <w:jc w:val="both"/>
        <w:ind w:firstLine="74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4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4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512" w:right="339" w:bottom="1440" w:gutter="0" w:footer="0" w:header="0"/>
        </w:sectPr>
      </w:pP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spacing w:after="0"/>
        <w:tabs>
          <w:tab w:leader="none" w:pos="3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Emerging growth</w:t>
      </w:r>
    </w:p>
    <w:p>
      <w:pPr>
        <w:spacing w:after="0" w:line="58"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400"/>
        <w:spacing w:after="0" w:line="161" w:lineRule="exact"/>
        <w:rPr>
          <w:sz w:val="20"/>
          <w:szCs w:val="20"/>
          <w:color w:val="auto"/>
        </w:rPr>
      </w:pPr>
      <w:r>
        <w:rPr>
          <w:rFonts w:ascii="MS PGothic" w:cs="MS PGothic" w:eastAsia="MS PGothic" w:hAnsi="MS PGothic"/>
          <w:sz w:val="16"/>
          <w:szCs w:val="16"/>
          <w:color w:val="auto"/>
        </w:rPr>
        <w:t>☒</w:t>
      </w:r>
    </w:p>
    <w:p>
      <w:pPr>
        <w:spacing w:after="0" w:line="426" w:lineRule="exact"/>
        <w:rPr>
          <w:sz w:val="24"/>
          <w:szCs w:val="24"/>
          <w:color w:val="auto"/>
        </w:rPr>
      </w:pPr>
    </w:p>
    <w:p>
      <w:pPr>
        <w:sectPr>
          <w:pgSz w:w="11900" w:h="16838" w:orient="portrait"/>
          <w:cols w:equalWidth="0" w:num="9">
            <w:col w:w="1620" w:space="80"/>
            <w:col w:w="160" w:space="400"/>
            <w:col w:w="1200" w:space="500"/>
            <w:col w:w="160" w:space="400"/>
            <w:col w:w="1520" w:space="160"/>
            <w:col w:w="160" w:space="420"/>
            <w:col w:w="1260" w:space="420"/>
            <w:col w:w="1820" w:space="400"/>
            <w:col w:w="560"/>
          </w:cols>
          <w:pgMar w:left="320" w:top="512" w:right="339" w:bottom="1440" w:gutter="0" w:footer="0" w:header="0"/>
          <w:type w:val="continuous"/>
        </w:sectPr>
      </w:pPr>
    </w:p>
    <w:p>
      <w:pPr>
        <w:ind w:right="20" w:firstLine="74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760"/>
        <w:spacing w:after="0" w:line="207" w:lineRule="exact"/>
        <w:tabs>
          <w:tab w:leader="none" w:pos="96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firstLine="749"/>
        <w:spacing w:after="0" w:line="277" w:lineRule="auto"/>
        <w:rPr>
          <w:sz w:val="20"/>
          <w:szCs w:val="20"/>
          <w:color w:val="auto"/>
        </w:rPr>
      </w:pPr>
      <w:r>
        <w:rPr>
          <w:rFonts w:ascii="Arial" w:cs="Arial" w:eastAsia="Arial" w:hAnsi="Arial"/>
          <w:sz w:val="18"/>
          <w:szCs w:val="18"/>
          <w:color w:val="auto"/>
        </w:rPr>
        <w:t>The total number of shares of common stock, par value $.01 per share (“Common Stock”), outstanding as of April 30, 2021 was 24,194,383.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0" w:type="dxa"/>
            <w:vAlign w:val="bottom"/>
            <w:gridSpan w:val="12"/>
          </w:tcPr>
          <w:p>
            <w:pPr>
              <w:jc w:val="center"/>
              <w:ind w:right="3060"/>
              <w:spacing w:after="0"/>
              <w:rPr>
                <w:sz w:val="20"/>
                <w:szCs w:val="20"/>
                <w:color w:val="auto"/>
              </w:rPr>
            </w:pPr>
            <w:r>
              <w:rPr>
                <w:rFonts w:ascii="Arial" w:cs="Arial" w:eastAsia="Arial" w:hAnsi="Arial"/>
                <w:sz w:val="18"/>
                <w:szCs w:val="18"/>
                <w:b w:val="1"/>
                <w:bCs w:val="1"/>
                <w:color w:val="auto"/>
              </w:rPr>
              <w:t>SEACOR MARINE HOLDINGS INC.</w:t>
            </w:r>
          </w:p>
        </w:tc>
        <w:tc>
          <w:tcPr>
            <w:tcW w:w="580" w:type="dxa"/>
            <w:vAlign w:val="bottom"/>
          </w:tcPr>
          <w:p>
            <w:pPr>
              <w:spacing w:after="0"/>
              <w:rPr>
                <w:sz w:val="20"/>
                <w:szCs w:val="20"/>
                <w:color w:val="auto"/>
              </w:rPr>
            </w:pPr>
          </w:p>
        </w:tc>
      </w:tr>
      <w:tr>
        <w:trPr>
          <w:trHeight w:val="392"/>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gridSpan w:val="10"/>
          </w:tcPr>
          <w:p>
            <w:pPr>
              <w:jc w:val="center"/>
              <w:ind w:right="3740"/>
              <w:spacing w:after="0"/>
              <w:rPr>
                <w:sz w:val="20"/>
                <w:szCs w:val="20"/>
                <w:color w:val="auto"/>
              </w:rPr>
            </w:pPr>
            <w:r>
              <w:rPr>
                <w:rFonts w:ascii="Arial" w:cs="Arial" w:eastAsia="Arial" w:hAnsi="Arial"/>
                <w:sz w:val="18"/>
                <w:szCs w:val="18"/>
                <w:b w:val="1"/>
                <w:bCs w:val="1"/>
                <w:color w:val="auto"/>
                <w:w w:val="89"/>
              </w:rPr>
              <w:t>Table of Contents</w:t>
            </w:r>
          </w:p>
        </w:tc>
        <w:tc>
          <w:tcPr>
            <w:tcW w:w="580" w:type="dxa"/>
            <w:vAlign w:val="bottom"/>
          </w:tcPr>
          <w:p>
            <w:pPr>
              <w:spacing w:after="0"/>
              <w:rPr>
                <w:sz w:val="24"/>
                <w:szCs w:val="24"/>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Part I.</w:t>
            </w:r>
          </w:p>
        </w:tc>
        <w:tc>
          <w:tcPr>
            <w:tcW w:w="164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Financial Information</w:t>
              </w:r>
            </w:hyperlink>
          </w:p>
        </w:tc>
        <w:tc>
          <w:tcPr>
            <w:tcW w:w="8100" w:type="dxa"/>
            <w:vAlign w:val="bottom"/>
            <w:gridSpan w:val="1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34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2021 and December 31, 2020</w:t>
              </w:r>
            </w:hyperlink>
          </w:p>
        </w:tc>
        <w:tc>
          <w:tcPr>
            <w:tcW w:w="248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9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(Loss) for the Three Months Ended March 31, 2021 and 2020</w:t>
              </w:r>
            </w:hyperlink>
          </w:p>
        </w:tc>
        <w:tc>
          <w:tcPr>
            <w:tcW w:w="860" w:type="dxa"/>
            <w:vAlign w:val="bottom"/>
            <w:gridSpan w:val="3"/>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3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Months Ended March 31, 2021</w:t>
              </w:r>
            </w:hyperlink>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7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2020</w:t>
              </w:r>
            </w:hyperlink>
          </w:p>
        </w:tc>
        <w:tc>
          <w:tcPr>
            <w:tcW w:w="5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1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Equity for the Three Months Ended March 31, 2021 and 2020</w:t>
              </w:r>
            </w:hyperlink>
          </w:p>
        </w:tc>
        <w:tc>
          <w:tcPr>
            <w:tcW w:w="58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7"/>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7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Months Ended March 31, 2021 and 2020</w:t>
              </w:r>
            </w:hyperlink>
          </w:p>
        </w:tc>
        <w:tc>
          <w:tcPr>
            <w:tcW w:w="106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476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230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Quantitative and Qualitative Disclosures About Market Risk</w:t>
              </w:r>
            </w:hyperlink>
          </w:p>
        </w:tc>
        <w:tc>
          <w:tcPr>
            <w:tcW w:w="440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876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Part II.</w:t>
            </w:r>
          </w:p>
        </w:tc>
        <w:tc>
          <w:tcPr>
            <w:tcW w:w="13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Other Information</w:t>
              </w:r>
            </w:hyperlink>
          </w:p>
        </w:tc>
        <w:tc>
          <w:tcPr>
            <w:tcW w:w="8420" w:type="dxa"/>
            <w:vAlign w:val="bottom"/>
            <w:gridSpan w:val="1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7"/>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Legal Proceedings</w:t>
              </w:r>
            </w:hyperlink>
          </w:p>
        </w:tc>
        <w:tc>
          <w:tcPr>
            <w:tcW w:w="7420" w:type="dxa"/>
            <w:vAlign w:val="bottom"/>
            <w:gridSpan w:val="1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876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7"/>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76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2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Default Upon Senior Securities</w:t>
              </w:r>
            </w:hyperlink>
          </w:p>
        </w:tc>
        <w:tc>
          <w:tcPr>
            <w:tcW w:w="2080" w:type="dxa"/>
            <w:vAlign w:val="bottom"/>
            <w:tcBorders>
              <w:top w:val="single" w:sz="8" w:color="0000EE"/>
            </w:tcBorders>
            <w:gridSpan w:val="3"/>
          </w:tcPr>
          <w:p>
            <w:pPr>
              <w:spacing w:after="0"/>
              <w:rPr>
                <w:sz w:val="24"/>
                <w:szCs w:val="24"/>
                <w:color w:val="auto"/>
              </w:rPr>
            </w:pPr>
          </w:p>
        </w:tc>
        <w:tc>
          <w:tcPr>
            <w:tcW w:w="4420" w:type="dxa"/>
            <w:vAlign w:val="bottom"/>
            <w:gridSpan w:val="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876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700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6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Exhibits</w:t>
              </w:r>
            </w:hyperlink>
          </w:p>
        </w:tc>
        <w:tc>
          <w:tcPr>
            <w:tcW w:w="8100" w:type="dxa"/>
            <w:vAlign w:val="bottom"/>
            <w:gridSpan w:val="1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7800" w:type="dxa"/>
            <w:vAlign w:val="bottom"/>
            <w:gridSpan w:val="2"/>
          </w:tcPr>
          <w:p>
            <w:pPr>
              <w:spacing w:after="0"/>
              <w:rPr>
                <w:sz w:val="20"/>
                <w:szCs w:val="20"/>
                <w:color w:val="auto"/>
              </w:rPr>
            </w:pPr>
            <w:r>
              <w:rPr>
                <w:rFonts w:ascii="Arial" w:cs="Arial" w:eastAsia="Arial" w:hAnsi="Arial"/>
                <w:sz w:val="14"/>
                <w:szCs w:val="14"/>
                <w:b w:val="1"/>
                <w:bCs w:val="1"/>
                <w:color w:val="auto"/>
              </w:rPr>
              <w:t>PART I—FINANCIAL INFORMATION</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8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6620" w:type="dxa"/>
            <w:vAlign w:val="bottom"/>
          </w:tcPr>
          <w:p>
            <w:pPr>
              <w:spacing w:after="0"/>
              <w:rPr>
                <w:sz w:val="20"/>
                <w:szCs w:val="20"/>
                <w:color w:val="auto"/>
              </w:rPr>
            </w:pPr>
            <w:r>
              <w:rPr>
                <w:rFonts w:ascii="Arial" w:cs="Arial" w:eastAsia="Arial" w:hAnsi="Arial"/>
                <w:sz w:val="14"/>
                <w:szCs w:val="14"/>
                <w:b w:val="1"/>
                <w:bCs w:val="1"/>
                <w:color w:val="auto"/>
              </w:rPr>
              <w:t>FINANCIAL STATEMENTS</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6620" w:type="dxa"/>
            <w:vAlign w:val="bottom"/>
          </w:tcPr>
          <w:p>
            <w:pPr>
              <w:jc w:val="center"/>
              <w:ind w:left="2211"/>
              <w:spacing w:after="0" w:line="151" w:lineRule="exact"/>
              <w:rPr>
                <w:sz w:val="20"/>
                <w:szCs w:val="20"/>
                <w:color w:val="auto"/>
              </w:rPr>
            </w:pPr>
            <w:r>
              <w:rPr>
                <w:rFonts w:ascii="Arial" w:cs="Arial" w:eastAsia="Arial" w:hAnsi="Arial"/>
                <w:sz w:val="14"/>
                <w:szCs w:val="14"/>
                <w:b w:val="1"/>
                <w:bCs w:val="1"/>
                <w:color w:val="auto"/>
              </w:rPr>
              <w:t>SEACOR MARINE HOLDINGS INC.</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6620" w:type="dxa"/>
            <w:vAlign w:val="bottom"/>
          </w:tcPr>
          <w:p>
            <w:pPr>
              <w:jc w:val="center"/>
              <w:ind w:left="2211"/>
              <w:spacing w:after="0" w:line="149" w:lineRule="exact"/>
              <w:rPr>
                <w:sz w:val="20"/>
                <w:szCs w:val="20"/>
                <w:color w:val="auto"/>
              </w:rPr>
            </w:pPr>
            <w:r>
              <w:rPr>
                <w:rFonts w:ascii="Arial" w:cs="Arial" w:eastAsia="Arial" w:hAnsi="Arial"/>
                <w:sz w:val="14"/>
                <w:szCs w:val="14"/>
                <w:b w:val="1"/>
                <w:bCs w:val="1"/>
                <w:color w:val="auto"/>
              </w:rPr>
              <w:t>UNAUDITED CONDENSED CONSOLIDATED BALANCE SHEETS</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180" w:type="dxa"/>
            <w:vAlign w:val="bottom"/>
          </w:tcPr>
          <w:p>
            <w:pPr>
              <w:spacing w:after="0"/>
              <w:rPr>
                <w:sz w:val="16"/>
                <w:szCs w:val="16"/>
                <w:color w:val="auto"/>
              </w:rPr>
            </w:pPr>
          </w:p>
        </w:tc>
        <w:tc>
          <w:tcPr>
            <w:tcW w:w="6620" w:type="dxa"/>
            <w:vAlign w:val="bottom"/>
          </w:tcPr>
          <w:p>
            <w:pPr>
              <w:jc w:val="center"/>
              <w:ind w:left="2211"/>
              <w:spacing w:after="0"/>
              <w:rPr>
                <w:sz w:val="20"/>
                <w:szCs w:val="20"/>
                <w:color w:val="auto"/>
              </w:rPr>
            </w:pPr>
            <w:r>
              <w:rPr>
                <w:rFonts w:ascii="Arial" w:cs="Arial" w:eastAsia="Arial" w:hAnsi="Arial"/>
                <w:sz w:val="14"/>
                <w:szCs w:val="14"/>
                <w:b w:val="1"/>
                <w:bCs w:val="1"/>
                <w:color w:val="auto"/>
                <w:w w:val="90"/>
              </w:rPr>
              <w:t>(in thousands, except share data)</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March 31, 2021</w:t>
            </w:r>
          </w:p>
        </w:tc>
        <w:tc>
          <w:tcPr>
            <w:tcW w:w="14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3"/>
              </w:rPr>
              <w:t>December 31, 2020</w:t>
            </w:r>
          </w:p>
        </w:tc>
        <w:tc>
          <w:tcPr>
            <w:tcW w:w="0" w:type="dxa"/>
            <w:vAlign w:val="bottom"/>
          </w:tcPr>
          <w:p>
            <w:pPr>
              <w:spacing w:after="0"/>
              <w:rPr>
                <w:sz w:val="1"/>
                <w:szCs w:val="1"/>
                <w:color w:val="auto"/>
              </w:rPr>
            </w:pPr>
          </w:p>
        </w:tc>
      </w:tr>
      <w:tr>
        <w:trPr>
          <w:trHeight w:val="142"/>
        </w:trPr>
        <w:tc>
          <w:tcPr>
            <w:tcW w:w="1180" w:type="dxa"/>
            <w:vAlign w:val="bottom"/>
            <w:tcBorders>
              <w:top w:val="single" w:sz="8" w:color="CFF0FC"/>
            </w:tcBorders>
            <w:shd w:val="clear" w:color="auto" w:fill="CFF0FC"/>
          </w:tcPr>
          <w:p>
            <w:pPr>
              <w:spacing w:after="0"/>
              <w:rPr>
                <w:sz w:val="12"/>
                <w:szCs w:val="12"/>
                <w:color w:val="auto"/>
              </w:rPr>
            </w:pPr>
          </w:p>
        </w:tc>
        <w:tc>
          <w:tcPr>
            <w:tcW w:w="6620" w:type="dxa"/>
            <w:vAlign w:val="bottom"/>
            <w:tcBorders>
              <w:top w:val="single" w:sz="8" w:color="CFF0FC"/>
            </w:tcBorders>
            <w:shd w:val="clear" w:color="auto" w:fill="CFF0FC"/>
          </w:tcPr>
          <w:p>
            <w:pPr>
              <w:jc w:val="center"/>
              <w:ind w:right="1291"/>
              <w:spacing w:after="0" w:line="142" w:lineRule="exact"/>
              <w:rPr>
                <w:sz w:val="20"/>
                <w:szCs w:val="20"/>
                <w:color w:val="auto"/>
              </w:rPr>
            </w:pPr>
            <w:r>
              <w:rPr>
                <w:rFonts w:ascii="Arial" w:cs="Arial" w:eastAsia="Arial" w:hAnsi="Arial"/>
                <w:sz w:val="13"/>
                <w:szCs w:val="13"/>
                <w:b w:val="1"/>
                <w:bCs w:val="1"/>
                <w:color w:val="auto"/>
                <w:w w:val="88"/>
              </w:rPr>
              <w:t>ASSETS</w:t>
            </w:r>
          </w:p>
        </w:tc>
        <w:tc>
          <w:tcPr>
            <w:tcW w:w="20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20"/>
                <w:szCs w:val="20"/>
                <w:color w:val="auto"/>
              </w:rPr>
            </w:pPr>
            <w:r>
              <w:rPr>
                <w:rFonts w:ascii="Arial" w:cs="Arial" w:eastAsia="Arial" w:hAnsi="Arial"/>
                <w:sz w:val="13"/>
                <w:szCs w:val="13"/>
                <w:color w:val="auto"/>
              </w:rPr>
              <w:t>Current Assets:</w:t>
            </w:r>
          </w:p>
        </w:tc>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Cash and cash equivalents</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68,409</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32,666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260"/>
              <w:spacing w:after="0"/>
              <w:rPr>
                <w:sz w:val="20"/>
                <w:szCs w:val="20"/>
                <w:color w:val="auto"/>
              </w:rPr>
            </w:pPr>
            <w:r>
              <w:rPr>
                <w:rFonts w:ascii="Arial" w:cs="Arial" w:eastAsia="Arial" w:hAnsi="Arial"/>
                <w:sz w:val="13"/>
                <w:szCs w:val="13"/>
                <w:color w:val="auto"/>
              </w:rPr>
              <w:t>Restricted cash</w:t>
            </w:r>
          </w:p>
        </w:tc>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3,352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3,352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Receivables:</w:t>
            </w:r>
          </w:p>
        </w:tc>
        <w:tc>
          <w:tcPr>
            <w:tcW w:w="6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0" w:type="dxa"/>
            <w:vAlign w:val="bottom"/>
            <w:gridSpan w:val="2"/>
          </w:tcPr>
          <w:p>
            <w:pPr>
              <w:ind w:left="500"/>
              <w:spacing w:after="0"/>
              <w:rPr>
                <w:sz w:val="20"/>
                <w:szCs w:val="20"/>
                <w:color w:val="auto"/>
              </w:rPr>
            </w:pPr>
            <w:r>
              <w:rPr>
                <w:rFonts w:ascii="Arial" w:cs="Arial" w:eastAsia="Arial" w:hAnsi="Arial"/>
                <w:sz w:val="13"/>
                <w:szCs w:val="13"/>
                <w:color w:val="auto"/>
              </w:rPr>
              <w:t>Trade, net of allowance for credit loss accounts of $478 and $582 in 2021 and 2020, respectively</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42,680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45,325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w:t>
            </w:r>
          </w:p>
        </w:tc>
        <w:tc>
          <w:tcPr>
            <w:tcW w:w="6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11,265</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10,924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Receivable from SEACOR Holdings</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19,332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18,832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Tax Receivable</w:t>
            </w:r>
          </w:p>
        </w:tc>
        <w:tc>
          <w:tcPr>
            <w:tcW w:w="6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1,498</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13,556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260"/>
              <w:spacing w:after="0"/>
              <w:rPr>
                <w:sz w:val="20"/>
                <w:szCs w:val="20"/>
                <w:color w:val="auto"/>
              </w:rPr>
            </w:pPr>
            <w:r>
              <w:rPr>
                <w:rFonts w:ascii="Arial" w:cs="Arial" w:eastAsia="Arial" w:hAnsi="Arial"/>
                <w:sz w:val="13"/>
                <w:szCs w:val="13"/>
                <w:color w:val="auto"/>
              </w:rPr>
              <w:t>Inventories</w:t>
            </w:r>
          </w:p>
        </w:tc>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572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Prepaid expenses and other</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2,326</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Other current assets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423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Assets held for sale</w:t>
            </w: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7800" w:type="dxa"/>
            <w:vAlign w:val="bottom"/>
            <w:tcBorders>
              <w:bottom w:val="single" w:sz="8" w:color="CFF0FC"/>
            </w:tcBorders>
            <w:gridSpan w:val="2"/>
          </w:tcPr>
          <w:p>
            <w:pPr>
              <w:ind w:left="500"/>
              <w:spacing w:after="0" w:line="142" w:lineRule="exact"/>
              <w:rPr>
                <w:sz w:val="20"/>
                <w:szCs w:val="20"/>
                <w:color w:val="auto"/>
              </w:rPr>
            </w:pPr>
            <w:r>
              <w:rPr>
                <w:rFonts w:ascii="Arial" w:cs="Arial" w:eastAsia="Arial" w:hAnsi="Arial"/>
                <w:sz w:val="13"/>
                <w:szCs w:val="13"/>
                <w:color w:val="auto"/>
              </w:rPr>
              <w:t>Total current assets</w:t>
            </w: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149,857</w:t>
            </w:r>
          </w:p>
        </w:tc>
        <w:tc>
          <w:tcPr>
            <w:tcW w:w="30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178,696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Property and Equipment:</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260"/>
              <w:spacing w:after="0"/>
              <w:rPr>
                <w:sz w:val="20"/>
                <w:szCs w:val="20"/>
                <w:color w:val="auto"/>
              </w:rPr>
            </w:pPr>
            <w:r>
              <w:rPr>
                <w:rFonts w:ascii="Arial" w:cs="Arial" w:eastAsia="Arial" w:hAnsi="Arial"/>
                <w:sz w:val="13"/>
                <w:szCs w:val="13"/>
                <w:color w:val="auto"/>
              </w:rPr>
              <w:t>Historical cost</w:t>
            </w:r>
          </w:p>
        </w:tc>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1,000,430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1,012,873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Accumulated depreciation</w:t>
            </w:r>
          </w:p>
        </w:tc>
        <w:tc>
          <w:tcPr>
            <w:tcW w:w="20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(297,792)</w:t>
            </w:r>
          </w:p>
        </w:tc>
        <w:tc>
          <w:tcPr>
            <w:tcW w:w="14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(291,538)</w:t>
            </w: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702,638</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721,335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Construction in progress</w:t>
            </w:r>
          </w:p>
        </w:tc>
        <w:tc>
          <w:tcPr>
            <w:tcW w:w="20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32,530</w:t>
            </w:r>
          </w:p>
        </w:tc>
        <w:tc>
          <w:tcPr>
            <w:tcW w:w="3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32,327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0" w:type="dxa"/>
            <w:vAlign w:val="bottom"/>
            <w:tcBorders>
              <w:bottom w:val="single" w:sz="8" w:color="CFF0FC"/>
            </w:tcBorders>
            <w:gridSpan w:val="2"/>
          </w:tcPr>
          <w:p>
            <w:pPr>
              <w:ind w:left="260"/>
              <w:spacing w:after="0" w:line="142" w:lineRule="exact"/>
              <w:rPr>
                <w:sz w:val="20"/>
                <w:szCs w:val="20"/>
                <w:color w:val="auto"/>
              </w:rPr>
            </w:pPr>
            <w:r>
              <w:rPr>
                <w:rFonts w:ascii="Arial" w:cs="Arial" w:eastAsia="Arial" w:hAnsi="Arial"/>
                <w:sz w:val="13"/>
                <w:szCs w:val="13"/>
                <w:color w:val="auto"/>
              </w:rPr>
              <w:t>Net property and equipment</w:t>
            </w: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735,168</w:t>
            </w:r>
          </w:p>
        </w:tc>
        <w:tc>
          <w:tcPr>
            <w:tcW w:w="3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753,662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Right-of-Use Asset - Operating Leases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7,046</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7,134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0" w:type="dxa"/>
            <w:vAlign w:val="bottom"/>
            <w:gridSpan w:val="2"/>
          </w:tcPr>
          <w:p>
            <w:pPr>
              <w:spacing w:after="0"/>
              <w:rPr>
                <w:sz w:val="20"/>
                <w:szCs w:val="20"/>
                <w:color w:val="auto"/>
              </w:rPr>
            </w:pPr>
            <w:r>
              <w:rPr>
                <w:rFonts w:ascii="Arial" w:cs="Arial" w:eastAsia="Arial" w:hAnsi="Arial"/>
                <w:sz w:val="13"/>
                <w:szCs w:val="13"/>
                <w:color w:val="auto"/>
              </w:rPr>
              <w:t>Right-of-Use Asset - Finance Leases</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Investments, at Equity, and Advances to 50% or Less Owned Companies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79,000</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75,308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Other Assets</w:t>
            </w:r>
          </w:p>
        </w:tc>
        <w:tc>
          <w:tcPr>
            <w:tcW w:w="66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2,624</w:t>
            </w:r>
          </w:p>
        </w:tc>
        <w:tc>
          <w:tcPr>
            <w:tcW w:w="3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bottom w:val="single" w:sz="8" w:color="CFF0FC"/>
            </w:tcBorders>
            <w:shd w:val="clear" w:color="auto" w:fill="CFF0FC"/>
          </w:tcPr>
          <w:p>
            <w:pPr>
              <w:ind w:left="500"/>
              <w:spacing w:after="0" w:line="142" w:lineRule="exact"/>
              <w:rPr>
                <w:sz w:val="20"/>
                <w:szCs w:val="20"/>
                <w:color w:val="auto"/>
              </w:rPr>
            </w:pPr>
            <w:r>
              <w:rPr>
                <w:rFonts w:ascii="Arial" w:cs="Arial" w:eastAsia="Arial" w:hAnsi="Arial"/>
                <w:sz w:val="13"/>
                <w:szCs w:val="13"/>
                <w:color w:val="auto"/>
                <w:w w:val="94"/>
              </w:rPr>
              <w:t>Total assets</w:t>
            </w:r>
          </w:p>
        </w:tc>
        <w:tc>
          <w:tcPr>
            <w:tcW w:w="66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973,816</w:t>
            </w:r>
          </w:p>
        </w:tc>
        <w:tc>
          <w:tcPr>
            <w:tcW w:w="3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1,017,663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620" w:type="dxa"/>
            <w:vAlign w:val="bottom"/>
            <w:vMerge w:val="restart"/>
          </w:tcPr>
          <w:p>
            <w:pPr>
              <w:jc w:val="center"/>
              <w:ind w:right="1291"/>
              <w:spacing w:after="0"/>
              <w:rPr>
                <w:sz w:val="20"/>
                <w:szCs w:val="20"/>
                <w:color w:val="auto"/>
              </w:rPr>
            </w:pPr>
            <w:r>
              <w:rPr>
                <w:rFonts w:ascii="Arial" w:cs="Arial" w:eastAsia="Arial" w:hAnsi="Arial"/>
                <w:sz w:val="13"/>
                <w:szCs w:val="13"/>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80" w:type="dxa"/>
            <w:vAlign w:val="bottom"/>
          </w:tcPr>
          <w:p>
            <w:pPr>
              <w:spacing w:after="0"/>
              <w:rPr>
                <w:sz w:val="11"/>
                <w:szCs w:val="11"/>
                <w:color w:val="auto"/>
              </w:rPr>
            </w:pPr>
          </w:p>
        </w:tc>
        <w:tc>
          <w:tcPr>
            <w:tcW w:w="6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FF0FC"/>
          </w:tcPr>
          <w:p>
            <w:pPr>
              <w:spacing w:after="0"/>
              <w:rPr>
                <w:sz w:val="20"/>
                <w:szCs w:val="20"/>
                <w:color w:val="auto"/>
              </w:rPr>
            </w:pPr>
            <w:r>
              <w:rPr>
                <w:rFonts w:ascii="Arial" w:cs="Arial" w:eastAsia="Arial" w:hAnsi="Arial"/>
                <w:sz w:val="13"/>
                <w:szCs w:val="13"/>
                <w:color w:val="auto"/>
              </w:rPr>
              <w:t>Current Liabilities:</w:t>
            </w:r>
          </w:p>
        </w:tc>
        <w:tc>
          <w:tcPr>
            <w:tcW w:w="6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Current portion of operating lease liabilities</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5,139</w:t>
            </w:r>
          </w:p>
        </w:tc>
        <w:tc>
          <w:tcPr>
            <w:tcW w:w="30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7,030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Current portion of financing lease liabilities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Current portion of long-term debt:</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Recourse</w:t>
            </w:r>
          </w:p>
        </w:tc>
        <w:tc>
          <w:tcPr>
            <w:tcW w:w="6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26,826</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500"/>
              <w:spacing w:after="0"/>
              <w:rPr>
                <w:sz w:val="20"/>
                <w:szCs w:val="20"/>
                <w:color w:val="auto"/>
              </w:rPr>
            </w:pPr>
            <w:r>
              <w:rPr>
                <w:rFonts w:ascii="Arial" w:cs="Arial" w:eastAsia="Arial" w:hAnsi="Arial"/>
                <w:sz w:val="13"/>
                <w:szCs w:val="13"/>
                <w:color w:val="auto"/>
                <w:w w:val="83"/>
              </w:rPr>
              <w:t>Non-recourse</w:t>
            </w:r>
          </w:p>
        </w:tc>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8,062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5,643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Accounts payable and accrued expenses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21,428</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29,967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Accrued wages and benefits</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1,090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1,744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CFF0FC"/>
          </w:tcPr>
          <w:p>
            <w:pPr>
              <w:ind w:left="260"/>
              <w:spacing w:after="0"/>
              <w:rPr>
                <w:sz w:val="20"/>
                <w:szCs w:val="20"/>
                <w:color w:val="auto"/>
              </w:rPr>
            </w:pPr>
            <w:r>
              <w:rPr>
                <w:rFonts w:ascii="Arial" w:cs="Arial" w:eastAsia="Arial" w:hAnsi="Arial"/>
                <w:sz w:val="13"/>
                <w:szCs w:val="13"/>
                <w:color w:val="auto"/>
                <w:w w:val="95"/>
              </w:rPr>
              <w:t>Accrued interest</w:t>
            </w:r>
          </w:p>
        </w:tc>
        <w:tc>
          <w:tcPr>
            <w:tcW w:w="6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3,134</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Deferred revenue and unearned revenue</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4,567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4,452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Accrued capital, repair and maintenance expenditures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10,143</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11,328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Accrued insurance deductibles and premiums</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2,640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2,274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Accrued professional fees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735</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260"/>
              <w:spacing w:after="0"/>
              <w:rPr>
                <w:sz w:val="20"/>
                <w:szCs w:val="20"/>
                <w:color w:val="auto"/>
              </w:rPr>
            </w:pPr>
            <w:r>
              <w:rPr>
                <w:rFonts w:ascii="Arial" w:cs="Arial" w:eastAsia="Arial" w:hAnsi="Arial"/>
                <w:sz w:val="13"/>
                <w:szCs w:val="13"/>
                <w:color w:val="auto"/>
              </w:rPr>
              <w:t>Derivatives</w:t>
            </w:r>
          </w:p>
        </w:tc>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3,156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4,591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Other current liabilities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4,254</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Liabilities held for sale</w:t>
            </w:r>
          </w:p>
        </w:tc>
        <w:tc>
          <w:tcPr>
            <w:tcW w:w="20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30,927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7800" w:type="dxa"/>
            <w:vAlign w:val="bottom"/>
            <w:tcBorders>
              <w:top w:val="single" w:sz="8" w:color="CFF0FC"/>
            </w:tcBorders>
            <w:gridSpan w:val="2"/>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current liabilities</w:t>
            </w: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1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91,220</w:t>
            </w:r>
          </w:p>
        </w:tc>
        <w:tc>
          <w:tcPr>
            <w:tcW w:w="3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131,804</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0" w:type="dxa"/>
            <w:vAlign w:val="bottom"/>
            <w:gridSpan w:val="2"/>
          </w:tcPr>
          <w:p>
            <w:pPr>
              <w:spacing w:after="0" w:line="142" w:lineRule="exact"/>
              <w:rPr>
                <w:sz w:val="20"/>
                <w:szCs w:val="20"/>
                <w:color w:val="auto"/>
              </w:rPr>
            </w:pPr>
            <w:r>
              <w:rPr>
                <w:rFonts w:ascii="Arial" w:cs="Arial" w:eastAsia="Arial" w:hAnsi="Arial"/>
                <w:sz w:val="13"/>
                <w:szCs w:val="13"/>
                <w:color w:val="auto"/>
              </w:rPr>
              <w:t>Long-Term Operating Lease Liabilities</w:t>
            </w:r>
          </w:p>
        </w:tc>
        <w:tc>
          <w:tcPr>
            <w:tcW w:w="20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Arial" w:cs="Arial" w:eastAsia="Arial" w:hAnsi="Arial"/>
                <w:sz w:val="13"/>
                <w:szCs w:val="13"/>
                <w:color w:val="auto"/>
              </w:rPr>
              <w:t>4,778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4,345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Long-Term Financing Lease Liabilities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20"/>
                <w:szCs w:val="20"/>
                <w:color w:val="auto"/>
              </w:rPr>
            </w:pPr>
            <w:r>
              <w:rPr>
                <w:rFonts w:ascii="Arial" w:cs="Arial" w:eastAsia="Arial" w:hAnsi="Arial"/>
                <w:sz w:val="13"/>
                <w:szCs w:val="13"/>
                <w:color w:val="auto"/>
              </w:rPr>
              <w:t>Long-Term Debt:</w:t>
            </w:r>
          </w:p>
        </w:tc>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Recourse</w:t>
            </w:r>
          </w:p>
        </w:tc>
        <w:tc>
          <w:tcPr>
            <w:tcW w:w="6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322,008</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328,690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260"/>
              <w:spacing w:after="0"/>
              <w:rPr>
                <w:sz w:val="20"/>
                <w:szCs w:val="20"/>
                <w:color w:val="auto"/>
              </w:rPr>
            </w:pPr>
            <w:r>
              <w:rPr>
                <w:rFonts w:ascii="Arial" w:cs="Arial" w:eastAsia="Arial" w:hAnsi="Arial"/>
                <w:sz w:val="13"/>
                <w:szCs w:val="13"/>
                <w:color w:val="auto"/>
              </w:rPr>
              <w:t>Non-recourse</w:t>
            </w:r>
          </w:p>
        </w:tc>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109,841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111,820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Conversion Option Liability on Convertible Senior Notes</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tcPr>
          <w:p>
            <w:pPr>
              <w:spacing w:after="0"/>
              <w:rPr>
                <w:sz w:val="20"/>
                <w:szCs w:val="20"/>
                <w:color w:val="auto"/>
              </w:rPr>
            </w:pPr>
            <w:r>
              <w:rPr>
                <w:rFonts w:ascii="Arial" w:cs="Arial" w:eastAsia="Arial" w:hAnsi="Arial"/>
                <w:sz w:val="13"/>
                <w:szCs w:val="13"/>
                <w:color w:val="auto"/>
              </w:rPr>
              <w:t>Deferred Income Taxes</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31,766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35,822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Deferred Gains and Other Liabilities</w:t>
            </w:r>
          </w:p>
        </w:tc>
        <w:tc>
          <w:tcPr>
            <w:tcW w:w="20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4,910</w:t>
            </w:r>
          </w:p>
        </w:tc>
        <w:tc>
          <w:tcPr>
            <w:tcW w:w="3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0" w:type="dxa"/>
            <w:vAlign w:val="bottom"/>
            <w:tcBorders>
              <w:bottom w:val="single" w:sz="8" w:color="CFF0FC"/>
            </w:tcBorders>
            <w:gridSpan w:val="2"/>
          </w:tcPr>
          <w:p>
            <w:pPr>
              <w:ind w:left="500"/>
              <w:spacing w:after="0" w:line="142" w:lineRule="exact"/>
              <w:rPr>
                <w:sz w:val="20"/>
                <w:szCs w:val="20"/>
                <w:color w:val="auto"/>
              </w:rPr>
            </w:pPr>
            <w:r>
              <w:rPr>
                <w:rFonts w:ascii="Arial" w:cs="Arial" w:eastAsia="Arial" w:hAnsi="Arial"/>
                <w:sz w:val="13"/>
                <w:szCs w:val="13"/>
                <w:color w:val="auto"/>
              </w:rPr>
              <w:t>Total liabilities</w:t>
            </w: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564,657</w:t>
            </w:r>
          </w:p>
        </w:tc>
        <w:tc>
          <w:tcPr>
            <w:tcW w:w="3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615,827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Equity:</w:t>
            </w:r>
          </w:p>
        </w:tc>
        <w:tc>
          <w:tcPr>
            <w:tcW w:w="6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SEACOR Marine Holdings Inc. stockholders’ equity:</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w w:val="95"/>
              </w:rPr>
              <w:t>Common stock, $.01 par value, 60,000,000 shares authorized; 24,319,600 and 23,504,050 shares issued in 2021 and 2020, respectively</w:t>
            </w: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Additional paid-in capital</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452,290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451,179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Accumulated deficit</w:t>
            </w:r>
          </w:p>
        </w:tc>
        <w:tc>
          <w:tcPr>
            <w:tcW w:w="20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(50,029)</w:t>
            </w:r>
          </w:p>
        </w:tc>
        <w:tc>
          <w:tcPr>
            <w:tcW w:w="14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(51,839)</w:t>
            </w:r>
          </w:p>
        </w:tc>
        <w:tc>
          <w:tcPr>
            <w:tcW w:w="0" w:type="dxa"/>
            <w:vAlign w:val="bottom"/>
          </w:tcPr>
          <w:p>
            <w:pPr>
              <w:spacing w:after="0"/>
              <w:rPr>
                <w:sz w:val="1"/>
                <w:szCs w:val="1"/>
                <w:color w:val="auto"/>
              </w:rPr>
            </w:pPr>
          </w:p>
        </w:tc>
      </w:tr>
      <w:tr>
        <w:trPr>
          <w:trHeight w:val="149"/>
        </w:trPr>
        <w:tc>
          <w:tcPr>
            <w:tcW w:w="7800" w:type="dxa"/>
            <w:vAlign w:val="bottom"/>
            <w:gridSpan w:val="2"/>
          </w:tcPr>
          <w:p>
            <w:pPr>
              <w:ind w:left="260"/>
              <w:spacing w:after="0"/>
              <w:rPr>
                <w:sz w:val="20"/>
                <w:szCs w:val="20"/>
                <w:color w:val="auto"/>
              </w:rPr>
            </w:pPr>
            <w:r>
              <w:rPr>
                <w:rFonts w:ascii="Arial" w:cs="Arial" w:eastAsia="Arial" w:hAnsi="Arial"/>
                <w:sz w:val="13"/>
                <w:szCs w:val="13"/>
                <w:color w:val="auto"/>
              </w:rPr>
              <w:t>Shares held in treasury of 125,217 and 73,284, respectively, at cost</w:t>
            </w:r>
          </w:p>
        </w:tc>
        <w:tc>
          <w:tcPr>
            <w:tcW w:w="200" w:type="dxa"/>
            <w:vAlign w:val="bottom"/>
          </w:tcPr>
          <w:p>
            <w:pPr>
              <w:spacing w:after="0"/>
              <w:rPr>
                <w:sz w:val="12"/>
                <w:szCs w:val="12"/>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3"/>
                <w:szCs w:val="13"/>
                <w:color w:val="auto"/>
              </w:rPr>
              <w:t>(1,110)</w:t>
            </w:r>
          </w:p>
        </w:tc>
        <w:tc>
          <w:tcPr>
            <w:tcW w:w="140" w:type="dxa"/>
            <w:vAlign w:val="bottom"/>
          </w:tcPr>
          <w:p>
            <w:pPr>
              <w:spacing w:after="0"/>
              <w:rPr>
                <w:sz w:val="12"/>
                <w:szCs w:val="12"/>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(848)</w:t>
            </w:r>
          </w:p>
        </w:tc>
        <w:tc>
          <w:tcPr>
            <w:tcW w:w="0" w:type="dxa"/>
            <w:vAlign w:val="bottom"/>
          </w:tcPr>
          <w:p>
            <w:pPr>
              <w:spacing w:after="0"/>
              <w:rPr>
                <w:sz w:val="1"/>
                <w:szCs w:val="1"/>
                <w:color w:val="auto"/>
              </w:rPr>
            </w:pPr>
          </w:p>
        </w:tc>
      </w:tr>
      <w:tr>
        <w:trPr>
          <w:trHeight w:val="148"/>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Accumulated other comprehensive gain, net of tax</w:t>
            </w:r>
          </w:p>
        </w:tc>
        <w:tc>
          <w:tcPr>
            <w:tcW w:w="20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7,446</w:t>
            </w:r>
          </w:p>
        </w:tc>
        <w:tc>
          <w:tcPr>
            <w:tcW w:w="3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Arial" w:cs="Arial" w:eastAsia="Arial" w:hAnsi="Arial"/>
                <w:sz w:val="13"/>
                <w:szCs w:val="13"/>
                <w:color w:val="auto"/>
              </w:rPr>
              <w:t>408,840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401,517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Noncontrolling interests in subsidiaries</w:t>
            </w:r>
          </w:p>
        </w:tc>
        <w:tc>
          <w:tcPr>
            <w:tcW w:w="20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319</w:t>
            </w:r>
          </w:p>
        </w:tc>
        <w:tc>
          <w:tcPr>
            <w:tcW w:w="3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w w:val="98"/>
              </w:rPr>
              <w:t>Total equity</w:t>
            </w:r>
          </w:p>
        </w:tc>
        <w:tc>
          <w:tcPr>
            <w:tcW w:w="66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409,159</w:t>
            </w:r>
          </w:p>
        </w:tc>
        <w:tc>
          <w:tcPr>
            <w:tcW w:w="3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401,836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0" w:type="dxa"/>
            <w:vAlign w:val="bottom"/>
            <w:tcBorders>
              <w:bottom w:val="single" w:sz="8" w:color="CFF0FC"/>
            </w:tcBorders>
            <w:gridSpan w:val="2"/>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liabilities and equity</w:t>
            </w:r>
          </w:p>
        </w:tc>
        <w:tc>
          <w:tcPr>
            <w:tcW w:w="2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973,816</w:t>
            </w:r>
          </w:p>
        </w:tc>
        <w:tc>
          <w:tcPr>
            <w:tcW w:w="3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1,017,663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INCOME (LOSS)</w:t>
      </w:r>
    </w:p>
    <w:p>
      <w:pPr>
        <w:jc w:val="center"/>
        <w:spacing w:after="0"/>
        <w:rPr>
          <w:sz w:val="20"/>
          <w:szCs w:val="20"/>
          <w:color w:val="auto"/>
        </w:rPr>
      </w:pPr>
      <w:r>
        <w:rPr>
          <w:rFonts w:ascii="Arial" w:cs="Arial" w:eastAsia="Arial" w:hAnsi="Arial"/>
          <w:sz w:val="22"/>
          <w:szCs w:val="22"/>
          <w:b w:val="1"/>
          <w:bCs w:val="1"/>
          <w:color w:val="auto"/>
        </w:rPr>
        <w:t>(in thousands, except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gridSpan w:val="6"/>
          </w:tcPr>
          <w:p>
            <w:pPr>
              <w:jc w:val="right"/>
              <w:ind w:right="60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794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4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36,512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35,667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940" w:type="dxa"/>
            <w:vAlign w:val="bottom"/>
          </w:tcPr>
          <w:p>
            <w:pPr>
              <w:spacing w:after="0"/>
              <w:rPr>
                <w:sz w:val="20"/>
                <w:szCs w:val="20"/>
                <w:color w:val="auto"/>
              </w:rPr>
            </w:pPr>
            <w:r>
              <w:rPr>
                <w:rFonts w:ascii="Arial" w:cs="Arial" w:eastAsia="Arial" w:hAnsi="Arial"/>
                <w:sz w:val="16"/>
                <w:szCs w:val="16"/>
                <w:color w:val="auto"/>
              </w:rPr>
              <w:t>Costs and Expenses:</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expense</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50,794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46,816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940" w:type="dxa"/>
            <w:vAlign w:val="bottom"/>
          </w:tcPr>
          <w:p>
            <w:pPr>
              <w:spacing w:after="0"/>
              <w:rPr>
                <w:sz w:val="20"/>
                <w:szCs w:val="20"/>
                <w:color w:val="auto"/>
              </w:rPr>
            </w:pPr>
            <w:r>
              <w:rPr>
                <w:rFonts w:ascii="Arial" w:cs="Arial" w:eastAsia="Arial" w:hAnsi="Arial"/>
                <w:sz w:val="16"/>
                <w:szCs w:val="16"/>
                <w:color w:val="auto"/>
              </w:rPr>
              <w:t>Losses on Asset Dispositions and Impairments, Net</w:t>
            </w:r>
          </w:p>
        </w:tc>
        <w:tc>
          <w:tcPr>
            <w:tcW w:w="28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(2,273)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(12,572)</w:t>
            </w:r>
          </w:p>
        </w:tc>
        <w:tc>
          <w:tcPr>
            <w:tcW w:w="0" w:type="dxa"/>
            <w:vAlign w:val="bottom"/>
          </w:tcPr>
          <w:p>
            <w:pPr>
              <w:spacing w:after="0"/>
              <w:rPr>
                <w:sz w:val="1"/>
                <w:szCs w:val="1"/>
                <w:color w:val="auto"/>
              </w:rPr>
            </w:pPr>
          </w:p>
        </w:tc>
      </w:tr>
      <w:tr>
        <w:trPr>
          <w:trHeight w:val="20"/>
        </w:trPr>
        <w:tc>
          <w:tcPr>
            <w:tcW w:w="79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94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(16,555)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(23,721)</w:t>
            </w:r>
          </w:p>
        </w:tc>
        <w:tc>
          <w:tcPr>
            <w:tcW w:w="0" w:type="dxa"/>
            <w:vAlign w:val="bottom"/>
          </w:tcPr>
          <w:p>
            <w:pPr>
              <w:spacing w:after="0"/>
              <w:rPr>
                <w:sz w:val="1"/>
                <w:szCs w:val="1"/>
                <w:color w:val="auto"/>
              </w:rPr>
            </w:pPr>
          </w:p>
        </w:tc>
      </w:tr>
      <w:tr>
        <w:trPr>
          <w:trHeight w:val="207"/>
        </w:trPr>
        <w:tc>
          <w:tcPr>
            <w:tcW w:w="7940" w:type="dxa"/>
            <w:vAlign w:val="bottom"/>
          </w:tcPr>
          <w:p>
            <w:pPr>
              <w:spacing w:after="0"/>
              <w:rPr>
                <w:sz w:val="20"/>
                <w:szCs w:val="20"/>
                <w:color w:val="auto"/>
              </w:rPr>
            </w:pPr>
            <w:r>
              <w:rPr>
                <w:rFonts w:ascii="Arial" w:cs="Arial" w:eastAsia="Arial" w:hAnsi="Arial"/>
                <w:sz w:val="16"/>
                <w:szCs w:val="16"/>
                <w:color w:val="auto"/>
              </w:rPr>
              <w:t>Other Income (Expense):</w:t>
            </w: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(8,018)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(7,374)</w:t>
            </w:r>
          </w:p>
        </w:tc>
        <w:tc>
          <w:tcPr>
            <w:tcW w:w="0" w:type="dxa"/>
            <w:vAlign w:val="bottom"/>
          </w:tcPr>
          <w:p>
            <w:pPr>
              <w:spacing w:after="0"/>
              <w:rPr>
                <w:sz w:val="1"/>
                <w:szCs w:val="1"/>
                <w:color w:val="auto"/>
              </w:rPr>
            </w:pPr>
          </w:p>
        </w:tc>
      </w:tr>
      <w:tr>
        <w:trPr>
          <w:trHeight w:val="219"/>
        </w:trPr>
        <w:tc>
          <w:tcPr>
            <w:tcW w:w="7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Holdings guarantee fees</w:t>
            </w: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7940" w:type="dxa"/>
            <w:vAlign w:val="bottom"/>
          </w:tcPr>
          <w:p>
            <w:pPr>
              <w:ind w:left="260"/>
              <w:spacing w:after="0"/>
              <w:rPr>
                <w:sz w:val="20"/>
                <w:szCs w:val="20"/>
                <w:color w:val="auto"/>
              </w:rPr>
            </w:pPr>
            <w:r>
              <w:rPr>
                <w:rFonts w:ascii="Arial" w:cs="Arial" w:eastAsia="Arial" w:hAnsi="Arial"/>
                <w:sz w:val="16"/>
                <w:szCs w:val="16"/>
                <w:color w:val="auto"/>
              </w:rPr>
              <w:t>Derivative gains, net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gains (losses), net</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(7,150)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03"/>
        </w:trPr>
        <w:tc>
          <w:tcPr>
            <w:tcW w:w="7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Loss from Continuing Operations Before Income Tax Benefit and Equity in Earnings of 50% or Less Owned</w:t>
            </w:r>
          </w:p>
        </w:tc>
        <w:tc>
          <w:tcPr>
            <w:tcW w:w="28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40" w:type="dxa"/>
            <w:vAlign w:val="bottom"/>
            <w:shd w:val="clear" w:color="auto" w:fill="CFF0FC"/>
          </w:tcPr>
          <w:p>
            <w:pPr>
              <w:spacing w:after="0"/>
              <w:rPr>
                <w:sz w:val="20"/>
                <w:szCs w:val="20"/>
                <w:color w:val="auto"/>
              </w:rPr>
            </w:pPr>
            <w:r>
              <w:rPr>
                <w:rFonts w:ascii="Arial" w:cs="Arial" w:eastAsia="Arial" w:hAnsi="Arial"/>
                <w:sz w:val="16"/>
                <w:szCs w:val="16"/>
                <w:color w:val="auto"/>
              </w:rPr>
              <w:t>Companies</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(23,705)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(24,625)</w:t>
            </w:r>
          </w:p>
        </w:tc>
        <w:tc>
          <w:tcPr>
            <w:tcW w:w="0" w:type="dxa"/>
            <w:vAlign w:val="bottom"/>
          </w:tcPr>
          <w:p>
            <w:pPr>
              <w:spacing w:after="0"/>
              <w:rPr>
                <w:sz w:val="1"/>
                <w:szCs w:val="1"/>
                <w:color w:val="auto"/>
              </w:rPr>
            </w:pPr>
          </w:p>
        </w:tc>
      </w:tr>
      <w:tr>
        <w:trPr>
          <w:trHeight w:val="213"/>
        </w:trPr>
        <w:tc>
          <w:tcPr>
            <w:tcW w:w="794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(2,688)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(6,662)</w:t>
            </w:r>
          </w:p>
        </w:tc>
        <w:tc>
          <w:tcPr>
            <w:tcW w:w="0" w:type="dxa"/>
            <w:vAlign w:val="bottom"/>
          </w:tcPr>
          <w:p>
            <w:pPr>
              <w:spacing w:after="0"/>
              <w:rPr>
                <w:sz w:val="1"/>
                <w:szCs w:val="1"/>
                <w:color w:val="auto"/>
              </w:rPr>
            </w:pPr>
          </w:p>
        </w:tc>
      </w:tr>
      <w:tr>
        <w:trPr>
          <w:trHeight w:val="20"/>
        </w:trPr>
        <w:tc>
          <w:tcPr>
            <w:tcW w:w="79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Loss from Continuing Operations Before Equity in Earnings of 50% or Less Owned Companies</w:t>
            </w: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94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(21,017)</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(17,963)</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Equity in Earnings Gains of 50% or Less Owned Companies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4,103</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shd w:val="clear" w:color="auto" w:fill="CFF0FC"/>
          </w:tcPr>
          <w:p>
            <w:pPr>
              <w:spacing w:after="0"/>
              <w:rPr>
                <w:sz w:val="20"/>
                <w:szCs w:val="20"/>
                <w:color w:val="auto"/>
              </w:rPr>
            </w:pPr>
            <w:r>
              <w:rPr>
                <w:rFonts w:ascii="Arial" w:cs="Arial" w:eastAsia="Arial" w:hAnsi="Arial"/>
                <w:sz w:val="16"/>
                <w:szCs w:val="16"/>
                <w:color w:val="auto"/>
              </w:rPr>
              <w:t>Loss from Continuing Operations</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(16,914)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(17,938)</w:t>
            </w:r>
          </w:p>
        </w:tc>
        <w:tc>
          <w:tcPr>
            <w:tcW w:w="0" w:type="dxa"/>
            <w:vAlign w:val="bottom"/>
          </w:tcPr>
          <w:p>
            <w:pPr>
              <w:spacing w:after="0"/>
              <w:rPr>
                <w:sz w:val="1"/>
                <w:szCs w:val="1"/>
                <w:color w:val="auto"/>
              </w:rPr>
            </w:pPr>
          </w:p>
        </w:tc>
      </w:tr>
      <w:tr>
        <w:trPr>
          <w:trHeight w:val="206"/>
        </w:trPr>
        <w:tc>
          <w:tcPr>
            <w:tcW w:w="7940" w:type="dxa"/>
            <w:vAlign w:val="bottom"/>
          </w:tcPr>
          <w:p>
            <w:pPr>
              <w:spacing w:after="0"/>
              <w:rPr>
                <w:sz w:val="20"/>
                <w:szCs w:val="20"/>
                <w:color w:val="auto"/>
              </w:rPr>
            </w:pPr>
            <w:r>
              <w:rPr>
                <w:rFonts w:ascii="Arial" w:cs="Arial" w:eastAsia="Arial" w:hAnsi="Arial"/>
                <w:sz w:val="16"/>
                <w:szCs w:val="16"/>
                <w:color w:val="auto"/>
              </w:rPr>
              <w:t>Income (Loss) on Discontinued Operations, Net of Tax (see Note 12 and includes gain of $22,756 on the sale of</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40" w:type="dxa"/>
            <w:vAlign w:val="bottom"/>
          </w:tcPr>
          <w:p>
            <w:pPr>
              <w:spacing w:after="0"/>
              <w:rPr>
                <w:sz w:val="20"/>
                <w:szCs w:val="20"/>
                <w:color w:val="auto"/>
              </w:rPr>
            </w:pPr>
            <w:r>
              <w:rPr>
                <w:rFonts w:ascii="Arial" w:cs="Arial" w:eastAsia="Arial" w:hAnsi="Arial"/>
                <w:sz w:val="16"/>
                <w:szCs w:val="16"/>
                <w:color w:val="auto"/>
              </w:rPr>
              <w:t>Windcat Workboats)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22,925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r>
        <w:trPr>
          <w:trHeight w:val="20"/>
        </w:trPr>
        <w:tc>
          <w:tcPr>
            <w:tcW w:w="79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94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(19,992)</w:t>
            </w:r>
          </w:p>
        </w:tc>
        <w:tc>
          <w:tcPr>
            <w:tcW w:w="0" w:type="dxa"/>
            <w:vAlign w:val="bottom"/>
          </w:tcPr>
          <w:p>
            <w:pPr>
              <w:spacing w:after="0"/>
              <w:rPr>
                <w:sz w:val="1"/>
                <w:szCs w:val="1"/>
                <w:color w:val="auto"/>
              </w:rPr>
            </w:pPr>
          </w:p>
        </w:tc>
      </w:tr>
      <w:tr>
        <w:trPr>
          <w:trHeight w:val="213"/>
        </w:trPr>
        <w:tc>
          <w:tcPr>
            <w:tcW w:w="794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 in Subsidiaries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(4,047)</w:t>
            </w:r>
          </w:p>
        </w:tc>
        <w:tc>
          <w:tcPr>
            <w:tcW w:w="0" w:type="dxa"/>
            <w:vAlign w:val="bottom"/>
          </w:tcPr>
          <w:p>
            <w:pPr>
              <w:spacing w:after="0"/>
              <w:rPr>
                <w:sz w:val="1"/>
                <w:szCs w:val="1"/>
                <w:color w:val="auto"/>
              </w:rPr>
            </w:pPr>
          </w:p>
        </w:tc>
      </w:tr>
      <w:tr>
        <w:trPr>
          <w:trHeight w:val="20"/>
        </w:trPr>
        <w:tc>
          <w:tcPr>
            <w:tcW w:w="79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 attributable to SEACOR Marine Holdings Inc.</w:t>
            </w: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(15,945)</w:t>
            </w:r>
          </w:p>
        </w:tc>
        <w:tc>
          <w:tcPr>
            <w:tcW w:w="0" w:type="dxa"/>
            <w:vAlign w:val="bottom"/>
          </w:tcPr>
          <w:p>
            <w:pPr>
              <w:spacing w:after="0"/>
              <w:rPr>
                <w:sz w:val="1"/>
                <w:szCs w:val="1"/>
                <w:color w:val="auto"/>
              </w:rPr>
            </w:pPr>
          </w:p>
        </w:tc>
      </w:tr>
      <w:tr>
        <w:trPr>
          <w:trHeight w:val="20"/>
        </w:trPr>
        <w:tc>
          <w:tcPr>
            <w:tcW w:w="79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spacing w:after="0"/>
              <w:rPr>
                <w:sz w:val="20"/>
                <w:szCs w:val="20"/>
                <w:color w:val="auto"/>
              </w:rPr>
            </w:pPr>
            <w:r>
              <w:rPr>
                <w:rFonts w:ascii="Arial" w:cs="Arial" w:eastAsia="Arial" w:hAnsi="Arial"/>
                <w:sz w:val="16"/>
                <w:szCs w:val="16"/>
                <w:color w:val="auto"/>
              </w:rPr>
              <w:t>Basic and Diluted Earnings (Loss) Per Common Share and Warrants of SEACOR Marine Holdings Inc.</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60"/>
              <w:spacing w:after="0"/>
              <w:rPr>
                <w:sz w:val="20"/>
                <w:szCs w:val="20"/>
                <w:color w:val="auto"/>
              </w:rPr>
            </w:pPr>
            <w:r>
              <w:rPr>
                <w:rFonts w:ascii="Arial" w:cs="Arial" w:eastAsia="Arial" w:hAnsi="Arial"/>
                <w:sz w:val="16"/>
                <w:szCs w:val="16"/>
                <w:color w:val="auto"/>
              </w:rPr>
              <w:t>Continuing Operations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(0.67)</w:t>
            </w:r>
          </w:p>
        </w:tc>
        <w:tc>
          <w:tcPr>
            <w:tcW w:w="42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Discontinued Operations</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Pr>
          <w:p>
            <w:pPr>
              <w:spacing w:after="0"/>
              <w:rPr>
                <w:sz w:val="21"/>
                <w:szCs w:val="21"/>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0.24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00"/>
        </w:trPr>
        <w:tc>
          <w:tcPr>
            <w:tcW w:w="79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40" w:type="dxa"/>
            <w:vAlign w:val="bottom"/>
          </w:tcPr>
          <w:p>
            <w:pPr>
              <w:spacing w:after="0"/>
              <w:rPr>
                <w:sz w:val="20"/>
                <w:szCs w:val="20"/>
                <w:color w:val="auto"/>
              </w:rPr>
            </w:pPr>
            <w:r>
              <w:rPr>
                <w:rFonts w:ascii="Arial" w:cs="Arial" w:eastAsia="Arial" w:hAnsi="Arial"/>
                <w:sz w:val="16"/>
                <w:szCs w:val="16"/>
                <w:color w:val="auto"/>
              </w:rPr>
              <w:t>Weighted Average Common Stock and Warrants Outstanding:</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 and diluted shares</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25,304,661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23,989,029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COMPREHENSIVE INCOME (LOSS)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6,011</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(19,992)</w:t>
            </w:r>
          </w:p>
        </w:tc>
        <w:tc>
          <w:tcPr>
            <w:tcW w:w="0" w:type="dxa"/>
            <w:vAlign w:val="bottom"/>
          </w:tcPr>
          <w:p>
            <w:pPr>
              <w:spacing w:after="0"/>
              <w:rPr>
                <w:sz w:val="1"/>
                <w:szCs w:val="1"/>
                <w:color w:val="auto"/>
              </w:rPr>
            </w:pPr>
          </w:p>
        </w:tc>
      </w:tr>
      <w:tr>
        <w:trPr>
          <w:trHeight w:val="207"/>
        </w:trPr>
        <w:tc>
          <w:tcPr>
            <w:tcW w:w="760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gains (losses)</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4,392</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rPr>
                <w:sz w:val="1"/>
                <w:szCs w:val="1"/>
                <w:color w:val="auto"/>
              </w:rPr>
            </w:pPr>
          </w:p>
        </w:tc>
      </w:tr>
      <w:tr>
        <w:trPr>
          <w:trHeight w:val="213"/>
        </w:trPr>
        <w:tc>
          <w:tcPr>
            <w:tcW w:w="7600" w:type="dxa"/>
            <w:vAlign w:val="bottom"/>
          </w:tcPr>
          <w:p>
            <w:pPr>
              <w:ind w:left="260"/>
              <w:spacing w:after="0"/>
              <w:rPr>
                <w:sz w:val="20"/>
                <w:szCs w:val="20"/>
                <w:color w:val="auto"/>
              </w:rPr>
            </w:pPr>
            <w:r>
              <w:rPr>
                <w:rFonts w:ascii="Arial" w:cs="Arial" w:eastAsia="Arial" w:hAnsi="Arial"/>
                <w:sz w:val="16"/>
                <w:szCs w:val="16"/>
                <w:color w:val="auto"/>
              </w:rPr>
              <w:t>Derivative gains (losses) on cash flows hedges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Reclassification of derivative losses on cash flow hedges to interest expense</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60"/>
              <w:spacing w:after="0"/>
              <w:rPr>
                <w:sz w:val="20"/>
                <w:szCs w:val="20"/>
                <w:color w:val="auto"/>
              </w:rPr>
            </w:pPr>
            <w:r>
              <w:rPr>
                <w:rFonts w:ascii="Arial" w:cs="Arial" w:eastAsia="Arial" w:hAnsi="Arial"/>
                <w:sz w:val="16"/>
                <w:szCs w:val="16"/>
                <w:color w:val="auto"/>
                <w:w w:val="92"/>
              </w:rPr>
              <w:t>Reclassification of derivative losses on cash flow hedges to equity in earnings of 50% or less owned companies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(278)</w:t>
            </w:r>
          </w:p>
        </w:tc>
        <w:tc>
          <w:tcPr>
            <w:tcW w:w="6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4,656</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(4,519)</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6"/>
                <w:szCs w:val="16"/>
                <w:color w:val="auto"/>
              </w:rPr>
              <w:t>Comprehensive Income (Loss)</w:t>
            </w: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10,667</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(24,511)</w:t>
            </w:r>
          </w:p>
        </w:tc>
        <w:tc>
          <w:tcPr>
            <w:tcW w:w="0" w:type="dxa"/>
            <w:vAlign w:val="bottom"/>
          </w:tcPr>
          <w:p>
            <w:pPr>
              <w:spacing w:after="0"/>
              <w:rPr>
                <w:sz w:val="1"/>
                <w:szCs w:val="1"/>
                <w:color w:val="auto"/>
              </w:rPr>
            </w:pPr>
          </w:p>
        </w:tc>
      </w:tr>
      <w:tr>
        <w:trPr>
          <w:trHeight w:val="20"/>
        </w:trPr>
        <w:tc>
          <w:tcPr>
            <w:tcW w:w="760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Comprehensive Income (Loss) Attributable to Noncontrolling Interests in Subsidiaries</w:t>
            </w: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6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(4,047)</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6"/>
                <w:szCs w:val="16"/>
                <w:color w:val="auto"/>
              </w:rPr>
              <w:t>Comprehensive Income (Loss) attributable to SEACOR Marine Holdings Inc.</w:t>
            </w: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0" w:type="dxa"/>
            <w:vAlign w:val="bottom"/>
            <w:vMerge w:val="continue"/>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10,667</w:t>
            </w:r>
          </w:p>
        </w:tc>
        <w:tc>
          <w:tcPr>
            <w:tcW w:w="300" w:type="dxa"/>
            <w:vAlign w:val="bottom"/>
          </w:tcPr>
          <w:p>
            <w:pPr>
              <w:spacing w:after="0"/>
              <w:rPr>
                <w:sz w:val="17"/>
                <w:szCs w:val="17"/>
                <w:color w:val="auto"/>
              </w:rPr>
            </w:pP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(20,464)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CHANGES IN EQUITY</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i w:val="1"/>
                <w:iCs w:val="1"/>
                <w:color w:val="auto"/>
                <w:w w:val="87"/>
              </w:rPr>
              <w:t>Shares 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i w:val="1"/>
                <w:iCs w:val="1"/>
                <w:color w:val="auto"/>
                <w:w w:val="88"/>
              </w:rPr>
              <w:t>Accumulated</w:t>
            </w:r>
          </w:p>
        </w:tc>
        <w:tc>
          <w:tcPr>
            <w:tcW w:w="14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i w:val="1"/>
                <w:iCs w:val="1"/>
                <w:color w:val="auto"/>
              </w:rPr>
              <w:t>Non-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8"/>
              </w:rPr>
              <w:t>Common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i w:val="1"/>
                <w:iCs w:val="1"/>
                <w:color w:val="auto"/>
                <w:w w:val="90"/>
              </w:rPr>
              <w:t>Additional</w:t>
            </w:r>
          </w:p>
        </w:tc>
        <w:tc>
          <w:tcPr>
            <w:tcW w:w="9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i w:val="1"/>
                <w:iCs w:val="1"/>
                <w:color w:val="auto"/>
              </w:rPr>
              <w:t>Shares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i w:val="1"/>
                <w:iCs w:val="1"/>
                <w:color w:val="auto"/>
                <w:w w:val="90"/>
              </w:rPr>
              <w:t>Other</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i w:val="1"/>
                <w:iCs w:val="1"/>
                <w:color w:val="auto"/>
              </w:rPr>
              <w:t>Controlling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3"/>
              </w:rPr>
              <w:t>Stock</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i w:val="1"/>
                <w:iCs w:val="1"/>
                <w:color w:val="auto"/>
                <w:w w:val="95"/>
              </w:rPr>
              <w:t>Common</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i w:val="1"/>
                <w:iCs w:val="1"/>
                <w:color w:val="auto"/>
                <w:w w:val="98"/>
              </w:rPr>
              <w:t>Paid-In</w:t>
            </w: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i w:val="1"/>
                <w:iCs w:val="1"/>
                <w:color w:val="auto"/>
              </w:rPr>
              <w:t>Held in</w:t>
            </w:r>
          </w:p>
        </w:tc>
        <w:tc>
          <w:tcPr>
            <w:tcW w:w="72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i w:val="1"/>
                <w:iCs w:val="1"/>
                <w:color w:val="auto"/>
                <w:w w:val="77"/>
              </w:rPr>
              <w:t>Treasury</w:t>
            </w: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88"/>
              </w:rPr>
              <w:t>Accumulated</w:t>
            </w:r>
          </w:p>
        </w:tc>
        <w:tc>
          <w:tcPr>
            <w:tcW w:w="1240" w:type="dxa"/>
            <w:vAlign w:val="bottom"/>
            <w:gridSpan w:val="4"/>
          </w:tcPr>
          <w:p>
            <w:pPr>
              <w:ind w:left="80"/>
              <w:spacing w:after="0" w:line="149" w:lineRule="exact"/>
              <w:rPr>
                <w:sz w:val="20"/>
                <w:szCs w:val="20"/>
                <w:color w:val="auto"/>
              </w:rPr>
            </w:pPr>
            <w:r>
              <w:rPr>
                <w:rFonts w:ascii="Arial" w:cs="Arial" w:eastAsia="Arial" w:hAnsi="Arial"/>
                <w:sz w:val="14"/>
                <w:szCs w:val="14"/>
                <w:b w:val="1"/>
                <w:bCs w:val="1"/>
                <w:i w:val="1"/>
                <w:iCs w:val="1"/>
                <w:color w:val="auto"/>
              </w:rPr>
              <w:t>Comprehensive</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i w:val="1"/>
                <w:iCs w:val="1"/>
                <w:color w:val="auto"/>
              </w:rPr>
              <w:t>Interests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89"/>
              </w:rPr>
              <w:t>Total</w:t>
            </w: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4"/>
                <w:szCs w:val="14"/>
                <w:b w:val="1"/>
                <w:bCs w:val="1"/>
                <w:i w:val="1"/>
                <w:iCs w:val="1"/>
                <w:color w:val="auto"/>
                <w:w w:val="89"/>
              </w:rPr>
              <w:t>Outstanding</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i w:val="1"/>
                <w:iCs w:val="1"/>
                <w:color w:val="auto"/>
                <w:w w:val="94"/>
              </w:rPr>
              <w:t>Stock</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420"/>
              <w:spacing w:after="0"/>
              <w:rPr>
                <w:sz w:val="20"/>
                <w:szCs w:val="20"/>
                <w:color w:val="auto"/>
              </w:rPr>
            </w:pPr>
            <w:r>
              <w:rPr>
                <w:rFonts w:ascii="Arial" w:cs="Arial" w:eastAsia="Arial" w:hAnsi="Arial"/>
                <w:sz w:val="14"/>
                <w:szCs w:val="14"/>
                <w:b w:val="1"/>
                <w:bCs w:val="1"/>
                <w:i w:val="1"/>
                <w:iCs w:val="1"/>
                <w:color w:val="auto"/>
                <w:w w:val="89"/>
              </w:rPr>
              <w:t>Capital</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Treasury</w:t>
            </w:r>
          </w:p>
        </w:tc>
        <w:tc>
          <w:tcPr>
            <w:tcW w:w="720" w:type="dxa"/>
            <w:vAlign w:val="bottom"/>
            <w:gridSpan w:val="4"/>
          </w:tcPr>
          <w:p>
            <w:pPr>
              <w:jc w:val="right"/>
              <w:ind w:right="340"/>
              <w:spacing w:after="0"/>
              <w:rPr>
                <w:sz w:val="20"/>
                <w:szCs w:val="20"/>
                <w:color w:val="auto"/>
              </w:rPr>
            </w:pPr>
            <w:r>
              <w:rPr>
                <w:rFonts w:ascii="Arial" w:cs="Arial" w:eastAsia="Arial" w:hAnsi="Arial"/>
                <w:sz w:val="14"/>
                <w:szCs w:val="14"/>
                <w:b w:val="1"/>
                <w:bCs w:val="1"/>
                <w:i w:val="1"/>
                <w:iCs w:val="1"/>
                <w:color w:val="auto"/>
                <w:w w:val="94"/>
              </w:rPr>
              <w:t>Stock</w:t>
            </w:r>
          </w:p>
        </w:tc>
        <w:tc>
          <w:tcPr>
            <w:tcW w:w="12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93"/>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i w:val="1"/>
                <w:iCs w:val="1"/>
                <w:color w:val="auto"/>
                <w:w w:val="85"/>
              </w:rPr>
              <w:t>Loss</w:t>
            </w:r>
          </w:p>
        </w:tc>
        <w:tc>
          <w:tcPr>
            <w:tcW w:w="8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93"/>
              </w:rPr>
              <w:t>Equity</w:t>
            </w:r>
          </w:p>
        </w:tc>
        <w:tc>
          <w:tcPr>
            <w:tcW w:w="0" w:type="dxa"/>
            <w:vAlign w:val="bottom"/>
          </w:tcPr>
          <w:p>
            <w:pPr>
              <w:spacing w:after="0"/>
              <w:rPr>
                <w:sz w:val="1"/>
                <w:szCs w:val="1"/>
                <w:color w:val="auto"/>
              </w:rPr>
            </w:pPr>
          </w:p>
        </w:tc>
      </w:tr>
      <w:tr>
        <w:trPr>
          <w:trHeight w:val="196"/>
        </w:trPr>
        <w:tc>
          <w:tcPr>
            <w:tcW w:w="2560" w:type="dxa"/>
            <w:vAlign w:val="bottom"/>
            <w:tcBorders>
              <w:top w:val="single" w:sz="8" w:color="CFF0FC"/>
              <w:right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For the Three Months Ended</w:t>
            </w:r>
          </w:p>
        </w:tc>
        <w:tc>
          <w:tcPr>
            <w:tcW w:w="8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right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left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March 31, 2021</w:t>
            </w:r>
          </w:p>
        </w:tc>
        <w:tc>
          <w:tcPr>
            <w:tcW w:w="8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800" w:type="dxa"/>
            <w:vAlign w:val="bottom"/>
          </w:tcPr>
          <w:p>
            <w:pPr>
              <w:jc w:val="right"/>
              <w:spacing w:after="0"/>
              <w:rPr>
                <w:sz w:val="20"/>
                <w:szCs w:val="20"/>
                <w:color w:val="auto"/>
              </w:rPr>
            </w:pPr>
            <w:r>
              <w:rPr>
                <w:rFonts w:ascii="Arial" w:cs="Arial" w:eastAsia="Arial" w:hAnsi="Arial"/>
                <w:sz w:val="16"/>
                <w:szCs w:val="16"/>
                <w:color w:val="auto"/>
                <w:w w:val="97"/>
              </w:rPr>
              <w:t>23,430,766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451,179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73,284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(51,839)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401,836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Restricted stock grants</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815,550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FF0FC"/>
            </w:tcBorders>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260"/>
              <w:spacing w:after="0"/>
              <w:rPr>
                <w:sz w:val="20"/>
                <w:szCs w:val="20"/>
                <w:color w:val="auto"/>
              </w:rPr>
            </w:pPr>
            <w:r>
              <w:rPr>
                <w:rFonts w:ascii="Arial" w:cs="Arial" w:eastAsia="Arial" w:hAnsi="Arial"/>
                <w:sz w:val="16"/>
                <w:szCs w:val="16"/>
                <w:color w:val="auto"/>
              </w:rPr>
              <w:t>Amortization of employee share</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tcPr>
          <w:p>
            <w:pPr>
              <w:ind w:left="260"/>
              <w:spacing w:after="0"/>
              <w:rPr>
                <w:sz w:val="20"/>
                <w:szCs w:val="20"/>
                <w:color w:val="auto"/>
              </w:rPr>
            </w:pPr>
            <w:r>
              <w:rPr>
                <w:rFonts w:ascii="Arial" w:cs="Arial" w:eastAsia="Arial" w:hAnsi="Arial"/>
                <w:sz w:val="16"/>
                <w:szCs w:val="16"/>
                <w:color w:val="auto"/>
              </w:rPr>
              <w:t>awards</w:t>
            </w: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(51,933)</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51,933</w:t>
            </w:r>
          </w:p>
        </w:tc>
        <w:tc>
          <w:tcPr>
            <w:tcW w:w="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(262)</w:t>
            </w:r>
          </w:p>
        </w:tc>
        <w:tc>
          <w:tcPr>
            <w:tcW w:w="120" w:type="dxa"/>
            <w:vAlign w:val="bottom"/>
            <w:tcBorders>
              <w:left w:val="single" w:sz="8" w:color="CFF0FC"/>
            </w:tcBorders>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Arial" w:cs="Arial" w:eastAsia="Arial" w:hAnsi="Arial"/>
                <w:sz w:val="16"/>
                <w:szCs w:val="16"/>
                <w:color w:val="auto"/>
              </w:rPr>
              <w:t>Sale of Windcat Workboats</w:t>
            </w: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(4,201)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(4,201)</w:t>
            </w:r>
          </w:p>
        </w:tc>
        <w:tc>
          <w:tcPr>
            <w:tcW w:w="0" w:type="dxa"/>
            <w:vAlign w:val="bottom"/>
          </w:tcPr>
          <w:p>
            <w:pPr>
              <w:spacing w:after="0"/>
              <w:rPr>
                <w:sz w:val="1"/>
                <w:szCs w:val="1"/>
                <w:color w:val="auto"/>
              </w:rPr>
            </w:pPr>
          </w:p>
        </w:tc>
      </w:tr>
      <w:tr>
        <w:trPr>
          <w:trHeight w:val="219"/>
        </w:trPr>
        <w:tc>
          <w:tcPr>
            <w:tcW w:w="256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FF0FC"/>
            </w:tcBorders>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comprehensive income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gridSpan w:val="2"/>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gridSpan w:val="2"/>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4,656</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March 31, 2021</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24,194,383</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w:t>
            </w:r>
          </w:p>
        </w:tc>
        <w:tc>
          <w:tcPr>
            <w:tcW w:w="4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452,290</w:t>
            </w:r>
          </w:p>
        </w:tc>
        <w:tc>
          <w:tcPr>
            <w:tcW w:w="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125,217</w:t>
            </w:r>
          </w:p>
        </w:tc>
        <w:tc>
          <w:tcPr>
            <w:tcW w:w="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720" w:type="dxa"/>
            <w:vAlign w:val="bottom"/>
            <w:gridSpan w:val="4"/>
            <w:shd w:val="clear" w:color="auto" w:fill="CFF0FC"/>
          </w:tcPr>
          <w:p>
            <w:pPr>
              <w:jc w:val="right"/>
              <w:ind w:right="180"/>
              <w:spacing w:after="0"/>
              <w:rPr>
                <w:sz w:val="20"/>
                <w:szCs w:val="20"/>
                <w:color w:val="auto"/>
              </w:rPr>
            </w:pPr>
            <w:r>
              <w:rPr>
                <w:rFonts w:ascii="Arial" w:cs="Arial" w:eastAsia="Arial" w:hAnsi="Arial"/>
                <w:sz w:val="16"/>
                <w:szCs w:val="16"/>
                <w:color w:val="auto"/>
                <w:w w:val="81"/>
              </w:rPr>
              <w:t>$ (1,110)</w:t>
            </w: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(50,029)</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560" w:type="dxa"/>
            <w:vAlign w:val="bottom"/>
          </w:tcPr>
          <w:p>
            <w:pPr>
              <w:spacing w:after="0"/>
              <w:rPr>
                <w:sz w:val="24"/>
                <w:szCs w:val="2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i w:val="1"/>
                <w:iCs w:val="1"/>
                <w:color w:val="auto"/>
                <w:w w:val="87"/>
              </w:rPr>
              <w:t>Shares of</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i w:val="1"/>
                <w:iCs w:val="1"/>
                <w:color w:val="auto"/>
                <w:w w:val="88"/>
              </w:rPr>
              <w:t>Accumulated</w:t>
            </w:r>
          </w:p>
        </w:tc>
        <w:tc>
          <w:tcPr>
            <w:tcW w:w="140" w:type="dxa"/>
            <w:vAlign w:val="bottom"/>
          </w:tcPr>
          <w:p>
            <w:pPr>
              <w:spacing w:after="0"/>
              <w:rPr>
                <w:sz w:val="24"/>
                <w:szCs w:val="2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i w:val="1"/>
                <w:iCs w:val="1"/>
                <w:color w:val="auto"/>
              </w:rPr>
              <w:t>Non-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88"/>
              </w:rPr>
              <w:t>Common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90"/>
              </w:rPr>
              <w:t>Additional</w:t>
            </w:r>
          </w:p>
        </w:tc>
        <w:tc>
          <w:tcPr>
            <w:tcW w:w="940" w:type="dxa"/>
            <w:vAlign w:val="bottom"/>
            <w:gridSpan w:val="3"/>
          </w:tcPr>
          <w:p>
            <w:pPr>
              <w:ind w:left="160"/>
              <w:spacing w:after="0" w:line="149" w:lineRule="exact"/>
              <w:rPr>
                <w:sz w:val="20"/>
                <w:szCs w:val="20"/>
                <w:color w:val="auto"/>
              </w:rPr>
            </w:pPr>
            <w:r>
              <w:rPr>
                <w:rFonts w:ascii="Arial" w:cs="Arial" w:eastAsia="Arial" w:hAnsi="Arial"/>
                <w:sz w:val="14"/>
                <w:szCs w:val="14"/>
                <w:b w:val="1"/>
                <w:bCs w:val="1"/>
                <w:i w:val="1"/>
                <w:iCs w:val="1"/>
                <w:color w:val="auto"/>
              </w:rPr>
              <w:t>Shares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i w:val="1"/>
                <w:iCs w:val="1"/>
                <w:color w:val="auto"/>
                <w:w w:val="90"/>
              </w:rPr>
              <w:t>Other</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i w:val="1"/>
                <w:iCs w:val="1"/>
                <w:color w:val="auto"/>
              </w:rPr>
              <w:t>Controlling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3"/>
              </w:rPr>
              <w:t>Stock</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i w:val="1"/>
                <w:iCs w:val="1"/>
                <w:color w:val="auto"/>
                <w:w w:val="85"/>
              </w:rPr>
              <w:t>Common</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98"/>
              </w:rPr>
              <w:t>Paid-In</w:t>
            </w:r>
          </w:p>
        </w:tc>
        <w:tc>
          <w:tcPr>
            <w:tcW w:w="9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i w:val="1"/>
                <w:iCs w:val="1"/>
                <w:color w:val="auto"/>
              </w:rPr>
              <w:t>Held in</w:t>
            </w:r>
          </w:p>
        </w:tc>
        <w:tc>
          <w:tcPr>
            <w:tcW w:w="720" w:type="dxa"/>
            <w:vAlign w:val="bottom"/>
            <w:gridSpan w:val="4"/>
          </w:tcPr>
          <w:p>
            <w:pPr>
              <w:spacing w:after="0" w:line="149" w:lineRule="exact"/>
              <w:rPr>
                <w:sz w:val="20"/>
                <w:szCs w:val="20"/>
                <w:color w:val="auto"/>
              </w:rPr>
            </w:pPr>
            <w:r>
              <w:rPr>
                <w:rFonts w:ascii="Arial" w:cs="Arial" w:eastAsia="Arial" w:hAnsi="Arial"/>
                <w:sz w:val="14"/>
                <w:szCs w:val="14"/>
                <w:b w:val="1"/>
                <w:bCs w:val="1"/>
                <w:i w:val="1"/>
                <w:iCs w:val="1"/>
                <w:color w:val="auto"/>
              </w:rPr>
              <w:t>Treasury</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91"/>
              </w:rPr>
              <w:t>Retained</w:t>
            </w:r>
          </w:p>
        </w:tc>
        <w:tc>
          <w:tcPr>
            <w:tcW w:w="1240" w:type="dxa"/>
            <w:vAlign w:val="bottom"/>
            <w:gridSpan w:val="4"/>
          </w:tcPr>
          <w:p>
            <w:pPr>
              <w:ind w:left="80"/>
              <w:spacing w:after="0" w:line="149" w:lineRule="exact"/>
              <w:rPr>
                <w:sz w:val="20"/>
                <w:szCs w:val="20"/>
                <w:color w:val="auto"/>
              </w:rPr>
            </w:pPr>
            <w:r>
              <w:rPr>
                <w:rFonts w:ascii="Arial" w:cs="Arial" w:eastAsia="Arial" w:hAnsi="Arial"/>
                <w:sz w:val="14"/>
                <w:szCs w:val="14"/>
                <w:b w:val="1"/>
                <w:bCs w:val="1"/>
                <w:i w:val="1"/>
                <w:iCs w:val="1"/>
                <w:color w:val="auto"/>
              </w:rPr>
              <w:t>Comprehensive</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i w:val="1"/>
                <w:iCs w:val="1"/>
                <w:color w:val="auto"/>
              </w:rPr>
              <w:t>Interests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89"/>
              </w:rPr>
              <w:t>Total</w:t>
            </w: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i w:val="1"/>
                <w:iCs w:val="1"/>
                <w:color w:val="auto"/>
                <w:w w:val="87"/>
              </w:rPr>
              <w:t>Outstanding</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i w:val="1"/>
                <w:iCs w:val="1"/>
                <w:color w:val="auto"/>
              </w:rPr>
              <w:t>Stock</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i w:val="1"/>
                <w:iCs w:val="1"/>
                <w:color w:val="auto"/>
                <w:w w:val="94"/>
              </w:rPr>
              <w:t>Capital</w:t>
            </w: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i w:val="1"/>
                <w:iCs w:val="1"/>
                <w:color w:val="auto"/>
              </w:rPr>
              <w:t>Treasury</w:t>
            </w:r>
          </w:p>
        </w:tc>
        <w:tc>
          <w:tcPr>
            <w:tcW w:w="100" w:type="dxa"/>
            <w:vAlign w:val="bottom"/>
          </w:tcPr>
          <w:p>
            <w:pPr>
              <w:spacing w:after="0"/>
              <w:rPr>
                <w:sz w:val="14"/>
                <w:szCs w:val="14"/>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4"/>
                <w:szCs w:val="14"/>
                <w:b w:val="1"/>
                <w:bCs w:val="1"/>
                <w:i w:val="1"/>
                <w:iCs w:val="1"/>
                <w:color w:val="auto"/>
                <w:w w:val="83"/>
              </w:rPr>
              <w:t>Stock</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90"/>
              </w:rPr>
              <w:t>Earnings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i w:val="1"/>
                <w:iCs w:val="1"/>
                <w:color w:val="auto"/>
                <w:w w:val="85"/>
              </w:rPr>
              <w:t>Loss</w:t>
            </w:r>
          </w:p>
        </w:tc>
        <w:tc>
          <w:tcPr>
            <w:tcW w:w="8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93"/>
              </w:rPr>
              <w:t>Equity</w:t>
            </w:r>
          </w:p>
        </w:tc>
        <w:tc>
          <w:tcPr>
            <w:tcW w:w="0" w:type="dxa"/>
            <w:vAlign w:val="bottom"/>
          </w:tcPr>
          <w:p>
            <w:pPr>
              <w:spacing w:after="0"/>
              <w:rPr>
                <w:sz w:val="1"/>
                <w:szCs w:val="1"/>
                <w:color w:val="auto"/>
              </w:rPr>
            </w:pPr>
          </w:p>
        </w:tc>
      </w:tr>
      <w:tr>
        <w:trPr>
          <w:trHeight w:val="196"/>
        </w:trPr>
        <w:tc>
          <w:tcPr>
            <w:tcW w:w="2560" w:type="dxa"/>
            <w:vAlign w:val="bottom"/>
            <w:tcBorders>
              <w:top w:val="single" w:sz="8" w:color="CFF0FC"/>
              <w:right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8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right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left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2020</w:t>
            </w:r>
          </w:p>
        </w:tc>
        <w:tc>
          <w:tcPr>
            <w:tcW w:w="8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spacing w:after="0"/>
              <w:rPr>
                <w:sz w:val="20"/>
                <w:szCs w:val="20"/>
                <w:color w:val="auto"/>
              </w:rPr>
            </w:pPr>
            <w:r>
              <w:rPr>
                <w:rFonts w:ascii="Arial" w:cs="Arial" w:eastAsia="Arial" w:hAnsi="Arial"/>
                <w:sz w:val="16"/>
                <w:szCs w:val="16"/>
                <w:b w:val="1"/>
                <w:bCs w:val="1"/>
                <w:color w:val="auto"/>
              </w:rPr>
              <w:t>December 31, 2019</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21,881,487</w:t>
            </w:r>
          </w:p>
        </w:tc>
        <w:tc>
          <w:tcPr>
            <w:tcW w:w="1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219</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429,318</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47,187</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20" w:type="dxa"/>
            <w:vAlign w:val="bottom"/>
            <w:gridSpan w:val="3"/>
          </w:tcPr>
          <w:p>
            <w:pPr>
              <w:jc w:val="right"/>
              <w:ind w:right="120"/>
              <w:spacing w:after="0"/>
              <w:rPr>
                <w:sz w:val="20"/>
                <w:szCs w:val="20"/>
                <w:color w:val="auto"/>
              </w:rPr>
            </w:pPr>
            <w:r>
              <w:rPr>
                <w:rFonts w:ascii="Arial" w:cs="Arial" w:eastAsia="Arial" w:hAnsi="Arial"/>
                <w:sz w:val="16"/>
                <w:szCs w:val="16"/>
                <w:color w:val="auto"/>
              </w:rPr>
              <w:t>(669)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27,076</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1,548</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21,432</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478,924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Issuance of Common Stock</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900,000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3,349</w:t>
            </w:r>
          </w:p>
        </w:tc>
        <w:tc>
          <w:tcPr>
            <w:tcW w:w="220" w:type="dxa"/>
            <w:vAlign w:val="bottom"/>
            <w:tcBorders>
              <w:right w:val="single" w:sz="8" w:color="CFF0FC"/>
            </w:tcBorders>
            <w:shd w:val="clear" w:color="auto" w:fill="CFF0FC"/>
          </w:tcPr>
          <w:p>
            <w:pPr>
              <w:spacing w:after="0"/>
              <w:rPr>
                <w:sz w:val="19"/>
                <w:szCs w:val="19"/>
                <w:color w:val="auto"/>
              </w:rPr>
            </w:pPr>
          </w:p>
        </w:tc>
        <w:tc>
          <w:tcPr>
            <w:tcW w:w="9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FF0FC"/>
            </w:tcBorders>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260"/>
              <w:spacing w:after="0"/>
              <w:rPr>
                <w:sz w:val="20"/>
                <w:szCs w:val="20"/>
                <w:color w:val="auto"/>
              </w:rPr>
            </w:pPr>
            <w:r>
              <w:rPr>
                <w:rFonts w:ascii="Arial" w:cs="Arial" w:eastAsia="Arial" w:hAnsi="Arial"/>
                <w:sz w:val="16"/>
                <w:szCs w:val="16"/>
                <w:color w:val="auto"/>
              </w:rPr>
              <w:t>Cancellation of employee share</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tcPr>
          <w:p>
            <w:pPr>
              <w:ind w:left="260"/>
              <w:spacing w:after="0"/>
              <w:rPr>
                <w:sz w:val="20"/>
                <w:szCs w:val="20"/>
                <w:color w:val="auto"/>
              </w:rPr>
            </w:pPr>
            <w:r>
              <w:rPr>
                <w:rFonts w:ascii="Arial" w:cs="Arial" w:eastAsia="Arial" w:hAnsi="Arial"/>
                <w:sz w:val="16"/>
                <w:szCs w:val="16"/>
                <w:color w:val="auto"/>
              </w:rPr>
              <w:t>awards</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(1,497)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Restricted stock grants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271,950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FF0FC"/>
            </w:tcBorders>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260"/>
              <w:spacing w:after="0"/>
              <w:rPr>
                <w:sz w:val="20"/>
                <w:szCs w:val="20"/>
                <w:color w:val="auto"/>
              </w:rPr>
            </w:pPr>
            <w:r>
              <w:rPr>
                <w:rFonts w:ascii="Arial" w:cs="Arial" w:eastAsia="Arial" w:hAnsi="Arial"/>
                <w:sz w:val="16"/>
                <w:szCs w:val="16"/>
                <w:color w:val="auto"/>
              </w:rPr>
              <w:t>Amortization of employee share</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tcPr>
          <w:p>
            <w:pPr>
              <w:ind w:left="260"/>
              <w:spacing w:after="0"/>
              <w:rPr>
                <w:sz w:val="20"/>
                <w:szCs w:val="20"/>
                <w:color w:val="auto"/>
              </w:rPr>
            </w:pPr>
            <w:r>
              <w:rPr>
                <w:rFonts w:ascii="Arial" w:cs="Arial" w:eastAsia="Arial" w:hAnsi="Arial"/>
                <w:sz w:val="16"/>
                <w:szCs w:val="16"/>
                <w:color w:val="auto"/>
              </w:rPr>
              <w:t>awards</w:t>
            </w: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1,069</w:t>
            </w:r>
          </w:p>
        </w:tc>
        <w:tc>
          <w:tcPr>
            <w:tcW w:w="22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(24,715)</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24,715</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(175)</w:t>
            </w:r>
          </w:p>
        </w:tc>
        <w:tc>
          <w:tcPr>
            <w:tcW w:w="120" w:type="dxa"/>
            <w:vAlign w:val="bottom"/>
            <w:tcBorders>
              <w:left w:val="single" w:sz="8" w:color="CFF0FC"/>
            </w:tcBorders>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6"/>
        </w:trPr>
        <w:tc>
          <w:tcPr>
            <w:tcW w:w="2560" w:type="dxa"/>
            <w:vAlign w:val="bottom"/>
          </w:tcPr>
          <w:p>
            <w:pPr>
              <w:ind w:left="260"/>
              <w:spacing w:after="0"/>
              <w:rPr>
                <w:sz w:val="20"/>
                <w:szCs w:val="20"/>
                <w:color w:val="auto"/>
              </w:rPr>
            </w:pPr>
            <w:r>
              <w:rPr>
                <w:rFonts w:ascii="Arial" w:cs="Arial" w:eastAsia="Arial" w:hAnsi="Arial"/>
                <w:sz w:val="16"/>
                <w:szCs w:val="16"/>
                <w:color w:val="auto"/>
              </w:rPr>
              <w:t>Acquisition of consolidated joint</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tcPr>
          <w:p>
            <w:pPr>
              <w:ind w:left="260"/>
              <w:spacing w:after="0"/>
              <w:rPr>
                <w:sz w:val="20"/>
                <w:szCs w:val="20"/>
                <w:color w:val="auto"/>
              </w:rPr>
            </w:pPr>
            <w:r>
              <w:rPr>
                <w:rFonts w:ascii="Arial" w:cs="Arial" w:eastAsia="Arial" w:hAnsi="Arial"/>
                <w:sz w:val="16"/>
                <w:szCs w:val="16"/>
                <w:color w:val="auto"/>
              </w:rPr>
              <w:t>venture</w:t>
            </w: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13,689</w:t>
            </w:r>
          </w:p>
        </w:tc>
        <w:tc>
          <w:tcPr>
            <w:tcW w:w="22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(17,046)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(3,357)</w:t>
            </w:r>
          </w:p>
        </w:tc>
        <w:tc>
          <w:tcPr>
            <w:tcW w:w="0" w:type="dxa"/>
            <w:vAlign w:val="bottom"/>
          </w:tcPr>
          <w:p>
            <w:pPr>
              <w:spacing w:after="0"/>
              <w:rPr>
                <w:sz w:val="1"/>
                <w:szCs w:val="1"/>
                <w:color w:val="auto"/>
              </w:rPr>
            </w:pPr>
          </w:p>
        </w:tc>
      </w:tr>
      <w:tr>
        <w:trPr>
          <w:trHeight w:val="219"/>
        </w:trPr>
        <w:tc>
          <w:tcPr>
            <w:tcW w:w="256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FF0FC"/>
            </w:tcBorders>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(15,945)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(4,047)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(19,992)</w:t>
            </w: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(4,519)</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(4,519)</w:t>
            </w:r>
          </w:p>
        </w:tc>
        <w:tc>
          <w:tcPr>
            <w:tcW w:w="0" w:type="dxa"/>
            <w:vAlign w:val="bottom"/>
          </w:tcPr>
          <w:p>
            <w:pPr>
              <w:spacing w:after="0"/>
              <w:rPr>
                <w:sz w:val="1"/>
                <w:szCs w:val="1"/>
                <w:color w:val="auto"/>
              </w:rPr>
            </w:pPr>
          </w:p>
        </w:tc>
      </w:tr>
      <w:tr>
        <w:trPr>
          <w:trHeight w:val="20"/>
        </w:trPr>
        <w:tc>
          <w:tcPr>
            <w:tcW w:w="256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16"/>
                <w:szCs w:val="16"/>
                <w:b w:val="1"/>
                <w:bCs w:val="1"/>
                <w:color w:val="auto"/>
              </w:rPr>
              <w:t>March 31, 2020</w:t>
            </w:r>
          </w:p>
        </w:tc>
        <w:tc>
          <w:tcPr>
            <w:tcW w:w="8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gridSpan w:val="2"/>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tcBorders>
              <w:right w:val="single" w:sz="8" w:color="CFF0FC"/>
            </w:tcBorders>
            <w:vMerge w:val="continue"/>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23,027,225</w:t>
            </w:r>
          </w:p>
        </w:tc>
        <w:tc>
          <w:tcPr>
            <w:tcW w:w="120" w:type="dxa"/>
            <w:vAlign w:val="bottom"/>
            <w:shd w:val="clear" w:color="auto" w:fill="CFF0FC"/>
          </w:tcPr>
          <w:p>
            <w:pPr>
              <w:spacing w:after="0"/>
              <w:rPr>
                <w:sz w:val="18"/>
                <w:szCs w:val="18"/>
                <w:color w:val="auto"/>
              </w:rPr>
            </w:pPr>
          </w:p>
        </w:tc>
        <w:tc>
          <w:tcPr>
            <w:tcW w:w="100" w:type="dxa"/>
            <w:vAlign w:val="bottom"/>
            <w:gridSpan w:val="2"/>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220" w:type="dxa"/>
            <w:vAlign w:val="bottom"/>
            <w:gridSpan w:val="2"/>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447,425</w:t>
            </w:r>
          </w:p>
        </w:tc>
        <w:tc>
          <w:tcPr>
            <w:tcW w:w="220" w:type="dxa"/>
            <w:vAlign w:val="bottom"/>
            <w:tcBorders>
              <w:right w:val="single" w:sz="8" w:color="CFF0FC"/>
            </w:tcBorders>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71,902</w:t>
            </w: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(844)</w:t>
            </w: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11,131</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(2,971)</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455,311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CASH FLOWS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Continuing Operating Activities: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4"/>
                <w:szCs w:val="14"/>
                <w:color w:val="auto"/>
              </w:rPr>
              <w:t>Net Income (Loss)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6,011</w:t>
            </w:r>
          </w:p>
        </w:tc>
        <w:tc>
          <w:tcPr>
            <w:tcW w:w="420" w:type="dxa"/>
            <w:vAlign w:val="bottom"/>
          </w:tcPr>
          <w:p>
            <w:pPr>
              <w:spacing w:after="0"/>
              <w:rPr>
                <w:sz w:val="14"/>
                <w:szCs w:val="14"/>
                <w:color w:val="auto"/>
              </w:rPr>
            </w:pPr>
          </w:p>
        </w:tc>
        <w:tc>
          <w:tcPr>
            <w:tcW w:w="980" w:type="dxa"/>
            <w:vAlign w:val="bottom"/>
          </w:tcPr>
          <w:p>
            <w:pPr>
              <w:jc w:val="right"/>
              <w:ind w:right="862"/>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(17,938)</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14,798</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13,362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financing costs amortization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Amortization of employee share awards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1,111</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Restricted stock vesting</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(262)</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Debt discount amortization</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1,892</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Bad debt recoveries (expense)</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Loss from equipment sales, retirements or impairments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2,273</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12,572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Gain on the Sale of Windcat Workboats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(22,756)</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Derivative gains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(355)</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(5,114)</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settlement payments on derivative transactions, net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(919)</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Currency (gains) losses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466</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income taxes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(4,056)</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(7,768)</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Equity Earnings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(4,103)</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Accounts receivables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11,345</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(11,770)</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assets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1,192</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Accounts payable and accrued liabilities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(10,296)</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4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Net cash used in operating activities</w:t>
            </w: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(3,375)</w:t>
            </w:r>
          </w:p>
        </w:tc>
        <w:tc>
          <w:tcPr>
            <w:tcW w:w="42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(11,138)</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40" w:type="dxa"/>
            <w:vAlign w:val="bottom"/>
          </w:tcPr>
          <w:p>
            <w:pPr>
              <w:spacing w:after="0" w:line="155" w:lineRule="exact"/>
              <w:rPr>
                <w:sz w:val="20"/>
                <w:szCs w:val="20"/>
                <w:color w:val="auto"/>
              </w:rPr>
            </w:pPr>
            <w:r>
              <w:rPr>
                <w:rFonts w:ascii="Arial" w:cs="Arial" w:eastAsia="Arial" w:hAnsi="Arial"/>
                <w:sz w:val="14"/>
                <w:szCs w:val="14"/>
                <w:color w:val="auto"/>
              </w:rPr>
              <w:t>Cash Flows from Continuing Investing Activities:</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Purchases of property and equipment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(2,724)</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(8,456)</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Proceeds from disposition of property and equipment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3,266</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Construction reserve funds utilized</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60"/>
              <w:spacing w:after="0"/>
              <w:rPr>
                <w:sz w:val="20"/>
                <w:szCs w:val="20"/>
                <w:color w:val="auto"/>
              </w:rPr>
            </w:pPr>
            <w:r>
              <w:rPr>
                <w:rFonts w:ascii="Arial" w:cs="Arial" w:eastAsia="Arial" w:hAnsi="Arial"/>
                <w:sz w:val="14"/>
                <w:szCs w:val="14"/>
                <w:color w:val="auto"/>
              </w:rPr>
              <w:t>Proceeds from sale of Windcat Workboats, net of transaction costs and cash sold</w:t>
            </w:r>
            <w:r>
              <w:rPr>
                <w:rFonts w:ascii="Arial" w:cs="Arial" w:eastAsia="Arial" w:hAnsi="Arial"/>
                <w:sz w:val="13"/>
                <w:szCs w:val="13"/>
                <w:color w:val="auto"/>
              </w:rPr>
              <w:t>(1)</w:t>
            </w: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38,715</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Investments in and advances to 50% or less owned companies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(736)</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Principal payments on notes due from equity investees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919</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64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Net cash provided by investing activities</w:t>
            </w: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39,440</w:t>
            </w:r>
          </w:p>
        </w:tc>
        <w:tc>
          <w:tcPr>
            <w:tcW w:w="42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3,552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tcPr>
          <w:p>
            <w:pPr>
              <w:spacing w:after="0" w:line="155" w:lineRule="exact"/>
              <w:rPr>
                <w:sz w:val="20"/>
                <w:szCs w:val="20"/>
                <w:color w:val="auto"/>
              </w:rPr>
            </w:pPr>
            <w:r>
              <w:rPr>
                <w:rFonts w:ascii="Arial" w:cs="Arial" w:eastAsia="Arial" w:hAnsi="Arial"/>
                <w:sz w:val="14"/>
                <w:szCs w:val="14"/>
                <w:color w:val="auto"/>
              </w:rPr>
              <w:t>Cash Flows from Continuing Financing Activities:</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on long-term debt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(8,302)</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(5,069)</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Interest on Finance Lease</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stock</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64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cash used in financing activities</w:t>
            </w:r>
          </w:p>
        </w:tc>
        <w:tc>
          <w:tcPr>
            <w:tcW w:w="10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(8,292)</w:t>
            </w:r>
          </w:p>
        </w:tc>
        <w:tc>
          <w:tcPr>
            <w:tcW w:w="4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Effects of Exchange Rate Changes on Cash and Cash Equivalents</w:t>
            </w:r>
          </w:p>
        </w:tc>
        <w:tc>
          <w:tcPr>
            <w:tcW w:w="10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4,621</w:t>
            </w:r>
          </w:p>
        </w:tc>
        <w:tc>
          <w:tcPr>
            <w:tcW w:w="42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(1,037)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tcPr>
          <w:p>
            <w:pPr>
              <w:spacing w:after="0" w:line="155" w:lineRule="exact"/>
              <w:rPr>
                <w:sz w:val="20"/>
                <w:szCs w:val="20"/>
                <w:color w:val="auto"/>
              </w:rPr>
            </w:pPr>
            <w:r>
              <w:rPr>
                <w:rFonts w:ascii="Arial" w:cs="Arial" w:eastAsia="Arial" w:hAnsi="Arial"/>
                <w:sz w:val="14"/>
                <w:szCs w:val="14"/>
                <w:color w:val="auto"/>
              </w:rPr>
              <w:t>Net Increase (Decrease) in Cash, Restricted Cash and Cash Equivalents</w:t>
            </w:r>
          </w:p>
        </w:tc>
        <w:tc>
          <w:tcPr>
            <w:tcW w:w="10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32,394</w:t>
            </w: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(13,692)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Arial" w:cs="Arial" w:eastAsia="Arial" w:hAnsi="Arial"/>
                <w:sz w:val="14"/>
                <w:szCs w:val="14"/>
                <w:color w:val="auto"/>
              </w:rPr>
              <w:t>Cash Flows from Discontinued Operations: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Operating Activities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(171)</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Investing Activities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(2,788)</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Financing Activities</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Effects of Exchange Rate Changes on Cash, Restricted Cash and Cash Equivalents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55"/>
        </w:trPr>
        <w:tc>
          <w:tcPr>
            <w:tcW w:w="764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Decrease in Cash, Restricted Cash and Cash Equivalents on Discontinued Operations</w:t>
            </w:r>
          </w:p>
        </w:tc>
        <w:tc>
          <w:tcPr>
            <w:tcW w:w="10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w:t>
            </w:r>
          </w:p>
        </w:tc>
        <w:tc>
          <w:tcPr>
            <w:tcW w:w="4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Increase (Decrease) in Cash, Restricted Cash and Cash Equivalents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32,223</w:t>
            </w:r>
          </w:p>
        </w:tc>
        <w:tc>
          <w:tcPr>
            <w:tcW w:w="4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(14,474)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Restricted Cash and Cash Equivalents, Beginning of Period</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39,538</w:t>
            </w:r>
          </w:p>
        </w:tc>
        <w:tc>
          <w:tcPr>
            <w:tcW w:w="4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87,047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Restricted Cash and Cash Equivalents, End of Period</w:t>
            </w:r>
          </w:p>
        </w:tc>
        <w:tc>
          <w:tcPr>
            <w:tcW w:w="1000" w:type="dxa"/>
            <w:vAlign w:val="bottom"/>
            <w:tcBorders>
              <w:bottom w:val="single" w:sz="8" w:color="auto"/>
            </w:tcBorders>
            <w:shd w:val="clear" w:color="auto" w:fill="CFF0FC"/>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71,761</w:t>
            </w:r>
          </w:p>
        </w:tc>
        <w:tc>
          <w:tcPr>
            <w:tcW w:w="42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86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72,573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4"/>
                <w:szCs w:val="14"/>
                <w:color w:val="auto"/>
              </w:rPr>
              <w:t>Supplemental disclosures:</w:t>
            </w: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paid for interest, excluding capitalized interest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(4,398)</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(4,513)</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4"/>
                <w:szCs w:val="14"/>
                <w:color w:val="auto"/>
              </w:rPr>
              <w:t>Income taxes refunded, net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12,057</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Noncash Investing and Financing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40" w:type="dxa"/>
            <w:vAlign w:val="bottom"/>
          </w:tcPr>
          <w:p>
            <w:pPr>
              <w:ind w:left="500"/>
              <w:spacing w:after="0"/>
              <w:rPr>
                <w:sz w:val="20"/>
                <w:szCs w:val="20"/>
                <w:color w:val="auto"/>
              </w:rPr>
            </w:pPr>
            <w:r>
              <w:rPr>
                <w:rFonts w:ascii="Arial" w:cs="Arial" w:eastAsia="Arial" w:hAnsi="Arial"/>
                <w:sz w:val="14"/>
                <w:szCs w:val="14"/>
                <w:color w:val="auto"/>
              </w:rPr>
              <w:t>Decrease in capital expenditures in accounts payable and accrued liabilities</w:t>
            </w:r>
          </w:p>
        </w:tc>
        <w:tc>
          <w:tcPr>
            <w:tcW w:w="100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(1,555)</w:t>
            </w:r>
          </w:p>
        </w:tc>
        <w:tc>
          <w:tcPr>
            <w:tcW w:w="9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(7,212)</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4"/>
          <w:szCs w:val="14"/>
          <w:color w:val="auto"/>
        </w:rPr>
        <w:t>Refer to Note 2. Equipment Acquisitions and Dispositions for a reconciliation of the cash received from the sale of Windcat Workboats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 w:name="page8"/>
    <w:bookmarkEnd w:id="7"/>
    <w:p>
      <w:pPr>
        <w:jc w:val="center"/>
        <w:spacing w:after="0" w:line="244" w:lineRule="auto"/>
        <w:rPr>
          <w:sz w:val="20"/>
          <w:szCs w:val="20"/>
          <w:color w:val="auto"/>
        </w:rPr>
      </w:pPr>
      <w:r>
        <w:rPr>
          <w:rFonts w:ascii="Arial" w:cs="Arial" w:eastAsia="Arial" w:hAnsi="Arial"/>
          <w:sz w:val="22"/>
          <w:szCs w:val="22"/>
          <w:b w:val="1"/>
          <w:bCs w:val="1"/>
          <w:color w:val="auto"/>
        </w:rPr>
        <w:t>SEACOR MARINE HOLDINGS INC. NOTES TO CONDENSED CONSOLIDATED FINANCIAL STATEMENTS (unaudited)</w:t>
      </w:r>
    </w:p>
    <w:p>
      <w:pPr>
        <w:spacing w:after="0" w:line="390" w:lineRule="exact"/>
        <w:rPr>
          <w:sz w:val="20"/>
          <w:szCs w:val="20"/>
          <w:color w:val="auto"/>
        </w:rPr>
      </w:pPr>
    </w:p>
    <w:p>
      <w:pPr>
        <w:ind w:left="760" w:hanging="752"/>
        <w:spacing w:after="0"/>
        <w:tabs>
          <w:tab w:leader="none" w:pos="7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BASIS OF PRESENTATION AND ACCOUNTING POLICIES</w:t>
      </w:r>
    </w:p>
    <w:p>
      <w:pPr>
        <w:spacing w:after="0" w:line="17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spacing w:after="0" w:line="16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Certain information and footnote disclosures normally included in financial statements prepared in accordance with generally accepted accounting principles in the United States (“GAAP”) have been condensed or omitted. These condensed consolidated financial statements should be read in conjunction with the Company’s financial statements and related notes thereto included in the Company’s Annual Report on Form 10-K for the year ended December 31, 2020 (the “2020 Annual Report”).</w:t>
      </w:r>
    </w:p>
    <w:p>
      <w:pPr>
        <w:spacing w:after="0" w:line="1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w:t>
      </w:r>
    </w:p>
    <w:p>
      <w:pPr>
        <w:spacing w:after="0" w:line="12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The outbreak of the novel coronavirus (“COVID-19”) has caused significant disruptions and volatility in the global economy and marketplace. There remains continuing uncertainty regarding the length and severity of the impact of COVID-19 on the economy, in general, and the energy industry, in particular, each of which has a significant affect on the outlook for the Company’s business. The decrease in oil and natural gas prices experienced at the beginning stages of the COVID-19 pandemic led to a decrease in the demand for the Company’s products and services, and a prolonged period of severely depressed oil and natural gas prices compared to historic averages could have a material adverse effect on the business.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Recently Adopted Accounting Standards.</w:t>
      </w:r>
    </w:p>
    <w:p>
      <w:pPr>
        <w:spacing w:after="0" w:line="16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On December 18, 2019, the FASB issued ASU 2019-12, Income Taxes (Topic 740): Simplifying the Accounting for Income Taxes. The guidance is effective for fiscal years, and interim periods within those fiscal years, beginning after December 15, 2020. The adoption of the standard by the Company did not have a material impact on its consolidated financial position or on its results of operations and cash flows.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Recently Issued Accounting Standards</w:t>
      </w:r>
    </w:p>
    <w:p>
      <w:pPr>
        <w:spacing w:after="0" w:line="17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On October 29, 2020, the FASB issued ASU 2020-10, Codification Improvements: Amendments that improve the consistency of the Codification by including all disclosure guidance in the appropriate Disclosure section. The guidance is effective for annual periods beginning after December 15, 2020, and interim periods within the annual periods beginning after December 15, 2022. The Company has not yet determined the impact adoption of the standard will have on the disclosures included herein.</w:t>
      </w:r>
    </w:p>
    <w:p>
      <w:pPr>
        <w:spacing w:after="0" w:line="14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On August 5, 2020, the FASB issued ASU 2020-06, Debt – Debt with Conversion and Other Options (Subtopic 470-20) and Derivatives and Hedging – Contracts in Entity’s Own Equity (Subtopic 815-40): Accounting for Convertible Instruments and Contracts in an Entity’s Own Equity, which simplifies the accounting for certain financial instruments with characteristics of liabilities and equity, including convertible instruments and contracts on an entity’s own equity. The guidance is effective for fiscal years, and interim periods within those fiscal years, beginning after December 15, 2021. While early adoption is permitted, the Company has determined it will not early adopt the standards. The Company has not yet determined the impact that the adoption of the standard will have on the Company’s consolidated financial position, results of operations and disclosures.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 w:name="page9"/>
    <w:bookmarkEnd w:id="8"/>
    <w:p>
      <w:pPr>
        <w:jc w:val="both"/>
        <w:ind w:firstLine="749"/>
        <w:spacing w:after="0" w:line="245" w:lineRule="auto"/>
        <w:rPr>
          <w:sz w:val="20"/>
          <w:szCs w:val="20"/>
          <w:color w:val="auto"/>
        </w:rPr>
      </w:pPr>
      <w:r>
        <w:rPr>
          <w:rFonts w:ascii="Arial" w:cs="Arial" w:eastAsia="Arial" w:hAnsi="Arial"/>
          <w:sz w:val="21"/>
          <w:szCs w:val="21"/>
          <w:color w:val="auto"/>
        </w:rPr>
        <w:t>On March 12, 2020, the FASB issued ASU 2020-03, Reference Rate Reform (Topic 848): Facilitation of the Effects of Reference Rate Reform on Financial Reporting, which provides temporary optional guidance to ease the potential burden in accounting for reference rate reform. The new guidance provides optional expedients and exceptions for applying generally accepted accounting principles to contract modifications and hedging relationships, subject to meeting certain criteria, that reference LIBOR or another reference rate expected to be discontinued. The ASU is intended to help stakeholders during the global market-wide reference rate transition period. Therefore, it will be in effect for a limited time through December 31, 2022. As of March 31, 2021, the reference rates for the Company’s existing debt and interest rate swaps have not changed as a result of any such amendment. The Company will continue to monitor changes to reference rates in applicable agreements and adopt the standard as needed.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Critical Accounting Policies.</w:t>
      </w:r>
    </w:p>
    <w:p>
      <w:pPr>
        <w:spacing w:after="0" w:line="16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b w:val="1"/>
          <w:bCs w:val="1"/>
          <w:i w:val="1"/>
          <w:iCs w:val="1"/>
          <w:color w:val="auto"/>
        </w:rPr>
        <w:t xml:space="preserve">Basis of Consolidation. </w:t>
      </w:r>
      <w:r>
        <w:rPr>
          <w:rFonts w:ascii="Arial" w:cs="Arial" w:eastAsia="Arial" w:hAnsi="Arial"/>
          <w:sz w:val="21"/>
          <w:szCs w:val="21"/>
          <w:color w:val="auto"/>
        </w:rPr>
        <w:t>The consolidated financial statements include the accounts of SEACOR Marine and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controlled subsidiaries. Control is generally deemed to exist if the Company has greater than 50% of the voting rights of a subsidiary. All significant intercompany accounts and transactions are eliminated in the combination and consolidation.</w:t>
      </w:r>
    </w:p>
    <w:p>
      <w:pPr>
        <w:spacing w:after="0" w:line="12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noncontrolling equity investment in the former controlled subsidiary is measured at fair value and a gain or loss is recognized in net income (loss) based on such fair value. If a subsidiary is consolidated upon the acquisition of controlling interests by the Company, any previous noncontrolled equity investment in the subsidiary is measured at fair value and a gain or loss is recognized in net income (loss) based on such fair value.</w:t>
      </w:r>
    </w:p>
    <w:p>
      <w:pPr>
        <w:spacing w:after="0" w:line="15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net income (loss) as equity in earnings (losses) of 50% or less owned companies, net of tax.</w:t>
      </w:r>
    </w:p>
    <w:p>
      <w:pPr>
        <w:spacing w:after="0" w:line="120"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Certain reclassifications were made to previously reported amounts in the consolidated financial statements and notes thereto to make them consistent with the current period presentation.</w:t>
      </w:r>
    </w:p>
    <w:p>
      <w:pPr>
        <w:spacing w:after="0" w:line="13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b w:val="1"/>
          <w:bCs w:val="1"/>
          <w:i w:val="1"/>
          <w:iCs w:val="1"/>
          <w:color w:val="auto"/>
        </w:rPr>
        <w:t xml:space="preserve">Use of Estimates. </w:t>
      </w:r>
      <w:r>
        <w:rPr>
          <w:rFonts w:ascii="Arial" w:cs="Arial" w:eastAsia="Arial" w:hAnsi="Arial"/>
          <w:sz w:val="19"/>
          <w:szCs w:val="19"/>
          <w:color w:val="auto"/>
        </w:rPr>
        <w:t>The preparation of financial statements in conformity with accounting principles generally accepted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credit loss accounts, useful lives of property and equipment, impairments, income tax provisions and certain accrued liabilities. Actual results could differ from estimates and those differences may be material.</w:t>
      </w:r>
    </w:p>
    <w:p>
      <w:pPr>
        <w:spacing w:after="0" w:line="12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b w:val="1"/>
          <w:bCs w:val="1"/>
          <w:i w:val="1"/>
          <w:iCs w:val="1"/>
          <w:color w:val="auto"/>
        </w:rPr>
        <w:t>Revenue Recognition</w:t>
      </w:r>
      <w:r>
        <w:rPr>
          <w:rFonts w:ascii="Arial" w:cs="Arial" w:eastAsia="Arial" w:hAnsi="Arial"/>
          <w:sz w:val="19"/>
          <w:szCs w:val="19"/>
          <w:color w:val="auto"/>
        </w:rPr>
        <w:t>. Revenue is recognized when (or as) the Company transfers promised goods or services to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customers in amounts that reflect the consideration to which the Company expects to be entitled to in exchange for those goods or services, which occurs when (or as) the Company satisfies its contractual obligations and transfers over control of the promised goods or services to its customers. The Company recognizes revenue net of sales taxes based on its estimates of the consideration the Company expects to receive. Costs to obtain or fulfill a contract are expensed as incurred.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9" w:name="page10"/>
    <w:bookmarkEnd w:id="9"/>
    <w:p>
      <w:pPr>
        <w:jc w:val="both"/>
        <w:ind w:firstLine="749"/>
        <w:spacing w:after="0" w:line="279" w:lineRule="auto"/>
        <w:rPr>
          <w:sz w:val="20"/>
          <w:szCs w:val="20"/>
          <w:color w:val="auto"/>
        </w:rPr>
      </w:pPr>
      <w:r>
        <w:rPr>
          <w:rFonts w:ascii="Arial" w:cs="Arial" w:eastAsia="Arial" w:hAnsi="Arial"/>
          <w:sz w:val="19"/>
          <w:szCs w:val="19"/>
          <w:color w:val="auto"/>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U.S. Gulf of Mexico, time charter durations and rates are typically established in the context of master service agreements that govern the terms and conditions of the charter.</w:t>
      </w:r>
    </w:p>
    <w:p>
      <w:pPr>
        <w:spacing w:after="0" w:line="12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Contract or charter durations may range from several days to several years. Charters vary in length from short-term to multi-year periods, many with cancellation clauses and without early termination penalties. As a result of options and frequent renewals, the stated duration of charters may have little correlation with the length of time the vessel is contracted to provide services to a particular customer.</w:t>
      </w:r>
    </w:p>
    <w:p>
      <w:pPr>
        <w:spacing w:after="0" w:line="14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The Company also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thereunder. The Company also contracts with various customers to carry out management services regarding engineering for vessel construction and vessel conversions. The vast majority of the ship management agreements span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w:t>
      </w:r>
    </w:p>
    <w:p>
      <w:pPr>
        <w:spacing w:after="0" w:line="120"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Revenue that does not meet these criteria is deferred until the criteria is met and is considered a contract liability and is recognized as such. Contract liabilities, which are included in other current liabilities in the accompanying consolidated balance sheets, for the three months ended March 31, 2021 and three months ended March 31, 2020 were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60" w:type="dxa"/>
            <w:vAlign w:val="bottom"/>
            <w:tcBorders>
              <w:bottom w:val="single" w:sz="8" w:color="CFF0FC"/>
            </w:tcBorders>
          </w:tcPr>
          <w:p>
            <w:pPr>
              <w:spacing w:after="0"/>
              <w:rPr>
                <w:sz w:val="18"/>
                <w:szCs w:val="18"/>
                <w:color w:val="auto"/>
              </w:rPr>
            </w:pPr>
          </w:p>
        </w:tc>
        <w:tc>
          <w:tcPr>
            <w:tcW w:w="246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3500" w:type="dxa"/>
            <w:vAlign w:val="bottom"/>
            <w:gridSpan w:val="2"/>
            <w:shd w:val="clear" w:color="auto" w:fill="CFF0FC"/>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260"/>
              <w:spacing w:after="0"/>
              <w:rPr>
                <w:sz w:val="20"/>
                <w:szCs w:val="20"/>
                <w:color w:val="auto"/>
              </w:rPr>
            </w:pPr>
            <w:r>
              <w:rPr>
                <w:rFonts w:ascii="Arial" w:cs="Arial" w:eastAsia="Arial" w:hAnsi="Arial"/>
                <w:sz w:val="16"/>
                <w:szCs w:val="16"/>
                <w:color w:val="auto"/>
              </w:rPr>
              <w:t>Revenues deferred during the period</w:t>
            </w: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Revenues recognized during the period</w:t>
            </w:r>
          </w:p>
        </w:tc>
        <w:tc>
          <w:tcPr>
            <w:tcW w:w="2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(730)</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6"/>
                <w:szCs w:val="16"/>
                <w:color w:val="auto"/>
              </w:rPr>
              <w:t>Balance at end of period</w:t>
            </w:r>
          </w:p>
        </w:tc>
        <w:tc>
          <w:tcPr>
            <w:tcW w:w="2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60" w:type="dxa"/>
            <w:vAlign w:val="bottom"/>
            <w:vMerge w:val="continue"/>
          </w:tcPr>
          <w:p>
            <w:pPr>
              <w:spacing w:after="0"/>
              <w:rPr>
                <w:sz w:val="17"/>
                <w:szCs w:val="17"/>
                <w:color w:val="auto"/>
              </w:rPr>
            </w:pPr>
          </w:p>
        </w:tc>
        <w:tc>
          <w:tcPr>
            <w:tcW w:w="3500" w:type="dxa"/>
            <w:vAlign w:val="bottom"/>
            <w:gridSpan w:val="2"/>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2,627</w:t>
            </w:r>
          </w:p>
        </w:tc>
        <w:tc>
          <w:tcPr>
            <w:tcW w:w="30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As of March 31, 2021, the Company had deferred revenues of $2.6 million primarily related to $1.5 million of prepaid vessel management fees, $0.7 million related to the time charter of offshore support vessels to customers from which collections were not reasonably assured and $0.4 million of prepaid charter modification and reservation fees.</w:t>
      </w:r>
    </w:p>
    <w:p>
      <w:pPr>
        <w:spacing w:after="0" w:line="14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i w:val="1"/>
          <w:iCs w:val="1"/>
          <w:color w:val="auto"/>
        </w:rPr>
        <w:t xml:space="preserve">Cash and Cash Equivalents. </w:t>
      </w:r>
      <w:r>
        <w:rPr>
          <w:rFonts w:ascii="Arial" w:cs="Arial" w:eastAsia="Arial" w:hAnsi="Arial"/>
          <w:sz w:val="22"/>
          <w:szCs w:val="22"/>
          <w:color w:val="auto"/>
        </w:rPr>
        <w:t>The Company considers all highly liquid investments, with an original maturity of three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months or less from the date purchased, to be cash equivalents. Cash from current construction reserve funds (“CRF”) is also classified as cash and cash equivalents. </w:t>
      </w:r>
      <w:r>
        <w:rPr>
          <w:rFonts w:ascii="Arial" w:cs="Arial" w:eastAsia="Arial" w:hAnsi="Arial"/>
          <w:sz w:val="22"/>
          <w:szCs w:val="22"/>
          <w:b w:val="1"/>
          <w:bCs w:val="1"/>
          <w:i w:val="1"/>
          <w:iCs w:val="1"/>
          <w:color w:val="auto"/>
        </w:rPr>
        <w:t>The balance in the current CRF at March 31, 2021 and December 31, 2020 was $4.2</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million and $4.3 million, respectively.</w:t>
      </w:r>
    </w:p>
    <w:p>
      <w:pPr>
        <w:spacing w:after="0" w:line="14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i w:val="1"/>
          <w:iCs w:val="1"/>
          <w:color w:val="auto"/>
        </w:rPr>
        <w:t xml:space="preserve">Trade and Other Receivables. </w:t>
      </w:r>
      <w:r>
        <w:rPr>
          <w:rFonts w:ascii="Arial" w:cs="Arial" w:eastAsia="Arial" w:hAnsi="Arial"/>
          <w:sz w:val="19"/>
          <w:szCs w:val="19"/>
          <w:color w:val="auto"/>
        </w:rPr>
        <w:t>Customers are primarily major integrated national and international oil companies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large independent oil and natural gas exploration and production companies. Customers are granted credit on a short-term basis and the related credit risks are minimal. Other receivables consist primarily of operating expenses the Company incurs in relation to vessels it manages for other entities, as well as insurance and income tax receivables. The Company routinely reviews its receivables and makes provisions for the credit losses utilizing the Current Expected Credit Losses model (CECL). The CECL model utilizes a lifetime expected credit loss measurement objective for the recognition of credit losses for loans and other receivables at the time the financial asset is originated or acquired. However, those provisions are estimates and actual results may materially differ from those estimates. Trade receivables are deemed uncollectible and are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0" w:name="page11"/>
    <w:bookmarkEnd w:id="10"/>
    <w:p>
      <w:pPr>
        <w:spacing w:after="0"/>
        <w:rPr>
          <w:sz w:val="20"/>
          <w:szCs w:val="20"/>
          <w:color w:val="auto"/>
        </w:rPr>
      </w:pPr>
      <w:r>
        <w:rPr>
          <w:rFonts w:ascii="Arial" w:cs="Arial" w:eastAsia="Arial" w:hAnsi="Arial"/>
          <w:sz w:val="21"/>
          <w:szCs w:val="21"/>
          <w:color w:val="auto"/>
        </w:rPr>
        <w:t>removed from accounts receivable and the allowance for credit losses when collection effects have been exhausted.</w:t>
      </w:r>
    </w:p>
    <w:p>
      <w:pPr>
        <w:spacing w:after="0" w:line="19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b w:val="1"/>
          <w:bCs w:val="1"/>
          <w:i w:val="1"/>
          <w:iCs w:val="1"/>
          <w:color w:val="auto"/>
        </w:rPr>
        <w:t xml:space="preserve">Property and Equipment. </w:t>
      </w:r>
      <w:r>
        <w:rPr>
          <w:rFonts w:ascii="Arial" w:cs="Arial" w:eastAsia="Arial" w:hAnsi="Arial"/>
          <w:sz w:val="19"/>
          <w:szCs w:val="19"/>
          <w:color w:val="auto"/>
        </w:rPr>
        <w:t>Equipment, stated at cost, is depreciated using the straight-line method over the estimated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useful life of the 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assets that have already exceeded the Company’s useful life policy, in which case the Company depreciates such assets based on its best estimate of remaining useful life, typically the next survey or certification date.</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As of March 31, 2021, the estimated useful life (in years) of the Company’s new Offshore Support Vessels was 20 years.</w:t>
      </w:r>
    </w:p>
    <w:p>
      <w:pPr>
        <w:spacing w:after="0" w:line="26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Certain interest costs incurred during the construction of equipment are capitalized as part of the assets’ carrying values and are amortized over such assets estimated useful lives. During the three months ended March 31, 2021 and 2020 capitalized interest totaled $0.2 million and $0.2 million, respectively.</w:t>
      </w:r>
    </w:p>
    <w:p>
      <w:pPr>
        <w:spacing w:after="0" w:line="18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i w:val="1"/>
          <w:iCs w:val="1"/>
          <w:color w:val="auto"/>
        </w:rPr>
        <w:t xml:space="preserve">Impairment of Long-Lived Assets. </w:t>
      </w:r>
      <w:r>
        <w:rPr>
          <w:rFonts w:ascii="Arial" w:cs="Arial" w:eastAsia="Arial" w:hAnsi="Arial"/>
          <w:sz w:val="19"/>
          <w:szCs w:val="19"/>
          <w:color w:val="auto"/>
        </w:rPr>
        <w:t>The Company performs an impairment analysis of long-lived assets used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operations, including intangible 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spacing w:after="0" w:line="11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Market conditions caused by COVID-19, including decreased global demand for oil and gas as well as the affect the pandemic has had on SEACOR Marine’s stock price, caused a triggering event for the three months ended March 31, 2021 to occur requiring the Company to test its assets for impairment. For the three months ended March 31, 2021 the Company did not record an impairment on any owned or leased in vessels. For the three months ended March 31, 2020 the Company recorded impairment charges of $1.8 million related to one owned liftboat and $7.4 million related to two leased-in liftboats. Estimated fair values for the Company’s owned vessels were established by independent appraisers based on researched market information, replacement cost information, and other data.</w:t>
      </w:r>
    </w:p>
    <w:p>
      <w:pPr>
        <w:spacing w:after="0" w:line="15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For vessel classes and individual vessels with indicators of impairment as of March 31, 2021, the Company has estimated that their future undiscounted cash flows exceed their current carrying values. The Company’s estimates of future undiscounted cash flows are highly subjective as utilization and rates per day worked are uncertain, especially in light of the affect COVID-19 has had on the timing of an estimated market recovery in the offshore oil and natural gas markets and the timing and cost of reactivating cold-stacked vessels. If market conditions decline further, changes in the Company’s expectations on future cash flows may result in recognizing additional impairment charges related to its long-lived assets in future periods. For any vessel or vessel class that have indicators of impairment and are deemed not recoverable through future operations, we determine the fair value of the vessel or vessel class. If the fair value determination is less than the carrying value of the vessel or vessel class, an impairment is recognized to reduce the carrying value to fair value. Fair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1" w:name="page12"/>
    <w:bookmarkEnd w:id="11"/>
    <w:p>
      <w:pPr>
        <w:jc w:val="both"/>
        <w:spacing w:after="0" w:line="250" w:lineRule="auto"/>
        <w:rPr>
          <w:sz w:val="20"/>
          <w:szCs w:val="20"/>
          <w:color w:val="auto"/>
        </w:rPr>
      </w:pPr>
      <w:r>
        <w:rPr>
          <w:rFonts w:ascii="Arial" w:cs="Arial" w:eastAsia="Arial" w:hAnsi="Arial"/>
          <w:sz w:val="22"/>
          <w:szCs w:val="22"/>
          <w:color w:val="auto"/>
        </w:rPr>
        <w:t>value determination is primarily accomplished by obtaining independent valuations of vessel or vessel classes from qualified third-party appraisers.</w:t>
      </w:r>
    </w:p>
    <w:p>
      <w:pPr>
        <w:spacing w:after="0" w:line="14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i w:val="1"/>
          <w:iCs w:val="1"/>
          <w:color w:val="auto"/>
        </w:rPr>
        <w:t xml:space="preserve">Impairment of </w:t>
      </w:r>
      <w:r>
        <w:rPr>
          <w:rFonts w:ascii="Arial" w:cs="Arial" w:eastAsia="Arial" w:hAnsi="Arial"/>
          <w:sz w:val="19"/>
          <w:szCs w:val="19"/>
          <w:b w:val="1"/>
          <w:bCs w:val="1"/>
          <w:color w:val="auto"/>
        </w:rPr>
        <w:t>50%</w:t>
      </w:r>
      <w:r>
        <w:rPr>
          <w:rFonts w:ascii="Arial" w:cs="Arial" w:eastAsia="Arial" w:hAnsi="Arial"/>
          <w:sz w:val="19"/>
          <w:szCs w:val="19"/>
          <w:b w:val="1"/>
          <w:bCs w:val="1"/>
          <w:i w:val="1"/>
          <w:iCs w:val="1"/>
          <w:color w:val="auto"/>
        </w:rPr>
        <w:t xml:space="preserve"> or Less Owned Companies. </w:t>
      </w:r>
      <w:r>
        <w:rPr>
          <w:rFonts w:ascii="Arial" w:cs="Arial" w:eastAsia="Arial" w:hAnsi="Arial"/>
          <w:sz w:val="19"/>
          <w:szCs w:val="19"/>
          <w:color w:val="auto"/>
        </w:rPr>
        <w:t>Investments in 50% or less owned companies are reviewed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periodically to assess 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three months ended March 31, 2021 and 2020, the Company did not recognize any impairment charges related to its 50% or less owned companies.</w:t>
      </w:r>
    </w:p>
    <w:p>
      <w:pPr>
        <w:spacing w:after="0" w:line="360"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b w:val="1"/>
          <w:bCs w:val="1"/>
          <w:i w:val="1"/>
          <w:iCs w:val="1"/>
          <w:color w:val="auto"/>
        </w:rPr>
        <w:t xml:space="preserve">Income Taxes. </w:t>
      </w:r>
      <w:r>
        <w:rPr>
          <w:rFonts w:ascii="Arial" w:cs="Arial" w:eastAsia="Arial" w:hAnsi="Arial"/>
          <w:sz w:val="19"/>
          <w:szCs w:val="19"/>
          <w:color w:val="auto"/>
        </w:rPr>
        <w:t>During the three months ended March 31, 2021, the Company’s effective income tax rate of 345.2%</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was primarily due to foreign sourced income not subject to U.S. income taxes, and foreign taxes not creditable against U.S. income taxes. For the three months ended March 31, 2020, the Company’s effective income tax rate of 27.1% was primarily due to taxes provided on income attributable to noncontrolling interest, foreign sourced income not subject to U.S. income taxes, foreign taxes not creditable against U.S. income taxes, and the annual return-to-accrual adjustment for the prior year.</w:t>
      </w:r>
    </w:p>
    <w:p>
      <w:pPr>
        <w:spacing w:after="0" w:line="107"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b w:val="1"/>
          <w:bCs w:val="1"/>
          <w:i w:val="1"/>
          <w:iCs w:val="1"/>
          <w:color w:val="auto"/>
        </w:rPr>
        <w:t xml:space="preserve">Accumulated Other Comprehensive Income (Loss). </w:t>
      </w:r>
      <w:r>
        <w:rPr>
          <w:rFonts w:ascii="Arial" w:cs="Arial" w:eastAsia="Arial" w:hAnsi="Arial"/>
          <w:sz w:val="22"/>
          <w:szCs w:val="22"/>
          <w:color w:val="auto"/>
        </w:rPr>
        <w:t>The components of accumulated other comprehensive loss were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5"/>
              </w:rPr>
              <w:t>SEACOR Marine Holdings Inc.</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1"/>
              </w:rPr>
              <w:t>Stockholders’ Equity</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Foreign</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Derivative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w w:val="96"/>
              </w:rPr>
              <w:t>Currency</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3"/>
              </w:rPr>
              <w:t>Losses 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Total Other</w:t>
            </w:r>
          </w:p>
        </w:tc>
      </w:tr>
      <w:tr>
        <w:trPr>
          <w:trHeight w:val="203"/>
        </w:trPr>
        <w:tc>
          <w:tcPr>
            <w:tcW w:w="3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Translation</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Cash Flow</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Comprehensive</w:t>
            </w:r>
          </w:p>
        </w:tc>
      </w:tr>
      <w:tr>
        <w:trPr>
          <w:trHeight w:val="213"/>
        </w:trPr>
        <w:tc>
          <w:tcPr>
            <w:tcW w:w="3760" w:type="dxa"/>
            <w:vAlign w:val="bottom"/>
            <w:tcBorders>
              <w:bottom w:val="single" w:sz="8" w:color="CFF0FC"/>
            </w:tcBorders>
          </w:tcPr>
          <w:p>
            <w:pPr>
              <w:spacing w:after="0"/>
              <w:rPr>
                <w:sz w:val="18"/>
                <w:szCs w:val="18"/>
                <w:color w:val="auto"/>
              </w:rPr>
            </w:pPr>
          </w:p>
        </w:tc>
        <w:tc>
          <w:tcPr>
            <w:tcW w:w="18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0"/>
              </w:rPr>
              <w:t>Adjustments</w:t>
            </w:r>
          </w:p>
        </w:tc>
        <w:tc>
          <w:tcPr>
            <w:tcW w:w="3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8"/>
              </w:rPr>
              <w:t>Hedges, net</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5"/>
              </w:rPr>
              <w:t>Loss</w:t>
            </w:r>
          </w:p>
        </w:tc>
        <w:tc>
          <w:tcPr>
            <w:tcW w:w="100" w:type="dxa"/>
            <w:vAlign w:val="bottom"/>
            <w:tcBorders>
              <w:bottom w:val="single" w:sz="8" w:color="CFF0FC"/>
            </w:tcBorders>
          </w:tcPr>
          <w:p>
            <w:pPr>
              <w:spacing w:after="0"/>
              <w:rPr>
                <w:sz w:val="18"/>
                <w:szCs w:val="18"/>
                <w:color w:val="auto"/>
              </w:rPr>
            </w:pPr>
          </w:p>
        </w:tc>
      </w:tr>
      <w:tr>
        <w:trPr>
          <w:trHeight w:val="213"/>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December 31, 2020</w:t>
            </w:r>
          </w:p>
        </w:tc>
        <w:tc>
          <w:tcPr>
            <w:tcW w:w="2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6,797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(4,007)</w:t>
            </w: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2,790</w:t>
            </w:r>
          </w:p>
        </w:tc>
        <w:tc>
          <w:tcPr>
            <w:tcW w:w="100" w:type="dxa"/>
            <w:vAlign w:val="bottom"/>
            <w:shd w:val="clear" w:color="auto" w:fill="CFF0FC"/>
          </w:tcPr>
          <w:p>
            <w:pPr>
              <w:spacing w:after="0"/>
              <w:rPr>
                <w:sz w:val="18"/>
                <w:szCs w:val="18"/>
                <w:color w:val="auto"/>
              </w:rPr>
            </w:pPr>
          </w:p>
        </w:tc>
      </w:tr>
      <w:tr>
        <w:trPr>
          <w:trHeight w:val="213"/>
        </w:trPr>
        <w:tc>
          <w:tcPr>
            <w:tcW w:w="37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comprehensive loss</w:t>
            </w:r>
          </w:p>
        </w:tc>
        <w:tc>
          <w:tcPr>
            <w:tcW w:w="18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4,392</w:t>
            </w:r>
          </w:p>
        </w:tc>
        <w:tc>
          <w:tcPr>
            <w:tcW w:w="3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4,656</w:t>
            </w:r>
          </w:p>
        </w:tc>
        <w:tc>
          <w:tcPr>
            <w:tcW w:w="100" w:type="dxa"/>
            <w:vAlign w:val="bottom"/>
            <w:tcBorders>
              <w:bottom w:val="single" w:sz="8" w:color="CFF0FC"/>
            </w:tcBorders>
          </w:tcPr>
          <w:p>
            <w:pPr>
              <w:spacing w:after="0"/>
              <w:rPr>
                <w:sz w:val="18"/>
                <w:szCs w:val="18"/>
                <w:color w:val="auto"/>
              </w:rPr>
            </w:pPr>
          </w:p>
        </w:tc>
      </w:tr>
      <w:tr>
        <w:trPr>
          <w:trHeight w:val="210"/>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Balance as of March 31, 2021</w:t>
            </w:r>
          </w:p>
        </w:tc>
        <w:tc>
          <w:tcPr>
            <w:tcW w:w="2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(3,743)</w:t>
            </w: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7,446</w:t>
            </w:r>
          </w:p>
        </w:tc>
        <w:tc>
          <w:tcPr>
            <w:tcW w:w="100" w:type="dxa"/>
            <w:vAlign w:val="bottom"/>
            <w:shd w:val="clear" w:color="auto" w:fill="CFF0FC"/>
          </w:tcPr>
          <w:p>
            <w:pPr>
              <w:spacing w:after="0"/>
              <w:rPr>
                <w:sz w:val="18"/>
                <w:szCs w:val="18"/>
                <w:color w:val="auto"/>
              </w:rPr>
            </w:pPr>
          </w:p>
        </w:tc>
      </w:tr>
      <w:tr>
        <w:trPr>
          <w:trHeight w:val="20"/>
        </w:trPr>
        <w:tc>
          <w:tcPr>
            <w:tcW w:w="376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i w:val="1"/>
          <w:iCs w:val="1"/>
          <w:color w:val="auto"/>
        </w:rPr>
        <w:t xml:space="preserve">Loss Per Share. </w:t>
      </w:r>
      <w:r>
        <w:rPr>
          <w:rFonts w:ascii="Arial" w:cs="Arial" w:eastAsia="Arial" w:hAnsi="Arial"/>
          <w:sz w:val="19"/>
          <w:szCs w:val="19"/>
          <w:color w:val="auto"/>
        </w:rPr>
        <w:t>Basic loss per share of Common Stock of the Company is computed based on the weighted average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number of common shares and warrants to purchase common shares at an exercise price of $0.01 per share (“Warrants”) issued and outstanding during the relevant periods. The Warrants are included in the basic loss per share of Common Stock because the shares issuable upon exercise of the Warrants are issuable for de minimis cash consideration and therefore not anti-dilutive. Diluted loss per share of Common Stock is computed based on the weighted average number of common shares and Warrants issued and outstanding plus the effect of other potentially dilutive securities through the application of the treasury stock method and the if-converted method that assumes all shares of Common Stock have been issued and outstanding during the relevant periods pursuant to the conversion of the Convertible Senior Notes (as defined in “Note 4. Long-Term Debt”) unless anti-dilutive. For both the three months ended March 31, 2021 and 2020, diluted earnings per share of Common Stock excluded 2,183,708 shares of Common Stock, respectively, issuable pursuant to the Company’s Convertible Senior Notes as the effect of their inclusion in the computation would be anti-dilutive. In addition, for the three months ended March 31, 2021 and 2020, diluted loss per share of Common Stock excluded 1,059,077 and 461,363 shares of restricted stock, respectively, and 1,120,541 and 921,069 shares of stock, respectively, issuable upon exercise of outstanding stock options as the effect of their inclusion in the computation would be anti-dilutive.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2" w:name="page13"/>
    <w:bookmarkEnd w:id="12"/>
    <w:p>
      <w:pPr>
        <w:ind w:left="820" w:hanging="812"/>
        <w:spacing w:after="0"/>
        <w:tabs>
          <w:tab w:leader="none" w:pos="820" w:val="left"/>
        </w:tabs>
        <w:numPr>
          <w:ilvl w:val="0"/>
          <w:numId w:val="5"/>
        </w:numPr>
        <w:rPr>
          <w:rFonts w:ascii="Arial" w:cs="Arial" w:eastAsia="Arial" w:hAnsi="Arial"/>
          <w:sz w:val="22"/>
          <w:szCs w:val="22"/>
          <w:b w:val="1"/>
          <w:bCs w:val="1"/>
          <w:color w:val="222222"/>
        </w:rPr>
      </w:pPr>
      <w:r>
        <w:rPr>
          <w:rFonts w:ascii="Arial" w:cs="Arial" w:eastAsia="Arial" w:hAnsi="Arial"/>
          <w:sz w:val="22"/>
          <w:szCs w:val="22"/>
          <w:b w:val="1"/>
          <w:bCs w:val="1"/>
          <w:color w:val="222222"/>
        </w:rPr>
        <w:t>EQUIPMENT ACQUISITIONS AND DISPOSITIONS</w:t>
      </w:r>
    </w:p>
    <w:p>
      <w:pPr>
        <w:spacing w:after="0" w:line="239"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222222"/>
        </w:rPr>
        <w:t xml:space="preserve">During the three months ended March 31, 2021, capital expenditures were $2.7 million, primarily due to construction in process vessels. There were no equipment deliveries during the three months ended March 31, 2021. During the three months ended March 31, 2021, the Company sold </w:t>
      </w:r>
      <w:r>
        <w:rPr>
          <w:rFonts w:ascii="Arial" w:cs="Arial" w:eastAsia="Arial" w:hAnsi="Arial"/>
          <w:sz w:val="19"/>
          <w:szCs w:val="19"/>
          <w:color w:val="000000"/>
        </w:rPr>
        <w:t>one</w:t>
      </w:r>
      <w:r>
        <w:rPr>
          <w:rFonts w:ascii="Arial" w:cs="Arial" w:eastAsia="Arial" w:hAnsi="Arial"/>
          <w:sz w:val="19"/>
          <w:szCs w:val="19"/>
          <w:color w:val="222222"/>
        </w:rPr>
        <w:t xml:space="preserve"> PSV and </w:t>
      </w:r>
      <w:r>
        <w:rPr>
          <w:rFonts w:ascii="Arial" w:cs="Arial" w:eastAsia="Arial" w:hAnsi="Arial"/>
          <w:sz w:val="19"/>
          <w:szCs w:val="19"/>
          <w:color w:val="000000"/>
        </w:rPr>
        <w:t>two</w:t>
      </w:r>
      <w:r>
        <w:rPr>
          <w:rFonts w:ascii="Arial" w:cs="Arial" w:eastAsia="Arial" w:hAnsi="Arial"/>
          <w:sz w:val="19"/>
          <w:szCs w:val="19"/>
          <w:color w:val="222222"/>
        </w:rPr>
        <w:t xml:space="preserve"> FSVs for proceeds of $1.6 million and losses of $2.4 million. In addition, the Company received $1.7 million in deposits for future vessel sales. During the three months ended March 31, 2020, the Company sold two anchor handling towing supply (“AHTS”) vessels and one specialty vessel previously removed from service, two FSVs and other equipment for $3.1 million ($2.2 million cash and $0.9 million in previously received deposits) and gains of $1.1 million. In addition, the Company received $2.1 million in deposits for future sales.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9"/>
          <w:szCs w:val="19"/>
          <w:color w:val="222222"/>
        </w:rPr>
        <w:t>As of January 12, 2021, the Company recognized a gain on the sale of Windcat Workboats Holdings Ltd. (“Windcat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222222"/>
        </w:rPr>
        <w:t>Workboats”) of approximately $22.8 million, calculated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January 12, 2021</w:t>
            </w:r>
          </w:p>
        </w:tc>
        <w:tc>
          <w:tcPr>
            <w:tcW w:w="100" w:type="dxa"/>
            <w:vAlign w:val="bottom"/>
          </w:tcPr>
          <w:p>
            <w:pPr>
              <w:spacing w:after="0"/>
              <w:rPr>
                <w:sz w:val="18"/>
                <w:szCs w:val="18"/>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Total Proceeds Received</w:t>
            </w:r>
          </w:p>
        </w:tc>
        <w:tc>
          <w:tcPr>
            <w:tcW w:w="2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43,797</w:t>
            </w:r>
          </w:p>
        </w:tc>
        <w:tc>
          <w:tcPr>
            <w:tcW w:w="100" w:type="dxa"/>
            <w:vAlign w:val="bottom"/>
          </w:tcPr>
          <w:p>
            <w:pPr>
              <w:spacing w:after="0"/>
              <w:rPr>
                <w:sz w:val="18"/>
                <w:szCs w:val="18"/>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Transactions Fees and other Costs</w:t>
            </w:r>
          </w:p>
        </w:tc>
        <w:tc>
          <w:tcPr>
            <w:tcW w:w="2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1,562</w:t>
            </w:r>
          </w:p>
        </w:tc>
        <w:tc>
          <w:tcPr>
            <w:tcW w:w="100" w:type="dxa"/>
            <w:vAlign w:val="bottom"/>
            <w:shd w:val="clear" w:color="auto" w:fill="CFF0FC"/>
          </w:tcPr>
          <w:p>
            <w:pPr>
              <w:spacing w:after="0"/>
              <w:rPr>
                <w:sz w:val="19"/>
                <w:szCs w:val="19"/>
                <w:color w:val="auto"/>
              </w:rPr>
            </w:pPr>
          </w:p>
        </w:tc>
      </w:tr>
      <w:tr>
        <w:trPr>
          <w:trHeight w:val="213"/>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Cash Sold</w:t>
            </w:r>
          </w:p>
        </w:tc>
        <w:tc>
          <w:tcPr>
            <w:tcW w:w="27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w:t>
            </w:r>
          </w:p>
        </w:tc>
        <w:tc>
          <w:tcPr>
            <w:tcW w:w="100" w:type="dxa"/>
            <w:vAlign w:val="bottom"/>
            <w:tcBorders>
              <w:bottom w:val="single" w:sz="8" w:color="CFF0FC"/>
            </w:tcBorders>
          </w:tcPr>
          <w:p>
            <w:pPr>
              <w:spacing w:after="0"/>
              <w:rPr>
                <w:sz w:val="18"/>
                <w:szCs w:val="18"/>
                <w:color w:val="auto"/>
              </w:rPr>
            </w:pPr>
          </w:p>
        </w:tc>
      </w:tr>
      <w:tr>
        <w:trPr>
          <w:trHeight w:val="212"/>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Net Proceeds</w:t>
            </w:r>
          </w:p>
        </w:tc>
        <w:tc>
          <w:tcPr>
            <w:tcW w:w="27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38,715</w:t>
            </w:r>
          </w:p>
        </w:tc>
        <w:tc>
          <w:tcPr>
            <w:tcW w:w="100" w:type="dxa"/>
            <w:vAlign w:val="bottom"/>
            <w:shd w:val="clear" w:color="auto" w:fill="CFF0FC"/>
          </w:tcPr>
          <w:p>
            <w:pPr>
              <w:spacing w:after="0"/>
              <w:rPr>
                <w:sz w:val="18"/>
                <w:szCs w:val="18"/>
                <w:color w:val="auto"/>
              </w:rPr>
            </w:pPr>
          </w:p>
        </w:tc>
      </w:tr>
      <w:tr>
        <w:trPr>
          <w:trHeight w:val="207"/>
        </w:trPr>
        <w:tc>
          <w:tcPr>
            <w:tcW w:w="6640" w:type="dxa"/>
            <w:vAlign w:val="bottom"/>
          </w:tcPr>
          <w:p>
            <w:pPr>
              <w:ind w:left="260"/>
              <w:spacing w:after="0"/>
              <w:rPr>
                <w:sz w:val="20"/>
                <w:szCs w:val="20"/>
                <w:color w:val="auto"/>
              </w:rPr>
            </w:pPr>
            <w:r>
              <w:rPr>
                <w:rFonts w:ascii="Arial" w:cs="Arial" w:eastAsia="Arial" w:hAnsi="Arial"/>
                <w:sz w:val="16"/>
                <w:szCs w:val="16"/>
                <w:color w:val="auto"/>
              </w:rPr>
              <w:t>Less: Net Equity in Windcat Workboats, net of cash sold</w:t>
            </w: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15,790</w:t>
            </w:r>
          </w:p>
        </w:tc>
        <w:tc>
          <w:tcPr>
            <w:tcW w:w="100" w:type="dxa"/>
            <w:vAlign w:val="bottom"/>
          </w:tcPr>
          <w:p>
            <w:pPr>
              <w:spacing w:after="0"/>
              <w:rPr>
                <w:sz w:val="17"/>
                <w:szCs w:val="17"/>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Less: January Income on Discontinued Operations</w:t>
            </w:r>
          </w:p>
        </w:tc>
        <w:tc>
          <w:tcPr>
            <w:tcW w:w="27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FF0FC"/>
          </w:tcPr>
          <w:p>
            <w:pPr>
              <w:spacing w:after="0"/>
              <w:rPr>
                <w:sz w:val="19"/>
                <w:szCs w:val="19"/>
                <w:color w:val="auto"/>
              </w:rPr>
            </w:pPr>
          </w:p>
        </w:tc>
      </w:tr>
      <w:tr>
        <w:trPr>
          <w:trHeight w:val="207"/>
        </w:trPr>
        <w:tc>
          <w:tcPr>
            <w:tcW w:w="6640" w:type="dxa"/>
            <w:vAlign w:val="bottom"/>
          </w:tcPr>
          <w:p>
            <w:pPr>
              <w:ind w:left="260"/>
              <w:spacing w:after="0"/>
              <w:rPr>
                <w:sz w:val="20"/>
                <w:szCs w:val="20"/>
                <w:color w:val="auto"/>
              </w:rPr>
            </w:pPr>
            <w:r>
              <w:rPr>
                <w:rFonts w:ascii="Arial" w:cs="Arial" w:eastAsia="Arial" w:hAnsi="Arial"/>
                <w:sz w:val="16"/>
                <w:szCs w:val="16"/>
                <w:b w:val="1"/>
                <w:bCs w:val="1"/>
                <w:color w:val="auto"/>
              </w:rPr>
              <w:t>Gain on Sale of Windcat Workboats</w:t>
            </w:r>
          </w:p>
        </w:tc>
        <w:tc>
          <w:tcPr>
            <w:tcW w:w="2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22,756</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760"/>
        <w:spacing w:after="0"/>
        <w:rPr>
          <w:sz w:val="20"/>
          <w:szCs w:val="20"/>
          <w:color w:val="auto"/>
        </w:rPr>
      </w:pPr>
      <w:r>
        <w:rPr>
          <w:rFonts w:ascii="Arial" w:cs="Arial" w:eastAsia="Arial" w:hAnsi="Arial"/>
          <w:sz w:val="22"/>
          <w:szCs w:val="22"/>
          <w:color w:val="222222"/>
        </w:rPr>
        <w:t>See “Note 12. Discontinued Operations” for additional information on the sale of Windcat Workboats.</w:t>
      </w:r>
    </w:p>
    <w:p>
      <w:pPr>
        <w:spacing w:after="0" w:line="200" w:lineRule="exact"/>
        <w:rPr>
          <w:sz w:val="20"/>
          <w:szCs w:val="20"/>
          <w:color w:val="auto"/>
        </w:rPr>
      </w:pPr>
    </w:p>
    <w:p>
      <w:pPr>
        <w:ind w:left="820" w:hanging="812"/>
        <w:spacing w:after="0"/>
        <w:tabs>
          <w:tab w:leader="none" w:pos="82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INVESTMENTS, AT EQUITY AND ADVANCES TO 50% OR LESS OWNED </w:t>
      </w:r>
      <w:r>
        <w:rPr>
          <w:rFonts w:ascii="Arial" w:cs="Arial" w:eastAsia="Arial" w:hAnsi="Arial"/>
          <w:sz w:val="22"/>
          <w:szCs w:val="22"/>
          <w:b w:val="1"/>
          <w:bCs w:val="1"/>
          <w:color w:val="222222"/>
        </w:rPr>
        <w:t>COMPANIES</w:t>
      </w:r>
    </w:p>
    <w:p>
      <w:pPr>
        <w:spacing w:after="0" w:line="145" w:lineRule="exact"/>
        <w:rPr>
          <w:sz w:val="20"/>
          <w:szCs w:val="20"/>
          <w:color w:val="auto"/>
        </w:rPr>
      </w:pPr>
    </w:p>
    <w:p>
      <w:pPr>
        <w:ind w:right="420" w:firstLine="749"/>
        <w:spacing w:after="0" w:line="250" w:lineRule="auto"/>
        <w:rPr>
          <w:sz w:val="20"/>
          <w:szCs w:val="20"/>
          <w:color w:val="auto"/>
        </w:rPr>
      </w:pPr>
      <w:r>
        <w:rPr>
          <w:rFonts w:ascii="Arial" w:cs="Arial" w:eastAsia="Arial" w:hAnsi="Arial"/>
          <w:sz w:val="22"/>
          <w:szCs w:val="22"/>
          <w:color w:val="auto"/>
        </w:rPr>
        <w:t>Investments, at equity, and advances to 50% or less owned companies as of March 31, 2021 and December 31, 2020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8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Ownership</w:t>
            </w: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MexMar</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53,778</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50,037</w:t>
            </w:r>
          </w:p>
        </w:tc>
        <w:tc>
          <w:tcPr>
            <w:tcW w:w="10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OSV Partners</w:t>
            </w:r>
            <w:r>
              <w:rPr>
                <w:rFonts w:ascii="Arial" w:cs="Arial" w:eastAsia="Arial" w:hAnsi="Arial"/>
                <w:sz w:val="15"/>
                <w:szCs w:val="15"/>
                <w:color w:val="auto"/>
              </w:rPr>
              <w:t>(1)</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30.4%</w:t>
            </w: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9,094</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SEACOR Marlin</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8,581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MEXMAR Offshore</w:t>
            </w:r>
            <w:r>
              <w:rPr>
                <w:rFonts w:ascii="Arial" w:cs="Arial" w:eastAsia="Arial" w:hAnsi="Arial"/>
                <w:sz w:val="15"/>
                <w:szCs w:val="15"/>
                <w:color w:val="auto"/>
              </w:rPr>
              <w:t>(2)</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49.0%</w:t>
            </w: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Offshore Vessel Holdings</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20.0% - 50.0%</w:t>
            </w:r>
          </w:p>
        </w:tc>
        <w:tc>
          <w:tcPr>
            <w:tcW w:w="4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3,702</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FF0FC"/>
          </w:tcPr>
          <w:p>
            <w:pPr>
              <w:spacing w:after="0"/>
              <w:rPr>
                <w:sz w:val="19"/>
                <w:szCs w:val="19"/>
                <w:color w:val="auto"/>
              </w:rPr>
            </w:pPr>
          </w:p>
        </w:tc>
      </w:tr>
      <w:tr>
        <w:trPr>
          <w:trHeight w:val="224"/>
        </w:trPr>
        <w:tc>
          <w:tcPr>
            <w:tcW w:w="49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79,000</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75,308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0</wp:posOffset>
            </wp:positionV>
            <wp:extent cx="25203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owns 66.7% of the General Partner and 29.7% of the limited partnership interest of OSV Partners.</w:t>
      </w:r>
    </w:p>
    <w:p>
      <w:pPr>
        <w:spacing w:after="0" w:line="13" w:lineRule="exact"/>
        <w:rPr>
          <w:rFonts w:ascii="Arial" w:cs="Arial" w:eastAsia="Arial" w:hAnsi="Arial"/>
          <w:sz w:val="14"/>
          <w:szCs w:val="14"/>
          <w:color w:val="auto"/>
        </w:rPr>
      </w:pPr>
    </w:p>
    <w:p>
      <w:pPr>
        <w:ind w:left="820" w:hanging="812"/>
        <w:spacing w:after="0"/>
        <w:tabs>
          <w:tab w:leader="none" w:pos="8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Joint Venture holds the investment in UP 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-208915</wp:posOffset>
            </wp:positionV>
            <wp:extent cx="25203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3" w:name="page14"/>
    <w:bookmarkEnd w:id="13"/>
    <w:p>
      <w:pPr>
        <w:ind w:left="760" w:hanging="752"/>
        <w:spacing w:after="0"/>
        <w:tabs>
          <w:tab w:leader="none" w:pos="7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LONG-TERM DEBT</w:t>
      </w:r>
    </w:p>
    <w:p>
      <w:pPr>
        <w:spacing w:after="0" w:line="17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Company’s long-term debt obligations as of March 31, 2021 and December 31, 2020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w w:val="98"/>
              </w:rPr>
              <w:t>March 31, 2021</w:t>
            </w:r>
          </w:p>
        </w:tc>
        <w:tc>
          <w:tcPr>
            <w:tcW w:w="1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215"/>
        </w:trPr>
        <w:tc>
          <w:tcPr>
            <w:tcW w:w="6040" w:type="dxa"/>
            <w:vAlign w:val="bottom"/>
          </w:tcPr>
          <w:p>
            <w:pPr>
              <w:spacing w:after="0" w:line="216" w:lineRule="exact"/>
              <w:rPr>
                <w:sz w:val="20"/>
                <w:szCs w:val="20"/>
                <w:color w:val="auto"/>
              </w:rPr>
            </w:pPr>
            <w:r>
              <w:rPr>
                <w:rFonts w:ascii="Arial" w:cs="Arial" w:eastAsia="Arial" w:hAnsi="Arial"/>
                <w:sz w:val="15"/>
                <w:szCs w:val="15"/>
                <w:i w:val="1"/>
                <w:iCs w:val="1"/>
                <w:color w:val="auto"/>
              </w:rPr>
              <w:t>Recourse Long-term debt</w:t>
            </w:r>
            <w:r>
              <w:rPr>
                <w:rFonts w:ascii="Arial" w:cs="Arial" w:eastAsia="Arial" w:hAnsi="Arial"/>
                <w:sz w:val="24"/>
                <w:szCs w:val="24"/>
                <w:i w:val="1"/>
                <w:iCs w:val="1"/>
                <w:color w:val="auto"/>
                <w:vertAlign w:val="superscript"/>
              </w:rPr>
              <w:t>(1)</w:t>
            </w:r>
            <w:r>
              <w:rPr>
                <w:rFonts w:ascii="Arial" w:cs="Arial" w:eastAsia="Arial" w:hAnsi="Arial"/>
                <w:sz w:val="15"/>
                <w:szCs w:val="15"/>
                <w:i w:val="1"/>
                <w:iCs w:val="1"/>
                <w:color w:val="auto"/>
              </w:rPr>
              <w:t>:</w:t>
            </w:r>
          </w:p>
        </w:tc>
        <w:tc>
          <w:tcPr>
            <w:tcW w:w="1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Convertible Senior Notes</w:t>
            </w: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125,000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SEACOR Marine Foreign Holdings Credit Facility</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96,220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Sea-Cat Crewzer III Term Loan Facility</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20,415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SEACOR Offshore Delta (f/k/a SEACOSCO) Acquisition Debt</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19,705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19,705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Delta (f/k/a SEACOSCO) Shipyard Financing</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93,094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SEACOR Alpine Shipyard Financing</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30,792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88/888 Term Loan</w:t>
            </w:r>
          </w:p>
        </w:tc>
        <w:tc>
          <w:tcPr>
            <w:tcW w:w="16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40" w:type="dxa"/>
            <w:vAlign w:val="bottom"/>
          </w:tcPr>
          <w:p>
            <w:pPr>
              <w:spacing w:after="0"/>
              <w:rPr>
                <w:sz w:val="20"/>
                <w:szCs w:val="20"/>
                <w:color w:val="auto"/>
              </w:rPr>
            </w:pPr>
            <w:r>
              <w:rPr>
                <w:rFonts w:ascii="Arial" w:cs="Arial" w:eastAsia="Arial" w:hAnsi="Arial"/>
                <w:sz w:val="16"/>
                <w:szCs w:val="16"/>
                <w:color w:val="auto"/>
              </w:rPr>
              <w:t>Total recourse Long-term debt</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390,726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399,028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spacing w:after="0" w:line="218" w:lineRule="exact"/>
              <w:rPr>
                <w:sz w:val="20"/>
                <w:szCs w:val="20"/>
                <w:color w:val="auto"/>
              </w:rPr>
            </w:pPr>
            <w:r>
              <w:rPr>
                <w:rFonts w:ascii="Arial" w:cs="Arial" w:eastAsia="Arial" w:hAnsi="Arial"/>
                <w:sz w:val="15"/>
                <w:szCs w:val="15"/>
                <w:i w:val="1"/>
                <w:iCs w:val="1"/>
                <w:color w:val="auto"/>
              </w:rPr>
              <w:t>Non-recourse Long-term debt</w:t>
            </w:r>
            <w:r>
              <w:rPr>
                <w:rFonts w:ascii="Arial" w:cs="Arial" w:eastAsia="Arial" w:hAnsi="Arial"/>
                <w:sz w:val="25"/>
                <w:szCs w:val="25"/>
                <w:i w:val="1"/>
                <w:iCs w:val="1"/>
                <w:color w:val="auto"/>
                <w:vertAlign w:val="superscript"/>
              </w:rPr>
              <w:t>(2)</w:t>
            </w:r>
            <w:r>
              <w:rPr>
                <w:rFonts w:ascii="Arial" w:cs="Arial" w:eastAsia="Arial" w:hAnsi="Arial"/>
                <w:sz w:val="15"/>
                <w:szCs w:val="15"/>
                <w:i w:val="1"/>
                <w:iCs w:val="1"/>
                <w:color w:val="auto"/>
              </w:rPr>
              <w:t>:</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Falcon Global USA Term Loan Facility</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102,349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102,349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Falcon Global USA Revolver</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SEACOR 88/888 Term Loan</w:t>
            </w:r>
          </w:p>
        </w:tc>
        <w:tc>
          <w:tcPr>
            <w:tcW w:w="16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shd w:val="clear" w:color="auto" w:fill="CFF0FC"/>
          </w:tcPr>
          <w:p>
            <w:pPr>
              <w:spacing w:after="0"/>
              <w:rPr>
                <w:sz w:val="20"/>
                <w:szCs w:val="20"/>
                <w:color w:val="auto"/>
              </w:rPr>
            </w:pPr>
            <w:r>
              <w:rPr>
                <w:rFonts w:ascii="Arial" w:cs="Arial" w:eastAsia="Arial" w:hAnsi="Arial"/>
                <w:sz w:val="16"/>
                <w:szCs w:val="16"/>
                <w:color w:val="auto"/>
              </w:rPr>
              <w:t>Total non-recourse Long-term debt</w:t>
            </w:r>
          </w:p>
        </w:tc>
        <w:tc>
          <w:tcPr>
            <w:tcW w:w="16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122,849</w:t>
            </w:r>
          </w:p>
        </w:tc>
        <w:tc>
          <w:tcPr>
            <w:tcW w:w="3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122,849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principal due for long-term debt</w:t>
            </w:r>
          </w:p>
        </w:tc>
        <w:tc>
          <w:tcPr>
            <w:tcW w:w="16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513,575</w:t>
            </w:r>
          </w:p>
        </w:tc>
        <w:tc>
          <w:tcPr>
            <w:tcW w:w="3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521,877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40" w:type="dxa"/>
            <w:vAlign w:val="bottom"/>
            <w:shd w:val="clear" w:color="auto" w:fill="CFF0FC"/>
          </w:tcPr>
          <w:p>
            <w:pPr>
              <w:spacing w:after="0"/>
              <w:rPr>
                <w:sz w:val="20"/>
                <w:szCs w:val="20"/>
                <w:color w:val="auto"/>
              </w:rPr>
            </w:pPr>
            <w:r>
              <w:rPr>
                <w:rFonts w:ascii="Arial" w:cs="Arial" w:eastAsia="Arial" w:hAnsi="Arial"/>
                <w:sz w:val="16"/>
                <w:szCs w:val="16"/>
                <w:color w:val="auto"/>
              </w:rPr>
              <w:t>Current portion due within one year</w:t>
            </w: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(34,888)</w:t>
            </w: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(32,377)</w:t>
            </w:r>
          </w:p>
        </w:tc>
        <w:tc>
          <w:tcPr>
            <w:tcW w:w="0" w:type="dxa"/>
            <w:vAlign w:val="bottom"/>
          </w:tcPr>
          <w:p>
            <w:pPr>
              <w:spacing w:after="0"/>
              <w:rPr>
                <w:sz w:val="1"/>
                <w:szCs w:val="1"/>
                <w:color w:val="auto"/>
              </w:rPr>
            </w:pPr>
          </w:p>
        </w:tc>
      </w:tr>
      <w:tr>
        <w:trPr>
          <w:trHeight w:val="213"/>
        </w:trPr>
        <w:tc>
          <w:tcPr>
            <w:tcW w:w="6040" w:type="dxa"/>
            <w:vAlign w:val="bottom"/>
          </w:tcPr>
          <w:p>
            <w:pPr>
              <w:spacing w:after="0"/>
              <w:rPr>
                <w:sz w:val="20"/>
                <w:szCs w:val="20"/>
                <w:color w:val="auto"/>
              </w:rPr>
            </w:pPr>
            <w:r>
              <w:rPr>
                <w:rFonts w:ascii="Arial" w:cs="Arial" w:eastAsia="Arial" w:hAnsi="Arial"/>
                <w:sz w:val="16"/>
                <w:szCs w:val="16"/>
                <w:color w:val="auto"/>
              </w:rPr>
              <w:t>Unamortized debt discount</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(42,972)</w:t>
            </w:r>
          </w:p>
        </w:tc>
        <w:tc>
          <w:tcPr>
            <w:tcW w:w="1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(44,864)</w:t>
            </w:r>
          </w:p>
        </w:tc>
        <w:tc>
          <w:tcPr>
            <w:tcW w:w="0" w:type="dxa"/>
            <w:vAlign w:val="bottom"/>
          </w:tcPr>
          <w:p>
            <w:pPr>
              <w:spacing w:after="0"/>
              <w:rPr>
                <w:sz w:val="1"/>
                <w:szCs w:val="1"/>
                <w:color w:val="auto"/>
              </w:rPr>
            </w:pPr>
          </w:p>
        </w:tc>
      </w:tr>
      <w:tr>
        <w:trPr>
          <w:trHeight w:val="219"/>
        </w:trPr>
        <w:tc>
          <w:tcPr>
            <w:tcW w:w="6040" w:type="dxa"/>
            <w:vAlign w:val="bottom"/>
            <w:shd w:val="clear" w:color="auto" w:fill="CFF0FC"/>
          </w:tcPr>
          <w:p>
            <w:pPr>
              <w:spacing w:after="0"/>
              <w:rPr>
                <w:sz w:val="20"/>
                <w:szCs w:val="20"/>
                <w:color w:val="auto"/>
              </w:rPr>
            </w:pPr>
            <w:r>
              <w:rPr>
                <w:rFonts w:ascii="Arial" w:cs="Arial" w:eastAsia="Arial" w:hAnsi="Arial"/>
                <w:sz w:val="16"/>
                <w:szCs w:val="16"/>
                <w:color w:val="auto"/>
              </w:rPr>
              <w:t>Deferred financing costs</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(3,866)</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(4,126)</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6"/>
                <w:szCs w:val="16"/>
                <w:color w:val="auto"/>
              </w:rPr>
              <w:t>Long-term debt, less current portion</w:t>
            </w:r>
          </w:p>
        </w:tc>
        <w:tc>
          <w:tcPr>
            <w:tcW w:w="1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40" w:type="dxa"/>
            <w:vAlign w:val="bottom"/>
            <w:vMerge w:val="continue"/>
          </w:tcPr>
          <w:p>
            <w:pPr>
              <w:spacing w:after="0"/>
              <w:rPr>
                <w:sz w:val="17"/>
                <w:szCs w:val="17"/>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431,849</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440,510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Recourse debt represents debt issued by SEACOR Marine and/or its subsidiaries and guaranteed by SEACOR Marine as defined in the relevant debt agreements.</w:t>
      </w:r>
    </w:p>
    <w:p>
      <w:pPr>
        <w:spacing w:after="0" w:line="33" w:lineRule="exact"/>
        <w:rPr>
          <w:rFonts w:ascii="Arial" w:cs="Arial" w:eastAsia="Arial" w:hAnsi="Arial"/>
          <w:sz w:val="15"/>
          <w:szCs w:val="15"/>
          <w:color w:val="auto"/>
        </w:rPr>
      </w:pPr>
    </w:p>
    <w:p>
      <w:pPr>
        <w:jc w:val="both"/>
        <w:ind w:left="380" w:hanging="372"/>
        <w:spacing w:after="0" w:line="276"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Non-recourse debt represents debt issued by the Company’s Consolidated Subsidiaries with no recourse to SEACOR Marine or its other non-debtor subsidiaries, other than certain limited support obligations as defined in the respective debt agreements, which in aggregate are not considered to be material to the Company’s business and financial condition.</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As of March 31, 2021, the Company was in compliance with all debt covenants and lender requirements.</w:t>
      </w:r>
    </w:p>
    <w:p>
      <w:pPr>
        <w:spacing w:after="0" w:line="16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i w:val="1"/>
          <w:iCs w:val="1"/>
          <w:color w:val="auto"/>
        </w:rPr>
        <w:t xml:space="preserve">Falcon Global. </w:t>
      </w:r>
      <w:r>
        <w:rPr>
          <w:rFonts w:ascii="Arial" w:cs="Arial" w:eastAsia="Arial" w:hAnsi="Arial"/>
          <w:sz w:val="22"/>
          <w:szCs w:val="22"/>
          <w:color w:val="auto"/>
        </w:rPr>
        <w:t>On February 24, 2021, SEACOR Marine, Falcon Global USA LLC, an indirect wholly owned subsidiary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SEACOR Marine (“FGUSA”), and certain subsidiaries of FGUSA, entered into a Seventh Consent, Agreement and Omnibus Amendments (the “Seventh FGUSA Credit Facility Amendment”) to that certain (i) $131.1 million term and revolving loan facility, dated as of February 8, 2018, with a syndicate of lenders administered by JP Morgan Chase Bank, N.A. (as amended, the “FGUSA Credit Facility”) and (ii) obligation guaranty issued by SEACOR Marine, dated February 8, 2018, pursuant to which SEACOR Marine provides a guarantee of certain limited obligations of FGUSA under the Credit Facility (as amended, the “FGUSA Guaranty”).</w:t>
      </w:r>
    </w:p>
    <w:p>
      <w:pPr>
        <w:spacing w:after="0" w:line="150" w:lineRule="exact"/>
        <w:rPr>
          <w:sz w:val="20"/>
          <w:szCs w:val="20"/>
          <w:color w:val="auto"/>
        </w:rPr>
      </w:pPr>
    </w:p>
    <w:p>
      <w:pPr>
        <w:jc w:val="both"/>
        <w:ind w:firstLine="849"/>
        <w:spacing w:after="0" w:line="246" w:lineRule="auto"/>
        <w:rPr>
          <w:sz w:val="20"/>
          <w:szCs w:val="20"/>
          <w:color w:val="auto"/>
        </w:rPr>
      </w:pPr>
      <w:r>
        <w:rPr>
          <w:rFonts w:ascii="Arial" w:cs="Arial" w:eastAsia="Arial" w:hAnsi="Arial"/>
          <w:sz w:val="21"/>
          <w:szCs w:val="21"/>
          <w:color w:val="auto"/>
        </w:rPr>
        <w:t>The Seventh FGUSA Credit Facility Amendment provides for, among other things, (i) the extension from March 2021 to June 2021 of the commencement of monthly repayment of the term loan, with payments being the lesser of (a) $0.8 million and (b) the amount outstanding under the term loan, (ii) the extension of the FGUSA Guaranty for an additional three months from February 8, 2021 to May 8, 2021, (iii) that the audited financial statements of FGUSA and its consolidated subsidiaries for the fiscal year ended December 31, 2020 are not required to be without a “going concern” or like qualification, commentary or exception, and (iv) the extension of the deadline for delivery of certain physical vessel appraisals from April 30, 2021 to December 31, 2021. Except as provided in the FGUSA Guaranty, the FGUSA Credit Facility is non-recourse to SEACOR Marine and its subsidiaries other than FGUSA and its subsidiaries.</w:t>
      </w:r>
    </w:p>
    <w:p>
      <w:pPr>
        <w:spacing w:after="0" w:line="15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Letters of Credit</w:t>
      </w:r>
      <w:r>
        <w:rPr>
          <w:rFonts w:ascii="Arial" w:cs="Arial" w:eastAsia="Arial" w:hAnsi="Arial"/>
          <w:sz w:val="22"/>
          <w:szCs w:val="22"/>
          <w:color w:val="auto"/>
        </w:rPr>
        <w:t>. As of March 31, 2021, the Company had outstanding letters of credit of $0.5 million securing lease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obligations, labor and performance guaranties.</w:t>
      </w:r>
    </w:p>
    <w:p>
      <w:pPr>
        <w:spacing w:after="0" w:line="169" w:lineRule="exact"/>
        <w:rPr>
          <w:sz w:val="20"/>
          <w:szCs w:val="20"/>
          <w:color w:val="auto"/>
        </w:rPr>
      </w:pPr>
    </w:p>
    <w:p>
      <w:pPr>
        <w:ind w:left="760" w:hanging="752"/>
        <w:spacing w:after="0"/>
        <w:tabs>
          <w:tab w:leader="none" w:pos="7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LEASES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As of March 31, 2021, the Company leased in two anchor handling towing supply (“AHTS”) vessels, one liftboat, one FSV and certain facilities and other equipment. The leases typically contain purchase and renewal options or rights of first refusal with respect to the sale or lease of the equipment. As of March 31,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spacing w:after="0" w:line="250" w:lineRule="auto"/>
        <w:rPr>
          <w:sz w:val="20"/>
          <w:szCs w:val="20"/>
          <w:color w:val="auto"/>
        </w:rPr>
      </w:pPr>
      <w:r>
        <w:rPr>
          <w:rFonts w:ascii="Arial" w:cs="Arial" w:eastAsia="Arial" w:hAnsi="Arial"/>
          <w:sz w:val="22"/>
          <w:szCs w:val="22"/>
          <w:color w:val="auto"/>
        </w:rPr>
        <w:t>2021, the remaining lease terms of the vessels have durations ranging from four to nine months. The lease terms of the other equipment range in duration from eight to 309 months.</w:t>
      </w:r>
    </w:p>
    <w:p>
      <w:pPr>
        <w:spacing w:after="0" w:line="148"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As of March 31, 2021, future minimum payments for leases for the remainder of 2021 and the years ended December 31,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95"/>
              </w:rPr>
              <w:t>Operating Leases</w:t>
            </w:r>
          </w:p>
        </w:tc>
        <w:tc>
          <w:tcPr>
            <w:tcW w:w="20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7"/>
              </w:rPr>
              <w:t>Finance Leases</w:t>
            </w:r>
          </w:p>
        </w:tc>
      </w:tr>
      <w:tr>
        <w:trPr>
          <w:trHeight w:val="21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Remainder of 2021</w:t>
            </w: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5,289</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769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FF0FC"/>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Years subsequent to 2025</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3,943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7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11,926</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Interest component</w:t>
            </w:r>
          </w:p>
        </w:tc>
        <w:tc>
          <w:tcPr>
            <w:tcW w:w="1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(2,009)</w:t>
            </w: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r>
      <w:tr>
        <w:trPr>
          <w:trHeight w:val="213"/>
        </w:trPr>
        <w:tc>
          <w:tcPr>
            <w:tcW w:w="7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9,917</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Current portion of long-term lease liabilities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5,139</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FF0FC"/>
            </w:tcBorders>
          </w:tcPr>
          <w:p>
            <w:pPr>
              <w:spacing w:after="0"/>
              <w:rPr>
                <w:sz w:val="18"/>
                <w:szCs w:val="18"/>
                <w:color w:val="auto"/>
              </w:rPr>
            </w:pPr>
          </w:p>
        </w:tc>
      </w:tr>
      <w:tr>
        <w:trPr>
          <w:trHeight w:val="209"/>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lease liabilities</w:t>
            </w: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4,778</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For the three months ended March 31, 2021 and March 31, 2020 the components of lease expense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6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6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cost</w:t>
            </w: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902"/>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3,223</w:t>
            </w:r>
          </w:p>
        </w:tc>
        <w:tc>
          <w:tcPr>
            <w:tcW w:w="100" w:type="dxa"/>
            <w:vAlign w:val="bottom"/>
            <w:shd w:val="clear" w:color="auto" w:fill="CFF0FC"/>
          </w:tcPr>
          <w:p>
            <w:pPr>
              <w:spacing w:after="0"/>
              <w:rPr>
                <w:sz w:val="20"/>
                <w:szCs w:val="20"/>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6"/>
                <w:szCs w:val="16"/>
                <w:color w:val="auto"/>
              </w:rPr>
              <w:t>Finance lease cost:</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760" w:type="dxa"/>
            <w:vAlign w:val="bottom"/>
            <w:shd w:val="clear" w:color="auto" w:fill="CFF0FC"/>
          </w:tcPr>
          <w:p>
            <w:pPr>
              <w:ind w:left="260"/>
              <w:spacing w:after="0" w:line="242" w:lineRule="exact"/>
              <w:rPr>
                <w:sz w:val="20"/>
                <w:szCs w:val="20"/>
                <w:color w:val="auto"/>
              </w:rPr>
            </w:pPr>
            <w:r>
              <w:rPr>
                <w:rFonts w:ascii="Arial" w:cs="Arial" w:eastAsia="Arial" w:hAnsi="Arial"/>
                <w:sz w:val="16"/>
                <w:szCs w:val="16"/>
                <w:color w:val="auto"/>
              </w:rPr>
              <w:t xml:space="preserve">Amortization of finance lease assets </w:t>
            </w:r>
            <w:r>
              <w:rPr>
                <w:rFonts w:ascii="Arial" w:cs="Arial" w:eastAsia="Arial" w:hAnsi="Arial"/>
                <w:sz w:val="27"/>
                <w:szCs w:val="27"/>
                <w:color w:val="auto"/>
                <w:vertAlign w:val="superscript"/>
              </w:rPr>
              <w:t>(1)</w:t>
            </w:r>
          </w:p>
        </w:tc>
        <w:tc>
          <w:tcPr>
            <w:tcW w:w="10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43"/>
        </w:trPr>
        <w:tc>
          <w:tcPr>
            <w:tcW w:w="7760" w:type="dxa"/>
            <w:vAlign w:val="bottom"/>
          </w:tcPr>
          <w:p>
            <w:pPr>
              <w:ind w:left="260"/>
              <w:spacing w:after="0" w:line="242" w:lineRule="exact"/>
              <w:rPr>
                <w:sz w:val="20"/>
                <w:szCs w:val="20"/>
                <w:color w:val="auto"/>
              </w:rPr>
            </w:pPr>
            <w:r>
              <w:rPr>
                <w:rFonts w:ascii="Arial" w:cs="Arial" w:eastAsia="Arial" w:hAnsi="Arial"/>
                <w:sz w:val="16"/>
                <w:szCs w:val="16"/>
                <w:color w:val="auto"/>
              </w:rPr>
              <w:t xml:space="preserve">Interest on finance lease liabilities </w:t>
            </w:r>
            <w:r>
              <w:rPr>
                <w:rFonts w:ascii="Arial" w:cs="Arial" w:eastAsia="Arial" w:hAnsi="Arial"/>
                <w:sz w:val="27"/>
                <w:szCs w:val="27"/>
                <w:color w:val="auto"/>
                <w:vertAlign w:val="superscript"/>
              </w:rPr>
              <w:t>(2)</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40"/>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Short-term lease costs</w:t>
            </w:r>
          </w:p>
        </w:tc>
        <w:tc>
          <w:tcPr>
            <w:tcW w:w="104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30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FF0FC"/>
          </w:tcPr>
          <w:p>
            <w:pPr>
              <w:spacing w:after="0"/>
              <w:rPr>
                <w:sz w:val="20"/>
                <w:szCs w:val="20"/>
                <w:color w:val="auto"/>
              </w:rPr>
            </w:pPr>
          </w:p>
        </w:tc>
      </w:tr>
      <w:tr>
        <w:trPr>
          <w:trHeight w:val="236"/>
        </w:trPr>
        <w:tc>
          <w:tcPr>
            <w:tcW w:w="7760" w:type="dxa"/>
            <w:vAlign w:val="bottom"/>
          </w:tcPr>
          <w:p>
            <w:pPr>
              <w:spacing w:after="0"/>
              <w:rPr>
                <w:sz w:val="20"/>
                <w:szCs w:val="20"/>
                <w:color w:val="auto"/>
              </w:rPr>
            </w:pPr>
          </w:p>
        </w:tc>
        <w:tc>
          <w:tcPr>
            <w:tcW w:w="1040" w:type="dxa"/>
            <w:vAlign w:val="bottom"/>
            <w:tcBorders>
              <w:bottom w:val="single" w:sz="8" w:color="auto"/>
            </w:tcBorders>
          </w:tcPr>
          <w:p>
            <w:pPr>
              <w:jc w:val="right"/>
              <w:ind w:right="882"/>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300" w:type="dxa"/>
            <w:vAlign w:val="bottom"/>
          </w:tcPr>
          <w:p>
            <w:pPr>
              <w:spacing w:after="0"/>
              <w:rPr>
                <w:sz w:val="20"/>
                <w:szCs w:val="20"/>
                <w:color w:val="auto"/>
              </w:rPr>
            </w:pPr>
          </w:p>
        </w:tc>
        <w:tc>
          <w:tcPr>
            <w:tcW w:w="1060" w:type="dxa"/>
            <w:vAlign w:val="bottom"/>
            <w:tcBorders>
              <w:bottom w:val="single" w:sz="8" w:color="auto"/>
            </w:tcBorders>
          </w:tcPr>
          <w:p>
            <w:pPr>
              <w:jc w:val="right"/>
              <w:ind w:right="902"/>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3,325</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840" w:hanging="832"/>
        <w:spacing w:after="0"/>
        <w:tabs>
          <w:tab w:leader="none" w:pos="840" w:val="left"/>
        </w:tabs>
        <w:numPr>
          <w:ilvl w:val="0"/>
          <w:numId w:val="11"/>
        </w:numPr>
        <w:rPr>
          <w:rFonts w:ascii="Arial" w:cs="Arial" w:eastAsia="Arial" w:hAnsi="Arial"/>
          <w:sz w:val="15"/>
          <w:szCs w:val="15"/>
          <w:color w:val="auto"/>
        </w:rPr>
      </w:pPr>
      <w:r>
        <w:rPr>
          <w:rFonts w:ascii="Arial" w:cs="Arial" w:eastAsia="Arial" w:hAnsi="Arial"/>
          <w:sz w:val="14"/>
          <w:szCs w:val="14"/>
          <w:color w:val="auto"/>
        </w:rPr>
        <w:t>Included in amortization costs in the consolidated statements of loss</w:t>
      </w:r>
      <w:r>
        <w:rPr>
          <w:rFonts w:ascii="Arial" w:cs="Arial" w:eastAsia="Arial" w:hAnsi="Arial"/>
          <w:sz w:val="17"/>
          <w:szCs w:val="17"/>
          <w:color w:val="auto"/>
        </w:rPr>
        <w:t>.</w:t>
      </w:r>
    </w:p>
    <w:p>
      <w:pPr>
        <w:spacing w:after="0" w:line="34" w:lineRule="exact"/>
        <w:rPr>
          <w:rFonts w:ascii="Arial" w:cs="Arial" w:eastAsia="Arial" w:hAnsi="Arial"/>
          <w:sz w:val="15"/>
          <w:szCs w:val="15"/>
          <w:color w:val="auto"/>
        </w:rPr>
      </w:pPr>
    </w:p>
    <w:p>
      <w:pPr>
        <w:ind w:left="840" w:hanging="832"/>
        <w:spacing w:after="0"/>
        <w:tabs>
          <w:tab w:leader="none" w:pos="840" w:val="left"/>
        </w:tabs>
        <w:numPr>
          <w:ilvl w:val="0"/>
          <w:numId w:val="11"/>
        </w:numPr>
        <w:rPr>
          <w:rFonts w:ascii="Arial" w:cs="Arial" w:eastAsia="Arial" w:hAnsi="Arial"/>
          <w:sz w:val="15"/>
          <w:szCs w:val="15"/>
          <w:color w:val="auto"/>
        </w:rPr>
      </w:pPr>
      <w:r>
        <w:rPr>
          <w:rFonts w:ascii="Arial" w:cs="Arial" w:eastAsia="Arial" w:hAnsi="Arial"/>
          <w:sz w:val="14"/>
          <w:szCs w:val="14"/>
          <w:color w:val="auto"/>
        </w:rPr>
        <w:t>Included in interest expense in the consolidated statements of loss</w:t>
      </w:r>
      <w:r>
        <w:rPr>
          <w:rFonts w:ascii="Arial" w:cs="Arial" w:eastAsia="Arial" w:hAnsi="Arial"/>
          <w:sz w:val="17"/>
          <w:szCs w:val="17"/>
          <w:color w:val="auto"/>
        </w:rPr>
        <w:t>.</w:t>
      </w:r>
    </w:p>
    <w:p>
      <w:pPr>
        <w:spacing w:after="0" w:line="215"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For the three months ended March 31, 2021, supplemental cash flow information related to leases was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2021</w:t>
            </w:r>
          </w:p>
        </w:tc>
      </w:tr>
      <w:tr>
        <w:trPr>
          <w:trHeight w:val="212"/>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Operating cash flows from operating leases</w:t>
            </w:r>
          </w:p>
        </w:tc>
        <w:tc>
          <w:tcPr>
            <w:tcW w:w="5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2,270</w:t>
            </w:r>
          </w:p>
        </w:tc>
      </w:tr>
      <w:tr>
        <w:trPr>
          <w:trHeight w:val="213"/>
        </w:trPr>
        <w:tc>
          <w:tcPr>
            <w:tcW w:w="9120" w:type="dxa"/>
            <w:vAlign w:val="bottom"/>
          </w:tcPr>
          <w:p>
            <w:pPr>
              <w:spacing w:after="0"/>
              <w:rPr>
                <w:sz w:val="20"/>
                <w:szCs w:val="20"/>
                <w:color w:val="auto"/>
              </w:rPr>
            </w:pPr>
            <w:r>
              <w:rPr>
                <w:rFonts w:ascii="Arial" w:cs="Arial" w:eastAsia="Arial" w:hAnsi="Arial"/>
                <w:sz w:val="16"/>
                <w:szCs w:val="16"/>
                <w:color w:val="auto"/>
              </w:rPr>
              <w:t>Right-of-use assets obtained for operating lease liabilities</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917</w:t>
            </w:r>
          </w:p>
        </w:tc>
      </w:tr>
      <w:tr>
        <w:trPr>
          <w:trHeight w:val="219"/>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Right-of-use assets obtained for finance lease liabilities</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469"/>
        </w:trPr>
        <w:tc>
          <w:tcPr>
            <w:tcW w:w="9120" w:type="dxa"/>
            <w:vAlign w:val="bottom"/>
          </w:tcPr>
          <w:p>
            <w:pPr>
              <w:ind w:left="760"/>
              <w:spacing w:after="0"/>
              <w:rPr>
                <w:sz w:val="20"/>
                <w:szCs w:val="20"/>
                <w:color w:val="auto"/>
              </w:rPr>
            </w:pPr>
            <w:r>
              <w:rPr>
                <w:rFonts w:ascii="Arial" w:cs="Arial" w:eastAsia="Arial" w:hAnsi="Arial"/>
                <w:sz w:val="22"/>
                <w:szCs w:val="22"/>
                <w:color w:val="auto"/>
                <w:w w:val="89"/>
              </w:rPr>
              <w:t>For the three months ended March 31, 2021, other information related to leases was as follows:</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Borders>
              <w:bottom w:val="single" w:sz="8" w:color="CFF0FC"/>
            </w:tcBorders>
          </w:tcPr>
          <w:p>
            <w:pPr>
              <w:spacing w:after="0"/>
              <w:rPr>
                <w:sz w:val="18"/>
                <w:szCs w:val="18"/>
                <w:color w:val="auto"/>
              </w:rPr>
            </w:pPr>
          </w:p>
        </w:tc>
        <w:tc>
          <w:tcPr>
            <w:tcW w:w="4220" w:type="dxa"/>
            <w:vAlign w:val="bottom"/>
            <w:tcBorders>
              <w:bottom w:val="single" w:sz="8" w:color="CFF0FC"/>
            </w:tcBorders>
          </w:tcPr>
          <w:p>
            <w:pPr>
              <w:spacing w:after="0"/>
              <w:rPr>
                <w:sz w:val="18"/>
                <w:szCs w:val="18"/>
                <w:color w:val="auto"/>
              </w:rPr>
            </w:pPr>
          </w:p>
        </w:tc>
        <w:tc>
          <w:tcPr>
            <w:tcW w:w="21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2021</w:t>
            </w:r>
          </w:p>
        </w:tc>
      </w:tr>
      <w:tr>
        <w:trPr>
          <w:trHeight w:val="213"/>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remaining lease term, in years - operating leases</w:t>
            </w:r>
          </w:p>
        </w:tc>
        <w:tc>
          <w:tcPr>
            <w:tcW w:w="6320" w:type="dxa"/>
            <w:vAlign w:val="bottom"/>
            <w:gridSpan w:val="2"/>
            <w:shd w:val="clear" w:color="auto" w:fill="CFF0FC"/>
          </w:tcPr>
          <w:p>
            <w:pPr>
              <w:ind w:left="5960"/>
              <w:spacing w:after="0"/>
              <w:rPr>
                <w:sz w:val="20"/>
                <w:szCs w:val="20"/>
                <w:color w:val="auto"/>
              </w:rPr>
            </w:pPr>
            <w:r>
              <w:rPr>
                <w:rFonts w:ascii="Arial" w:cs="Arial" w:eastAsia="Arial" w:hAnsi="Arial"/>
                <w:sz w:val="16"/>
                <w:szCs w:val="16"/>
                <w:color w:val="auto"/>
              </w:rPr>
              <w:t>8.8</w:t>
            </w: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Weighted average remaining lease term, in years - finance leases</w:t>
            </w:r>
          </w:p>
        </w:tc>
        <w:tc>
          <w:tcPr>
            <w:tcW w:w="6320" w:type="dxa"/>
            <w:vAlign w:val="bottom"/>
            <w:gridSpan w:val="2"/>
          </w:tcPr>
          <w:p>
            <w:pPr>
              <w:ind w:left="5960"/>
              <w:spacing w:after="0"/>
              <w:rPr>
                <w:sz w:val="20"/>
                <w:szCs w:val="20"/>
                <w:color w:val="auto"/>
              </w:rPr>
            </w:pPr>
            <w:r>
              <w:rPr>
                <w:rFonts w:ascii="Arial" w:cs="Arial" w:eastAsia="Arial" w:hAnsi="Arial"/>
                <w:sz w:val="16"/>
                <w:szCs w:val="16"/>
                <w:color w:val="auto"/>
              </w:rPr>
              <w:t>3.7</w:t>
            </w:r>
          </w:p>
        </w:tc>
      </w:tr>
      <w:tr>
        <w:trPr>
          <w:trHeight w:val="219"/>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discount rate - operating leases</w:t>
            </w:r>
          </w:p>
        </w:tc>
        <w:tc>
          <w:tcPr>
            <w:tcW w:w="6320" w:type="dxa"/>
            <w:vAlign w:val="bottom"/>
            <w:gridSpan w:val="2"/>
            <w:shd w:val="clear" w:color="auto" w:fill="CFF0FC"/>
          </w:tcPr>
          <w:p>
            <w:pPr>
              <w:ind w:left="5960"/>
              <w:spacing w:after="0"/>
              <w:rPr>
                <w:sz w:val="20"/>
                <w:szCs w:val="20"/>
                <w:color w:val="auto"/>
              </w:rPr>
            </w:pPr>
            <w:r>
              <w:rPr>
                <w:rFonts w:ascii="Arial" w:cs="Arial" w:eastAsia="Arial" w:hAnsi="Arial"/>
                <w:sz w:val="16"/>
                <w:szCs w:val="16"/>
                <w:color w:val="auto"/>
                <w:w w:val="93"/>
              </w:rPr>
              <w:t>5.1%</w:t>
            </w:r>
          </w:p>
        </w:tc>
      </w:tr>
      <w:tr>
        <w:trPr>
          <w:trHeight w:val="210"/>
        </w:trPr>
        <w:tc>
          <w:tcPr>
            <w:tcW w:w="4920" w:type="dxa"/>
            <w:vAlign w:val="bottom"/>
          </w:tcPr>
          <w:p>
            <w:pPr>
              <w:spacing w:after="0"/>
              <w:rPr>
                <w:sz w:val="20"/>
                <w:szCs w:val="20"/>
                <w:color w:val="auto"/>
              </w:rPr>
            </w:pPr>
            <w:r>
              <w:rPr>
                <w:rFonts w:ascii="Arial" w:cs="Arial" w:eastAsia="Arial" w:hAnsi="Arial"/>
                <w:sz w:val="16"/>
                <w:szCs w:val="16"/>
                <w:color w:val="auto"/>
              </w:rPr>
              <w:t>Weighted average discount rate - finance leases</w:t>
            </w:r>
          </w:p>
        </w:tc>
        <w:tc>
          <w:tcPr>
            <w:tcW w:w="6320" w:type="dxa"/>
            <w:vAlign w:val="bottom"/>
            <w:gridSpan w:val="2"/>
          </w:tcPr>
          <w:p>
            <w:pPr>
              <w:ind w:left="5960"/>
              <w:spacing w:after="0"/>
              <w:rPr>
                <w:sz w:val="20"/>
                <w:szCs w:val="20"/>
                <w:color w:val="auto"/>
              </w:rPr>
            </w:pPr>
            <w:r>
              <w:rPr>
                <w:rFonts w:ascii="Arial" w:cs="Arial" w:eastAsia="Arial" w:hAnsi="Arial"/>
                <w:sz w:val="16"/>
                <w:szCs w:val="16"/>
                <w:color w:val="auto"/>
                <w:w w:val="93"/>
              </w:rPr>
              <w:t>5.3%</w:t>
            </w:r>
          </w:p>
        </w:tc>
      </w:tr>
      <w:tr>
        <w:trPr>
          <w:trHeight w:val="664"/>
        </w:trPr>
        <w:tc>
          <w:tcPr>
            <w:tcW w:w="4920" w:type="dxa"/>
            <w:vAlign w:val="bottom"/>
          </w:tcPr>
          <w:p>
            <w:pPr>
              <w:spacing w:after="0"/>
              <w:rPr>
                <w:sz w:val="24"/>
                <w:szCs w:val="24"/>
                <w:color w:val="auto"/>
              </w:rPr>
            </w:pPr>
          </w:p>
        </w:tc>
        <w:tc>
          <w:tcPr>
            <w:tcW w:w="4220" w:type="dxa"/>
            <w:vAlign w:val="bottom"/>
          </w:tcPr>
          <w:p>
            <w:pPr>
              <w:jc w:val="right"/>
              <w:ind w:right="3314"/>
              <w:spacing w:after="0"/>
              <w:rPr>
                <w:sz w:val="20"/>
                <w:szCs w:val="20"/>
                <w:color w:val="auto"/>
              </w:rPr>
            </w:pPr>
            <w:r>
              <w:rPr>
                <w:rFonts w:ascii="Arial" w:cs="Arial" w:eastAsia="Arial" w:hAnsi="Arial"/>
                <w:sz w:val="22"/>
                <w:szCs w:val="22"/>
                <w:color w:val="auto"/>
              </w:rPr>
              <w:t>13</w:t>
            </w:r>
          </w:p>
        </w:tc>
        <w:tc>
          <w:tcPr>
            <w:tcW w:w="2100" w:type="dxa"/>
            <w:vAlign w:val="bottom"/>
          </w:tcPr>
          <w:p>
            <w:pPr>
              <w:spacing w:after="0"/>
              <w:rPr>
                <w:sz w:val="24"/>
                <w:szCs w:val="24"/>
                <w:color w:val="auto"/>
              </w:rPr>
            </w:pPr>
          </w:p>
        </w:tc>
      </w:tr>
      <w:tr>
        <w:trPr>
          <w:trHeight w:val="105"/>
        </w:trPr>
        <w:tc>
          <w:tcPr>
            <w:tcW w:w="4920" w:type="dxa"/>
            <w:vAlign w:val="bottom"/>
            <w:tcBorders>
              <w:bottom w:val="single" w:sz="8" w:color="9A9A9A"/>
            </w:tcBorders>
          </w:tcPr>
          <w:p>
            <w:pPr>
              <w:spacing w:after="0"/>
              <w:rPr>
                <w:sz w:val="9"/>
                <w:szCs w:val="9"/>
                <w:color w:val="auto"/>
              </w:rPr>
            </w:pPr>
          </w:p>
        </w:tc>
        <w:tc>
          <w:tcPr>
            <w:tcW w:w="42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5" w:name="page16"/>
    <w:bookmarkEnd w:id="15"/>
    <w:p>
      <w:pPr>
        <w:ind w:left="760" w:hanging="752"/>
        <w:spacing w:after="0"/>
        <w:tabs>
          <w:tab w:leader="none" w:pos="76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following table reconciles the difference between the statutory federal income tax rate for the Company and the effective income tax rate on continuing operations for the three months ended March 31,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80" w:type="dxa"/>
            <w:vAlign w:val="bottom"/>
            <w:shd w:val="clear" w:color="auto" w:fill="CFF0FC"/>
          </w:tcPr>
          <w:p>
            <w:pPr>
              <w:spacing w:after="0"/>
              <w:rPr>
                <w:sz w:val="20"/>
                <w:szCs w:val="20"/>
                <w:color w:val="auto"/>
              </w:rPr>
            </w:pPr>
            <w:r>
              <w:rPr>
                <w:rFonts w:ascii="Arial" w:cs="Arial" w:eastAsia="Arial" w:hAnsi="Arial"/>
                <w:sz w:val="16"/>
                <w:szCs w:val="16"/>
                <w:color w:val="auto"/>
              </w:rPr>
              <w:t>Statutory rate</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180" w:type="dxa"/>
            <w:vAlign w:val="bottom"/>
          </w:tcPr>
          <w:p>
            <w:pPr>
              <w:spacing w:after="0"/>
              <w:rPr>
                <w:sz w:val="20"/>
                <w:szCs w:val="20"/>
                <w:color w:val="auto"/>
              </w:rPr>
            </w:pPr>
            <w:r>
              <w:rPr>
                <w:rFonts w:ascii="Arial" w:cs="Arial" w:eastAsia="Arial" w:hAnsi="Arial"/>
                <w:sz w:val="16"/>
                <w:szCs w:val="16"/>
                <w:color w:val="auto"/>
              </w:rPr>
              <w:t>Foreign withholding tax and earnings not subject to U.S. Income Tax</w:t>
            </w:r>
          </w:p>
        </w:tc>
        <w:tc>
          <w:tcPr>
            <w:tcW w:w="1740" w:type="dxa"/>
            <w:vAlign w:val="bottom"/>
          </w:tcPr>
          <w:p>
            <w:pPr>
              <w:jc w:val="right"/>
              <w:spacing w:after="0"/>
              <w:rPr>
                <w:sz w:val="20"/>
                <w:szCs w:val="20"/>
                <w:color w:val="auto"/>
              </w:rPr>
            </w:pPr>
            <w:r>
              <w:rPr>
                <w:rFonts w:ascii="Arial" w:cs="Arial" w:eastAsia="Arial" w:hAnsi="Arial"/>
                <w:sz w:val="16"/>
                <w:szCs w:val="16"/>
                <w:color w:val="auto"/>
              </w:rPr>
              <w:t>322.27</w:t>
            </w:r>
          </w:p>
        </w:tc>
        <w:tc>
          <w:tcPr>
            <w:tcW w:w="320" w:type="dxa"/>
            <w:vAlign w:val="bottom"/>
          </w:tcPr>
          <w:p>
            <w:pPr>
              <w:spacing w:after="0"/>
              <w:rPr>
                <w:sz w:val="18"/>
                <w:szCs w:val="18"/>
                <w:color w:val="auto"/>
              </w:rPr>
            </w:pPr>
          </w:p>
        </w:tc>
      </w:tr>
      <w:tr>
        <w:trPr>
          <w:trHeight w:val="219"/>
        </w:trPr>
        <w:tc>
          <w:tcPr>
            <w:tcW w:w="918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w:t>
            </w:r>
          </w:p>
        </w:tc>
        <w:tc>
          <w:tcPr>
            <w:tcW w:w="320" w:type="dxa"/>
            <w:vAlign w:val="bottom"/>
            <w:shd w:val="clear" w:color="auto" w:fill="CFF0FC"/>
          </w:tcPr>
          <w:p>
            <w:pPr>
              <w:spacing w:after="0"/>
              <w:rPr>
                <w:sz w:val="19"/>
                <w:szCs w:val="19"/>
                <w:color w:val="auto"/>
              </w:rPr>
            </w:pPr>
          </w:p>
        </w:tc>
      </w:tr>
      <w:tr>
        <w:trPr>
          <w:trHeight w:val="207"/>
        </w:trPr>
        <w:tc>
          <w:tcPr>
            <w:tcW w:w="9180" w:type="dxa"/>
            <w:vAlign w:val="bottom"/>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91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On June 26, 2020, the Company entered into a Tax Refund and Indemnification Agreement (the “Tax Refund Agreement”) with SEACOR Holdings Inc. (“SEACOR Holdings”), the Company’s former parent company. The Tax Refund Agreement enabled the Company to utilize net operating losses (“NOLs”) generated in 2018 and 2019 to claim refunds for tax years prior to the Company’s spin-off from SEACOR Holdings in 2017 (at which time the Company was included in SEACOR Holdings consolidated tax returns) that are now permitted to be carried back pursuant to the provisions of the Coronavirus Aid, Relief, and Economic Security Act (“CARES Act”) and for which SEACOR Holdings needed to claim the refund on behalf of the Company. As a result, the Company received an aggregate amount of cash tax refunds of $32.3 million (including $1.1 million of interest paid by the Internal Revenue Service (“IRS”) in respect of refund payment delays), of which $12.5 million was received prior to March 31, 2021 and the remaining $19.8 million was received in April 2021.</w:t>
      </w:r>
    </w:p>
    <w:p>
      <w:pPr>
        <w:spacing w:after="0" w:line="179" w:lineRule="exact"/>
        <w:rPr>
          <w:sz w:val="20"/>
          <w:szCs w:val="20"/>
          <w:color w:val="auto"/>
        </w:rPr>
      </w:pPr>
    </w:p>
    <w:p>
      <w:pPr>
        <w:ind w:left="760" w:hanging="752"/>
        <w:spacing w:after="0"/>
        <w:tabs>
          <w:tab w:leader="none" w:pos="7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DERIVATIVE INSTRUMENTS AND HEDGING STRATEGIES</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Derivative instruments are classified as either assets or liabilities based on their individual fair values. The fair values of the Company’s derivative instruments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460"/>
              <w:spacing w:after="0"/>
              <w:rPr>
                <w:sz w:val="20"/>
                <w:szCs w:val="20"/>
                <w:color w:val="auto"/>
              </w:rPr>
            </w:pPr>
            <w:r>
              <w:rPr>
                <w:rFonts w:ascii="Arial" w:cs="Arial" w:eastAsia="Arial" w:hAnsi="Arial"/>
                <w:sz w:val="16"/>
                <w:szCs w:val="16"/>
                <w:b w:val="1"/>
                <w:bCs w:val="1"/>
                <w:color w:val="auto"/>
              </w:rPr>
              <w:t>March 31, 2021</w:t>
            </w:r>
          </w:p>
        </w:tc>
        <w:tc>
          <w:tcPr>
            <w:tcW w:w="100" w:type="dxa"/>
            <w:vAlign w:val="bottom"/>
          </w:tcPr>
          <w:p>
            <w:pPr>
              <w:spacing w:after="0"/>
              <w:rPr>
                <w:sz w:val="18"/>
                <w:szCs w:val="18"/>
                <w:color w:val="auto"/>
              </w:rPr>
            </w:pPr>
          </w:p>
        </w:tc>
        <w:tc>
          <w:tcPr>
            <w:tcW w:w="2220" w:type="dxa"/>
            <w:vAlign w:val="bottom"/>
            <w:gridSpan w:val="5"/>
          </w:tcPr>
          <w:p>
            <w:pPr>
              <w:ind w:left="340"/>
              <w:spacing w:after="0"/>
              <w:rPr>
                <w:sz w:val="20"/>
                <w:szCs w:val="20"/>
                <w:color w:val="auto"/>
              </w:rPr>
            </w:pPr>
            <w:r>
              <w:rPr>
                <w:rFonts w:ascii="Arial" w:cs="Arial" w:eastAsia="Arial" w:hAnsi="Arial"/>
                <w:sz w:val="16"/>
                <w:szCs w:val="16"/>
                <w:b w:val="1"/>
                <w:bCs w:val="1"/>
                <w:color w:val="auto"/>
              </w:rPr>
              <w:t>December 31, 2020</w:t>
            </w:r>
          </w:p>
        </w:tc>
      </w:tr>
      <w:tr>
        <w:trPr>
          <w:trHeight w:val="199"/>
        </w:trPr>
        <w:tc>
          <w:tcPr>
            <w:tcW w:w="6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Derivative</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Derivative</w:t>
            </w:r>
          </w:p>
        </w:tc>
        <w:tc>
          <w:tcPr>
            <w:tcW w:w="100" w:type="dxa"/>
            <w:vAlign w:val="bottom"/>
          </w:tcPr>
          <w:p>
            <w:pPr>
              <w:spacing w:after="0"/>
              <w:rPr>
                <w:sz w:val="17"/>
                <w:szCs w:val="17"/>
                <w:color w:val="auto"/>
              </w:rPr>
            </w:pPr>
          </w:p>
        </w:tc>
      </w:tr>
      <w:tr>
        <w:trPr>
          <w:trHeight w:val="213"/>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w:t>
            </w: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Liability</w:t>
            </w:r>
          </w:p>
        </w:tc>
        <w:tc>
          <w:tcPr>
            <w:tcW w:w="100" w:type="dxa"/>
            <w:vAlign w:val="bottom"/>
          </w:tcPr>
          <w:p>
            <w:pPr>
              <w:spacing w:after="0"/>
              <w:rPr>
                <w:sz w:val="18"/>
                <w:szCs w:val="18"/>
                <w:color w:val="auto"/>
              </w:rPr>
            </w:pPr>
          </w:p>
        </w:tc>
        <w:tc>
          <w:tcPr>
            <w:tcW w:w="860" w:type="dxa"/>
            <w:vAlign w:val="bottom"/>
          </w:tcPr>
          <w:p>
            <w:pPr>
              <w:ind w:left="200"/>
              <w:spacing w:after="0"/>
              <w:rPr>
                <w:sz w:val="20"/>
                <w:szCs w:val="20"/>
                <w:color w:val="auto"/>
              </w:rPr>
            </w:pPr>
            <w:r>
              <w:rPr>
                <w:rFonts w:ascii="Arial" w:cs="Arial" w:eastAsia="Arial" w:hAnsi="Arial"/>
                <w:sz w:val="16"/>
                <w:szCs w:val="16"/>
                <w:b w:val="1"/>
                <w:bCs w:val="1"/>
                <w:color w:val="auto"/>
              </w:rPr>
              <w:t>Asset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Liability</w:t>
            </w:r>
          </w:p>
        </w:tc>
      </w:tr>
      <w:tr>
        <w:trPr>
          <w:trHeight w:val="21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rate swap agreements (cash flow hedges)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3,698</w:t>
            </w:r>
          </w:p>
        </w:tc>
        <w:tc>
          <w:tcPr>
            <w:tcW w:w="100" w:type="dxa"/>
            <w:vAlign w:val="bottom"/>
            <w:tcBorders>
              <w:bottom w:val="single" w:sz="8" w:color="CFF0FC"/>
            </w:tcBorders>
          </w:tcPr>
          <w:p>
            <w:pPr>
              <w:spacing w:after="0"/>
              <w:rPr>
                <w:sz w:val="18"/>
                <w:szCs w:val="18"/>
                <w:color w:val="auto"/>
              </w:rPr>
            </w:pPr>
          </w:p>
        </w:tc>
      </w:tr>
      <w:tr>
        <w:trPr>
          <w:trHeight w:val="213"/>
        </w:trPr>
        <w:tc>
          <w:tcPr>
            <w:tcW w:w="6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3,698</w:t>
            </w:r>
          </w:p>
        </w:tc>
        <w:tc>
          <w:tcPr>
            <w:tcW w:w="100" w:type="dxa"/>
            <w:vAlign w:val="bottom"/>
            <w:shd w:val="clear" w:color="auto" w:fill="CFF0FC"/>
          </w:tcPr>
          <w:p>
            <w:pPr>
              <w:spacing w:after="0"/>
              <w:rPr>
                <w:sz w:val="18"/>
                <w:szCs w:val="18"/>
                <w:color w:val="auto"/>
              </w:rPr>
            </w:pPr>
          </w:p>
        </w:tc>
      </w:tr>
      <w:tr>
        <w:trPr>
          <w:trHeight w:val="206"/>
        </w:trPr>
        <w:tc>
          <w:tcPr>
            <w:tcW w:w="648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Forward Exchange Contract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FF0FC"/>
          </w:tcPr>
          <w:p>
            <w:pPr>
              <w:spacing w:after="0"/>
              <w:rPr>
                <w:sz w:val="19"/>
                <w:szCs w:val="19"/>
                <w:color w:val="auto"/>
              </w:rPr>
            </w:pPr>
          </w:p>
        </w:tc>
      </w:tr>
      <w:tr>
        <w:trPr>
          <w:trHeight w:val="213"/>
        </w:trPr>
        <w:tc>
          <w:tcPr>
            <w:tcW w:w="6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FF0FC"/>
            </w:tcBorders>
          </w:tcPr>
          <w:p>
            <w:pPr>
              <w:spacing w:after="0"/>
              <w:rPr>
                <w:sz w:val="18"/>
                <w:szCs w:val="18"/>
                <w:color w:val="auto"/>
              </w:rPr>
            </w:pPr>
          </w:p>
        </w:tc>
      </w:tr>
      <w:tr>
        <w:trPr>
          <w:trHeight w:val="210"/>
        </w:trPr>
        <w:tc>
          <w:tcPr>
            <w:tcW w:w="64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895</w:t>
            </w:r>
          </w:p>
        </w:tc>
        <w:tc>
          <w:tcPr>
            <w:tcW w:w="100" w:type="dxa"/>
            <w:vAlign w:val="bottom"/>
            <w:shd w:val="clear" w:color="auto" w:fill="CFF0FC"/>
          </w:tcPr>
          <w:p>
            <w:pPr>
              <w:spacing w:after="0"/>
              <w:rPr>
                <w:sz w:val="18"/>
                <w:szCs w:val="18"/>
                <w:color w:val="auto"/>
              </w:rPr>
            </w:pPr>
          </w:p>
        </w:tc>
      </w:tr>
      <w:tr>
        <w:trPr>
          <w:trHeight w:val="20"/>
        </w:trPr>
        <w:tc>
          <w:tcPr>
            <w:tcW w:w="6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i w:val="1"/>
          <w:iCs w:val="1"/>
          <w:color w:val="auto"/>
        </w:rPr>
        <w:t xml:space="preserve">Economic Hedges. </w:t>
      </w:r>
      <w:r>
        <w:rPr>
          <w:rFonts w:ascii="Arial" w:cs="Arial" w:eastAsia="Arial" w:hAnsi="Arial"/>
          <w:sz w:val="22"/>
          <w:szCs w:val="22"/>
          <w:color w:val="auto"/>
        </w:rPr>
        <w:t>The Company enters and settles forward currency exchange, option and future contracts with respect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various foreign currencies. These contracts enable the Company to buy currencies in the future at fixed exchange rates, which could offset possible consequences of changes in currency exchange rates with respect to the Company’s business conducted outside of the U.S. The Company generally does not enter into contracts with forward settlement dates beyond twelve to eighteen months. During the three months ended March 31, 2021, the Company recognized gains of $0.4 million on these contracts which were recognized concurrently in earnings. As of March 31, 2021, the Company no longer has open forward currency exchange contracts.</w:t>
      </w:r>
    </w:p>
    <w:p>
      <w:pPr>
        <w:spacing w:after="0" w:line="12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Cash Flow Hedges. </w:t>
      </w:r>
      <w:r>
        <w:rPr>
          <w:rFonts w:ascii="Arial" w:cs="Arial" w:eastAsia="Arial" w:hAnsi="Arial"/>
          <w:sz w:val="21"/>
          <w:szCs w:val="21"/>
          <w:color w:val="auto"/>
        </w:rPr>
        <w:t>The Company and certain of its 50% or less owned companies have interest rate swap agreements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designated as cash flow hedges. By entering into these interest rate swap agreements, the Company and its 50% or less owned companies have converted the variable LIBOR component of certain of their outstanding borrowings to a fixed interest rate. The Company recognized gains on derivative instruments designated as cash flow hedges of $0.5 million for the three months ended March 31, 2021, and losses of $1.9 million for the three months ended March 31, 2020 as a component of other comprehensive loss. As of March 31, 2021, the interest rate swaps held by the Company and certain of the Company’s 50% or less owned companies were as follows</w:t>
      </w:r>
      <w:r>
        <w:rPr>
          <w:rFonts w:ascii="Arial" w:cs="Arial" w:eastAsia="Arial" w:hAnsi="Arial"/>
          <w:sz w:val="21"/>
          <w:szCs w:val="21"/>
          <w:b w:val="1"/>
          <w:bCs w:val="1"/>
          <w:i w:val="1"/>
          <w:iCs w:val="1"/>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6" w:name="page17"/>
    <w:bookmarkEnd w:id="16"/>
    <w:p>
      <w:pPr>
        <w:jc w:val="both"/>
        <w:ind w:left="1260" w:hanging="510"/>
        <w:spacing w:after="0" w:line="238" w:lineRule="auto"/>
        <w:tabs>
          <w:tab w:leader="none" w:pos="12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SEACOR Marine Foreign Holdings Inc. , an indirect wholly-owned subsidiary of SEACOR Marine (“SMFH”) has an interest rate swap agreement maturing in 2023 that calls for SMFH to pay a fixed rate of interest of 3.32% per annum on the amortized notional value of $7.6 million and receive a variable interest rate based on LIBOR on the amortized notional value;</w:t>
      </w:r>
    </w:p>
    <w:p>
      <w:pPr>
        <w:spacing w:after="0" w:line="77" w:lineRule="exact"/>
        <w:rPr>
          <w:rFonts w:ascii="Arial" w:cs="Arial" w:eastAsia="Arial" w:hAnsi="Arial"/>
          <w:sz w:val="22"/>
          <w:szCs w:val="22"/>
          <w:color w:val="auto"/>
        </w:rPr>
      </w:pPr>
    </w:p>
    <w:p>
      <w:pPr>
        <w:jc w:val="both"/>
        <w:ind w:left="1260" w:hanging="510"/>
        <w:spacing w:after="0"/>
        <w:tabs>
          <w:tab w:leader="none" w:pos="12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SMFH has an interest rate swap agreement maturing in 2023 that calls for SMFH to pay a fixed rate of interest of 3.195% per annum on the amortized notional value of $41.6 million and receive a variable interest rate based on LIBOR on the amortized notional value;</w:t>
      </w:r>
    </w:p>
    <w:p>
      <w:pPr>
        <w:spacing w:after="0" w:line="78" w:lineRule="exact"/>
        <w:rPr>
          <w:rFonts w:ascii="Arial" w:cs="Arial" w:eastAsia="Arial" w:hAnsi="Arial"/>
          <w:sz w:val="22"/>
          <w:szCs w:val="22"/>
          <w:color w:val="auto"/>
        </w:rPr>
      </w:pPr>
    </w:p>
    <w:p>
      <w:pPr>
        <w:jc w:val="both"/>
        <w:ind w:left="1260" w:hanging="510"/>
        <w:spacing w:after="0" w:line="252" w:lineRule="auto"/>
        <w:tabs>
          <w:tab w:leader="none" w:pos="1260" w:val="left"/>
        </w:tabs>
        <w:numPr>
          <w:ilvl w:val="0"/>
          <w:numId w:val="14"/>
        </w:numPr>
        <w:rPr>
          <w:rFonts w:ascii="Arial" w:cs="Arial" w:eastAsia="Arial" w:hAnsi="Arial"/>
          <w:sz w:val="21"/>
          <w:szCs w:val="21"/>
          <w:color w:val="auto"/>
        </w:rPr>
      </w:pPr>
      <w:r>
        <w:rPr>
          <w:rFonts w:ascii="Arial" w:cs="Arial" w:eastAsia="Arial" w:hAnsi="Arial"/>
          <w:sz w:val="21"/>
          <w:szCs w:val="21"/>
          <w:color w:val="auto"/>
        </w:rPr>
        <w:t>SEACOR 88 LLC and SEACOR 888 LLC, both indirect wholly-owned subsidiaries of SEACOR Marine (collectively, “SEACOR 88/888”), have an interest rate swap agreement maturing in 2023 that calls for SEACOR 88/888 to pay a fixed rate of interest of 3.175% per annum on the amortized notional value of $5.5 million and receive a variable interest rate based on LIBOR on the amortized notional value; and</w:t>
      </w:r>
    </w:p>
    <w:p>
      <w:pPr>
        <w:spacing w:after="0" w:line="65" w:lineRule="exact"/>
        <w:rPr>
          <w:rFonts w:ascii="Arial" w:cs="Arial" w:eastAsia="Arial" w:hAnsi="Arial"/>
          <w:sz w:val="21"/>
          <w:szCs w:val="21"/>
          <w:color w:val="auto"/>
        </w:rPr>
      </w:pPr>
    </w:p>
    <w:p>
      <w:pPr>
        <w:jc w:val="both"/>
        <w:ind w:left="1260" w:hanging="510"/>
        <w:spacing w:after="0" w:line="287" w:lineRule="auto"/>
        <w:tabs>
          <w:tab w:leader="none" w:pos="12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Mantenimiento Express Maritimo, S.A.P.I. de C.V. (“MexMar”), in which the Company has a 49% noncontrolling interest, has five interest rate swap agreements with maturities in 2023 that call for MexMar to pay fixed rates of interest ranging from 1.71% to 2.10% per annum on the aggregate amortized notional value of $65.9 million and receive a variable interest rate based on LIBOR on the aggregate amortized notional value.</w:t>
      </w:r>
    </w:p>
    <w:p>
      <w:pPr>
        <w:spacing w:after="0" w:line="102" w:lineRule="exact"/>
        <w:rPr>
          <w:sz w:val="20"/>
          <w:szCs w:val="20"/>
          <w:color w:val="auto"/>
        </w:rPr>
      </w:pPr>
    </w:p>
    <w:p>
      <w:pPr>
        <w:ind w:right="20" w:firstLine="749"/>
        <w:spacing w:after="0" w:line="328" w:lineRule="auto"/>
        <w:rPr>
          <w:sz w:val="20"/>
          <w:szCs w:val="20"/>
          <w:color w:val="auto"/>
        </w:rPr>
      </w:pPr>
      <w:r>
        <w:rPr>
          <w:rFonts w:ascii="Arial" w:cs="Arial" w:eastAsia="Arial" w:hAnsi="Arial"/>
          <w:sz w:val="19"/>
          <w:szCs w:val="19"/>
          <w:b w:val="1"/>
          <w:bCs w:val="1"/>
          <w:i w:val="1"/>
          <w:iCs w:val="1"/>
          <w:color w:val="auto"/>
        </w:rPr>
        <w:t xml:space="preserve">Other Derivative Instruments. </w:t>
      </w:r>
      <w:r>
        <w:rPr>
          <w:rFonts w:ascii="Arial" w:cs="Arial" w:eastAsia="Arial" w:hAnsi="Arial"/>
          <w:sz w:val="19"/>
          <w:szCs w:val="19"/>
          <w:color w:val="auto"/>
        </w:rPr>
        <w:t>The Company recognized gains (losses) on derivative instruments not designated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hedging instruments for the three months ended March 31, 2021 and March 31, 2020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92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700" w:type="dxa"/>
            <w:vAlign w:val="bottom"/>
            <w:tcBorders>
              <w:bottom w:val="single" w:sz="8" w:color="CFF0FC"/>
            </w:tcBorders>
          </w:tcPr>
          <w:p>
            <w:pPr>
              <w:spacing w:after="0"/>
              <w:rPr>
                <w:sz w:val="18"/>
                <w:szCs w:val="18"/>
                <w:color w:val="auto"/>
              </w:rPr>
            </w:pPr>
          </w:p>
        </w:tc>
        <w:tc>
          <w:tcPr>
            <w:tcW w:w="202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2"/>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3140" w:type="dxa"/>
            <w:vAlign w:val="bottom"/>
            <w:gridSpan w:val="2"/>
            <w:shd w:val="clear" w:color="auto" w:fill="CFF0FC"/>
          </w:tcPr>
          <w:p>
            <w:pPr>
              <w:jc w:val="right"/>
              <w:ind w:right="959"/>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(35)</w:t>
            </w:r>
          </w:p>
        </w:tc>
        <w:tc>
          <w:tcPr>
            <w:tcW w:w="1200" w:type="dxa"/>
            <w:vAlign w:val="bottom"/>
            <w:gridSpan w:val="2"/>
            <w:shd w:val="clear" w:color="auto" w:fill="CFF0FC"/>
          </w:tcPr>
          <w:p>
            <w:pPr>
              <w:jc w:val="right"/>
              <w:ind w:right="9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5,114</w:t>
            </w:r>
          </w:p>
        </w:tc>
        <w:tc>
          <w:tcPr>
            <w:tcW w:w="120" w:type="dxa"/>
            <w:vAlign w:val="bottom"/>
            <w:shd w:val="clear" w:color="auto" w:fill="CFF0FC"/>
          </w:tcPr>
          <w:p>
            <w:pPr>
              <w:spacing w:after="0"/>
              <w:rPr>
                <w:sz w:val="18"/>
                <w:szCs w:val="18"/>
                <w:color w:val="auto"/>
              </w:rPr>
            </w:pPr>
          </w:p>
        </w:tc>
      </w:tr>
      <w:tr>
        <w:trPr>
          <w:trHeight w:val="213"/>
        </w:trPr>
        <w:tc>
          <w:tcPr>
            <w:tcW w:w="5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Forward currency exchange, option, and future contracts</w:t>
            </w:r>
          </w:p>
        </w:tc>
        <w:tc>
          <w:tcPr>
            <w:tcW w:w="202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r>
      <w:tr>
        <w:trPr>
          <w:trHeight w:val="210"/>
        </w:trPr>
        <w:tc>
          <w:tcPr>
            <w:tcW w:w="5700" w:type="dxa"/>
            <w:vAlign w:val="bottom"/>
            <w:shd w:val="clear" w:color="auto" w:fill="CFF0FC"/>
          </w:tcPr>
          <w:p>
            <w:pPr>
              <w:spacing w:after="0"/>
              <w:rPr>
                <w:sz w:val="18"/>
                <w:szCs w:val="18"/>
                <w:color w:val="auto"/>
              </w:rPr>
            </w:pPr>
          </w:p>
        </w:tc>
        <w:tc>
          <w:tcPr>
            <w:tcW w:w="3140" w:type="dxa"/>
            <w:vAlign w:val="bottom"/>
            <w:gridSpan w:val="2"/>
            <w:shd w:val="clear" w:color="auto" w:fill="CFF0FC"/>
          </w:tcPr>
          <w:p>
            <w:pPr>
              <w:jc w:val="right"/>
              <w:ind w:right="9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9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5,114</w:t>
            </w:r>
          </w:p>
        </w:tc>
        <w:tc>
          <w:tcPr>
            <w:tcW w:w="120" w:type="dxa"/>
            <w:vAlign w:val="bottom"/>
            <w:shd w:val="clear" w:color="auto" w:fill="CFF0FC"/>
          </w:tcPr>
          <w:p>
            <w:pPr>
              <w:spacing w:after="0"/>
              <w:rPr>
                <w:sz w:val="18"/>
                <w:szCs w:val="18"/>
                <w:color w:val="auto"/>
              </w:rPr>
            </w:pP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The conversion option liability relates to the bifurcated embedded conversion option in the Convertible Senior Notes issued to investment funds managed and controlled by The Carlyle Group (see “Note 8. Fair Value Measurements”).</w:t>
      </w:r>
    </w:p>
    <w:p>
      <w:pPr>
        <w:spacing w:after="0" w:line="99" w:lineRule="exact"/>
        <w:rPr>
          <w:sz w:val="20"/>
          <w:szCs w:val="20"/>
          <w:color w:val="auto"/>
        </w:rPr>
      </w:pPr>
    </w:p>
    <w:p>
      <w:pPr>
        <w:ind w:left="760" w:hanging="752"/>
        <w:spacing w:after="0"/>
        <w:tabs>
          <w:tab w:leader="none" w:pos="7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FAIR VALUE MEASUREMENTS</w:t>
      </w:r>
    </w:p>
    <w:p>
      <w:pPr>
        <w:spacing w:after="0" w:line="185"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22"/>
          <w:szCs w:val="22"/>
          <w:i w:val="1"/>
          <w:iCs w:val="1"/>
          <w:color w:val="auto"/>
        </w:rPr>
        <w:t>Level</w:t>
      </w:r>
      <w:r>
        <w:rPr>
          <w:rFonts w:ascii="Arial" w:cs="Arial" w:eastAsia="Arial" w:hAnsi="Arial"/>
          <w:sz w:val="22"/>
          <w:szCs w:val="22"/>
          <w:color w:val="auto"/>
        </w:rPr>
        <w:t xml:space="preserve"> 1 inputs are quoted prices in active markets for identical assets or liabilities. </w:t>
      </w:r>
      <w:r>
        <w:rPr>
          <w:rFonts w:ascii="Arial" w:cs="Arial" w:eastAsia="Arial" w:hAnsi="Arial"/>
          <w:sz w:val="22"/>
          <w:szCs w:val="22"/>
          <w:i w:val="1"/>
          <w:iCs w:val="1"/>
          <w:color w:val="auto"/>
        </w:rPr>
        <w:t>Level</w:t>
      </w:r>
      <w:r>
        <w:rPr>
          <w:rFonts w:ascii="Arial" w:cs="Arial" w:eastAsia="Arial" w:hAnsi="Arial"/>
          <w:sz w:val="22"/>
          <w:szCs w:val="22"/>
          <w:color w:val="auto"/>
        </w:rPr>
        <w:t xml:space="preserve"> 2 inputs are observable inputs other than quoted prices included in </w:t>
      </w:r>
      <w:r>
        <w:rPr>
          <w:rFonts w:ascii="Arial" w:cs="Arial" w:eastAsia="Arial" w:hAnsi="Arial"/>
          <w:sz w:val="22"/>
          <w:szCs w:val="22"/>
          <w:i w:val="1"/>
          <w:iCs w:val="1"/>
          <w:color w:val="auto"/>
        </w:rPr>
        <w:t>Level</w:t>
      </w:r>
      <w:r>
        <w:rPr>
          <w:rFonts w:ascii="Arial" w:cs="Arial" w:eastAsia="Arial" w:hAnsi="Arial"/>
          <w:sz w:val="22"/>
          <w:szCs w:val="22"/>
          <w:color w:val="auto"/>
        </w:rPr>
        <w:t xml:space="preserve"> 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22"/>
          <w:szCs w:val="22"/>
          <w:i w:val="1"/>
          <w:iCs w:val="1"/>
          <w:color w:val="auto"/>
        </w:rPr>
        <w:t>Level</w:t>
      </w:r>
      <w:r>
        <w:rPr>
          <w:rFonts w:ascii="Arial" w:cs="Arial" w:eastAsia="Arial" w:hAnsi="Arial"/>
          <w:sz w:val="22"/>
          <w:szCs w:val="22"/>
          <w:color w:val="auto"/>
        </w:rPr>
        <w:t xml:space="preserve"> 3 inputs are unobservable inputs that are supported by little or no market activity and are significant to the fair value of the assets or liabilities.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both"/>
        <w:ind w:right="20" w:firstLine="749"/>
        <w:spacing w:after="0" w:line="250" w:lineRule="auto"/>
        <w:rPr>
          <w:sz w:val="20"/>
          <w:szCs w:val="20"/>
          <w:color w:val="auto"/>
        </w:rPr>
      </w:pPr>
      <w:r>
        <w:rPr>
          <w:rFonts w:ascii="Arial" w:cs="Arial" w:eastAsia="Arial" w:hAnsi="Arial"/>
          <w:sz w:val="22"/>
          <w:szCs w:val="22"/>
          <w:color w:val="auto"/>
        </w:rPr>
        <w:t>The Company’s financial assets and liabilities as of March 31, 2021 and December 31, 2020 that are measured at fair value on a recurring basis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20"/>
                <w:szCs w:val="20"/>
                <w:color w:val="auto"/>
              </w:rPr>
            </w:pPr>
            <w:r>
              <w:rPr>
                <w:rFonts w:ascii="Arial" w:cs="Arial" w:eastAsia="Arial" w:hAnsi="Arial"/>
                <w:sz w:val="16"/>
                <w:szCs w:val="16"/>
                <w:b w:val="1"/>
                <w:bCs w:val="1"/>
                <w:color w:val="auto"/>
              </w:rPr>
              <w:t>March 31, 2021</w:t>
            </w:r>
          </w:p>
        </w:tc>
        <w:tc>
          <w:tcPr>
            <w:tcW w:w="140" w:type="dxa"/>
            <w:vAlign w:val="bottom"/>
          </w:tcPr>
          <w:p>
            <w:pPr>
              <w:spacing w:after="0"/>
              <w:rPr>
                <w:sz w:val="18"/>
                <w:szCs w:val="18"/>
                <w:color w:val="auto"/>
              </w:rPr>
            </w:pPr>
          </w:p>
        </w:tc>
        <w:tc>
          <w:tcPr>
            <w:tcW w:w="1560" w:type="dxa"/>
            <w:vAlign w:val="bottom"/>
            <w:gridSpan w:val="2"/>
          </w:tcPr>
          <w:p>
            <w:pPr>
              <w:ind w:left="400"/>
              <w:spacing w:after="0"/>
              <w:rPr>
                <w:sz w:val="20"/>
                <w:szCs w:val="20"/>
                <w:color w:val="auto"/>
              </w:rPr>
            </w:pPr>
            <w:r>
              <w:rPr>
                <w:rFonts w:ascii="Arial" w:cs="Arial" w:eastAsia="Arial" w:hAnsi="Arial"/>
                <w:sz w:val="16"/>
                <w:szCs w:val="16"/>
                <w:b w:val="1"/>
                <w:bCs w:val="1"/>
                <w:color w:val="auto"/>
              </w:rPr>
              <w:t>Level 1</w:t>
            </w: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Level 2</w:t>
            </w:r>
          </w:p>
        </w:tc>
        <w:tc>
          <w:tcPr>
            <w:tcW w:w="1440" w:type="dxa"/>
            <w:vAlign w:val="bottom"/>
            <w:gridSpan w:val="2"/>
          </w:tcPr>
          <w:p>
            <w:pPr>
              <w:ind w:left="420"/>
              <w:spacing w:after="0"/>
              <w:rPr>
                <w:sz w:val="20"/>
                <w:szCs w:val="20"/>
                <w:color w:val="auto"/>
              </w:rPr>
            </w:pPr>
            <w:r>
              <w:rPr>
                <w:rFonts w:ascii="Arial" w:cs="Arial" w:eastAsia="Arial" w:hAnsi="Arial"/>
                <w:sz w:val="16"/>
                <w:szCs w:val="16"/>
                <w:b w:val="1"/>
                <w:bCs w:val="1"/>
                <w:color w:val="auto"/>
              </w:rPr>
              <w:t>Level 3</w:t>
            </w:r>
          </w:p>
        </w:tc>
      </w:tr>
      <w:tr>
        <w:trPr>
          <w:trHeight w:val="212"/>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156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3,156</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114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19"/>
                <w:szCs w:val="19"/>
                <w:color w:val="auto"/>
              </w:rPr>
            </w:pPr>
          </w:p>
        </w:tc>
      </w:tr>
      <w:tr>
        <w:trPr>
          <w:trHeight w:val="213"/>
        </w:trPr>
        <w:tc>
          <w:tcPr>
            <w:tcW w:w="6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2"/>
        </w:trPr>
        <w:tc>
          <w:tcPr>
            <w:tcW w:w="6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156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4,591</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114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9"/>
                <w:szCs w:val="19"/>
                <w:color w:val="auto"/>
              </w:rPr>
            </w:pPr>
          </w:p>
        </w:tc>
      </w:tr>
    </w:tbl>
    <w:p>
      <w:pPr>
        <w:spacing w:after="0" w:line="18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Level </w:t>
      </w:r>
      <w:r>
        <w:rPr>
          <w:rFonts w:ascii="Arial" w:cs="Arial" w:eastAsia="Arial" w:hAnsi="Arial"/>
          <w:sz w:val="21"/>
          <w:szCs w:val="21"/>
          <w:b w:val="1"/>
          <w:bCs w:val="1"/>
          <w:color w:val="auto"/>
        </w:rPr>
        <w:t>3</w:t>
      </w:r>
      <w:r>
        <w:rPr>
          <w:rFonts w:ascii="Arial" w:cs="Arial" w:eastAsia="Arial" w:hAnsi="Arial"/>
          <w:sz w:val="21"/>
          <w:szCs w:val="21"/>
          <w:b w:val="1"/>
          <w:bCs w:val="1"/>
          <w:i w:val="1"/>
          <w:iCs w:val="1"/>
          <w:color w:val="auto"/>
        </w:rPr>
        <w:t xml:space="preserve"> Measurement</w:t>
      </w:r>
      <w:r>
        <w:rPr>
          <w:rFonts w:ascii="Arial" w:cs="Arial" w:eastAsia="Arial" w:hAnsi="Arial"/>
          <w:sz w:val="21"/>
          <w:szCs w:val="21"/>
          <w:color w:val="auto"/>
        </w:rPr>
        <w:t>. The fair value of the conversion option liability embedded in the Convertible Senior Notes 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estimated with significant inputs that are both observable and unobservable in the market and therefore is considered a </w:t>
      </w:r>
      <w:r>
        <w:rPr>
          <w:rFonts w:ascii="Arial" w:cs="Arial" w:eastAsia="Arial" w:hAnsi="Arial"/>
          <w:sz w:val="21"/>
          <w:szCs w:val="21"/>
          <w:i w:val="1"/>
          <w:iCs w:val="1"/>
          <w:color w:val="auto"/>
        </w:rPr>
        <w:t>Level</w:t>
      </w:r>
      <w:r>
        <w:rPr>
          <w:rFonts w:ascii="Arial" w:cs="Arial" w:eastAsia="Arial" w:hAnsi="Arial"/>
          <w:sz w:val="21"/>
          <w:szCs w:val="21"/>
          <w:color w:val="auto"/>
        </w:rPr>
        <w:t xml:space="preserve"> 3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risk-free interest rate. The significant unobservable inputs are the estimated Company credit spread and Common Stock volatility, which were based on comparable companies in the transportation and energy industries.</w:t>
      </w:r>
    </w:p>
    <w:p>
      <w:pPr>
        <w:spacing w:after="0" w:line="154"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estimated fair values of the Company’s other financial assets and liabilities as of March 31, 2021 and December 31, 2020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Estimated Fair Value</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March 31,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5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71,761</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71,761</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680"/>
              <w:spacing w:after="0"/>
              <w:rPr>
                <w:sz w:val="20"/>
                <w:szCs w:val="20"/>
                <w:color w:val="auto"/>
              </w:rPr>
            </w:pPr>
            <w:r>
              <w:rPr>
                <w:rFonts w:ascii="Arial" w:cs="Arial" w:eastAsia="Arial" w:hAnsi="Arial"/>
                <w:sz w:val="16"/>
                <w:szCs w:val="16"/>
                <w:color w:val="auto"/>
              </w:rPr>
              <w:t>—</w:t>
            </w: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color w:val="auto"/>
              </w:rPr>
              <w:t>Long-term debt, including current portion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466,737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472,088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6"/>
                <w:szCs w:val="16"/>
                <w:color w:val="auto"/>
              </w:rPr>
              <w:t>—</w:t>
            </w:r>
          </w:p>
        </w:tc>
      </w:tr>
      <w:tr>
        <w:trPr>
          <w:trHeight w:val="219"/>
        </w:trPr>
        <w:tc>
          <w:tcPr>
            <w:tcW w:w="5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36,018</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36,018</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Long-term debt, including current portion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472,887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470,561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r>
    </w:tbl>
    <w:p>
      <w:pPr>
        <w:spacing w:after="0" w:line="19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Considerable judgment was required in developing certain of the estimates of fair value including the consideration of the recent COVID-19 pandemic that has caused significant volatility in U.S. and international markets, and, accordingly, the estimates presented herein are not necessarily indicative of the amounts that the Company could realize in a current market exchange.</w:t>
      </w:r>
    </w:p>
    <w:p>
      <w:pPr>
        <w:spacing w:after="0" w:line="147"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Company’s other assets and liabilities that were measured at fair value during the three months ended March 31, 2021 and the year ended December 31, 2020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20"/>
                <w:szCs w:val="20"/>
                <w:color w:val="auto"/>
              </w:rPr>
            </w:pPr>
            <w:r>
              <w:rPr>
                <w:rFonts w:ascii="Arial" w:cs="Arial" w:eastAsia="Arial" w:hAnsi="Arial"/>
                <w:sz w:val="16"/>
                <w:szCs w:val="16"/>
                <w:b w:val="1"/>
                <w:bCs w:val="1"/>
                <w:color w:val="auto"/>
              </w:rPr>
              <w:t>March 31, 2021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ind w:left="160"/>
              <w:spacing w:after="0"/>
              <w:rPr>
                <w:sz w:val="20"/>
                <w:szCs w:val="20"/>
                <w:color w:val="auto"/>
              </w:rPr>
            </w:pPr>
            <w:r>
              <w:rPr>
                <w:rFonts w:ascii="Arial" w:cs="Arial" w:eastAsia="Arial" w:hAnsi="Arial"/>
                <w:sz w:val="16"/>
                <w:szCs w:val="16"/>
                <w:b w:val="1"/>
                <w:bCs w:val="1"/>
                <w:color w:val="auto"/>
              </w:rPr>
              <w:t>Level 1</w:t>
            </w:r>
          </w:p>
        </w:tc>
        <w:tc>
          <w:tcPr>
            <w:tcW w:w="1580" w:type="dxa"/>
            <w:vAlign w:val="bottom"/>
            <w:gridSpan w:val="3"/>
          </w:tcPr>
          <w:p>
            <w:pPr>
              <w:ind w:left="160"/>
              <w:spacing w:after="0"/>
              <w:rPr>
                <w:sz w:val="20"/>
                <w:szCs w:val="20"/>
                <w:color w:val="auto"/>
              </w:rPr>
            </w:pPr>
            <w:r>
              <w:rPr>
                <w:rFonts w:ascii="Arial" w:cs="Arial" w:eastAsia="Arial" w:hAnsi="Arial"/>
                <w:sz w:val="16"/>
                <w:szCs w:val="16"/>
                <w:b w:val="1"/>
                <w:bCs w:val="1"/>
                <w:color w:val="auto"/>
              </w:rPr>
              <w:t>Level 2</w:t>
            </w: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Liftboats</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580" w:type="dxa"/>
            <w:vAlign w:val="bottom"/>
            <w:gridSpan w:val="3"/>
            <w:shd w:val="clear" w:color="auto" w:fill="CFF0FC"/>
          </w:tcPr>
          <w:p>
            <w:pPr>
              <w:ind w:left="900"/>
              <w:spacing w:after="0"/>
              <w:rPr>
                <w:sz w:val="20"/>
                <w:szCs w:val="20"/>
                <w:color w:val="auto"/>
              </w:rPr>
            </w:pPr>
            <w:r>
              <w:rPr>
                <w:rFonts w:ascii="Arial" w:cs="Arial" w:eastAsia="Arial" w:hAnsi="Arial"/>
                <w:sz w:val="16"/>
                <w:szCs w:val="16"/>
                <w:color w:val="auto"/>
              </w:rPr>
              <w:t>—    $</w:t>
            </w:r>
          </w:p>
        </w:tc>
        <w:tc>
          <w:tcPr>
            <w:tcW w:w="1580" w:type="dxa"/>
            <w:vAlign w:val="bottom"/>
            <w:gridSpan w:val="3"/>
            <w:shd w:val="clear" w:color="auto" w:fill="CFF0FC"/>
          </w:tcPr>
          <w:p>
            <w:pPr>
              <w:ind w:left="900"/>
              <w:spacing w:after="0"/>
              <w:rPr>
                <w:sz w:val="20"/>
                <w:szCs w:val="20"/>
                <w:color w:val="auto"/>
              </w:rPr>
            </w:pPr>
            <w:r>
              <w:rPr>
                <w:rFonts w:ascii="Arial" w:cs="Arial" w:eastAsia="Arial" w:hAnsi="Arial"/>
                <w:sz w:val="16"/>
                <w:szCs w:val="16"/>
                <w:color w:val="auto"/>
              </w:rPr>
              <w:t>—    $</w:t>
            </w:r>
          </w:p>
        </w:tc>
        <w:tc>
          <w:tcPr>
            <w:tcW w:w="1180" w:type="dxa"/>
            <w:vAlign w:val="bottom"/>
            <w:gridSpan w:val="2"/>
            <w:shd w:val="clear" w:color="auto" w:fill="CFF0FC"/>
          </w:tcPr>
          <w:p>
            <w:pPr>
              <w:ind w:left="900"/>
              <w:spacing w:after="0"/>
              <w:rPr>
                <w:sz w:val="20"/>
                <w:szCs w:val="20"/>
                <w:color w:val="auto"/>
              </w:rPr>
            </w:pPr>
            <w:r>
              <w:rPr>
                <w:rFonts w:ascii="Arial" w:cs="Arial" w:eastAsia="Arial" w:hAnsi="Arial"/>
                <w:sz w:val="16"/>
                <w:szCs w:val="16"/>
                <w:color w:val="auto"/>
              </w:rPr>
              <w:t>—</w:t>
            </w:r>
          </w:p>
        </w:tc>
      </w:tr>
      <w:tr>
        <w:trPr>
          <w:trHeight w:val="213"/>
        </w:trPr>
        <w:tc>
          <w:tcPr>
            <w:tcW w:w="6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2"/>
        </w:trPr>
        <w:tc>
          <w:tcPr>
            <w:tcW w:w="6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Liftboats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ind w:left="9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43,005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90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294"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type w:val="continuous"/>
        </w:sectPr>
      </w:pPr>
    </w:p>
    <w:bookmarkStart w:id="18" w:name="page19"/>
    <w:bookmarkEnd w:id="18"/>
    <w:p>
      <w:pPr>
        <w:jc w:val="both"/>
        <w:ind w:firstLine="749"/>
        <w:spacing w:after="0"/>
        <w:rPr>
          <w:sz w:val="20"/>
          <w:szCs w:val="20"/>
          <w:color w:val="auto"/>
        </w:rPr>
      </w:pPr>
      <w:r>
        <w:rPr>
          <w:rFonts w:ascii="Arial" w:cs="Arial" w:eastAsia="Arial" w:hAnsi="Arial"/>
          <w:sz w:val="22"/>
          <w:szCs w:val="22"/>
          <w:b w:val="1"/>
          <w:bCs w:val="1"/>
          <w:i w:val="1"/>
          <w:iCs w:val="1"/>
          <w:color w:val="auto"/>
        </w:rPr>
        <w:t>Property and equipment</w:t>
      </w:r>
      <w:r>
        <w:rPr>
          <w:rFonts w:ascii="Arial" w:cs="Arial" w:eastAsia="Arial" w:hAnsi="Arial"/>
          <w:sz w:val="22"/>
          <w:szCs w:val="22"/>
          <w:color w:val="auto"/>
        </w:rPr>
        <w:t>. During the three months ended March 31, 2021, the Company recognized no impairment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charges. As of December 31, 2020 the </w:t>
      </w:r>
      <w:r>
        <w:rPr>
          <w:rFonts w:ascii="Arial" w:cs="Arial" w:eastAsia="Arial" w:hAnsi="Arial"/>
          <w:sz w:val="22"/>
          <w:szCs w:val="22"/>
          <w:i w:val="1"/>
          <w:iCs w:val="1"/>
          <w:color w:val="auto"/>
        </w:rPr>
        <w:t>Level 2</w:t>
      </w:r>
      <w:r>
        <w:rPr>
          <w:rFonts w:ascii="Arial" w:cs="Arial" w:eastAsia="Arial" w:hAnsi="Arial"/>
          <w:sz w:val="22"/>
          <w:szCs w:val="22"/>
          <w:color w:val="auto"/>
        </w:rPr>
        <w:t xml:space="preserve"> fair values were determined based on ordinary liquidation value and indicative sales price.</w:t>
      </w:r>
    </w:p>
    <w:p>
      <w:pPr>
        <w:spacing w:after="0" w:line="180"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17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As of March 31, 2021, the Company’s unfunded capital commitments were $10.1 million for one PSV and miscellaneous vessel equipment. Of the amount of unfunded capital commitments, $9.2 million is payable during the remainder of 2021 and $0.9 million is payable during 2022. The Company has indefinitely deferred an additional $9.5 million of orders with respect to one FSV that the Company had previously reported in unfunded capital commitments.</w:t>
      </w:r>
    </w:p>
    <w:p>
      <w:pPr>
        <w:spacing w:after="0" w:line="147"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In December 2015, the Brazilian Federal Revenue Office issued a tax-deficiency notice to Seabulk Offshore do Brasil Ltda, an indirect wholly-owned subsidiary of SEACOR Marine (“Seabulk Offshore do Brasil”), with respect to certain profit participation contributions (also known as “PIS”) and social security financing contributions (also known as “COFINS”) requirements alleged to be due from Seabulk Offshore do Brasil (“Deficiency Notice”) in respect of the period of January 2011 until December 2012. In January 2016, the Company administratively appealed the Deficiency Notice on the basis that, among other arguments, (i) such contributions were not applicable in the circumstances of a 70%/30% cost allocation structure, and (ii) the tax inspector had incorrectly determined that values received from outside of Brazil could not be classified as expense refunds. The initial appeal was dismissed by the Brazilian Federal Revenue Office and the Company appealed such dismissal and is currently awaiting an administrative trial. Recently, a local Brazilian law was enacted that 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 cannot be assured and the matter may need to be addressed through judicial court proceedings. The potential levy arising from the Deficiency Notice is R$18.35 million based on a historical potential levy of R$12.87 million (USD $3.2 million and USD $2.2 million, respectively, based on the exchange rate as of March 31, 2021).</w:t>
      </w:r>
    </w:p>
    <w:p>
      <w:pPr>
        <w:spacing w:after="0" w:line="12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As of March 31, 2021, SEACOR Holdings has guaranteed $4.8 million on behalf of the Company for performance obligations under sale-leaseback arrangements. Pursuant to a Distribution Agreement entered time with SEACOR Holdings at the time of the Spin-Off, SEACOR Holdings charges the Company a fee of 0.5% per annum on outstanding guaranteed amounts which declines as the obligations are settled by the Company.</w:t>
      </w:r>
    </w:p>
    <w:p>
      <w:pPr>
        <w:spacing w:after="0" w:line="144"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On April 13, 2021, the SEACOR Power, a liftboat owned by a subsidiary of the Company with nineteen individuals on board, capsized off the coast of Port Fourchon, Louisiana. The incident resulted in the death of several crew members, including the captain of the vessel, and several crew members remain missing. The accident also resulted in the constructive total loss of the SEACOR Power. The Company is responsible for the salvage operations related to the vessel and must coordinate with the U.S. Coast Guard in connection with the removal of the vessel, including the safe removal of fuel and oil, from the water.</w:t>
      </w:r>
    </w:p>
    <w:p>
      <w:pPr>
        <w:spacing w:after="0" w:line="12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The capsizing of the SEACOR Power has garnered significant attention from the media as well as local, state and federal politicians. The National Transportation Safety Board (“NTSB”) and the U.S. Coast Guard are currently investigating the incident to determine the cause of the accident and the Company is fully cooperating with the investigation in all respects and continues to gather information about the incident. It is expected that the joint NTSB and U.S. Coast Guard investigation will take a significant period of time to complete, possibly as long as two years or longer. Several civil lawsuits have also been filed against the Company and other third parties by the family members of deceased crew members employed by the Company or by the third parties. There is significant uncertainty in the amount and timing of costs and potential liabilities relating to the accident involving the SEACOR Power, the impact the incident will have on the Company’s reputation and the resulting possible impact on the Company’s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9" w:name="page20"/>
    <w:bookmarkEnd w:id="19"/>
    <w:p>
      <w:pPr>
        <w:jc w:val="both"/>
        <w:ind w:firstLine="749"/>
        <w:spacing w:after="0" w:line="235" w:lineRule="auto"/>
        <w:rPr>
          <w:sz w:val="20"/>
          <w:szCs w:val="20"/>
          <w:color w:val="auto"/>
        </w:rPr>
      </w:pPr>
      <w:r>
        <w:rPr>
          <w:rFonts w:ascii="Arial" w:cs="Arial" w:eastAsia="Arial" w:hAnsi="Arial"/>
          <w:sz w:val="22"/>
          <w:szCs w:val="22"/>
          <w:color w:val="auto"/>
        </w:rPr>
        <w:t>In the normal course of its business, the Company becomes involved in various other litigation matters including, among others,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55" w:lineRule="exact"/>
        <w:rPr>
          <w:sz w:val="20"/>
          <w:szCs w:val="20"/>
          <w:color w:val="auto"/>
        </w:rPr>
      </w:pPr>
    </w:p>
    <w:p>
      <w:pPr>
        <w:ind w:left="760" w:hanging="752"/>
        <w:spacing w:after="0"/>
        <w:tabs>
          <w:tab w:leader="none" w:pos="7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STOCK BASED COMPENSATION</w:t>
      </w:r>
    </w:p>
    <w:p>
      <w:pPr>
        <w:spacing w:after="0" w:line="17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Transactions in connection with the Company’s Equity Incentive Plans during the three months ended March 31, 2021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Restricted Stock Activity:</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Outstanding as of December 31, 2020</w:t>
            </w:r>
          </w:p>
        </w:tc>
        <w:tc>
          <w:tcPr>
            <w:tcW w:w="1880" w:type="dxa"/>
            <w:vAlign w:val="bottom"/>
          </w:tcPr>
          <w:p>
            <w:pPr>
              <w:jc w:val="right"/>
              <w:spacing w:after="0"/>
              <w:rPr>
                <w:sz w:val="20"/>
                <w:szCs w:val="20"/>
                <w:color w:val="auto"/>
              </w:rPr>
            </w:pPr>
            <w:r>
              <w:rPr>
                <w:rFonts w:ascii="Arial" w:cs="Arial" w:eastAsia="Arial" w:hAnsi="Arial"/>
                <w:sz w:val="16"/>
                <w:szCs w:val="16"/>
                <w:color w:val="auto"/>
              </w:rPr>
              <w:t>436,714</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Granted </w:t>
            </w:r>
            <w:r>
              <w:rPr>
                <w:rFonts w:ascii="Arial" w:cs="Arial" w:eastAsia="Arial" w:hAnsi="Arial"/>
                <w:sz w:val="25"/>
                <w:szCs w:val="25"/>
                <w:color w:val="auto"/>
                <w:vertAlign w:val="superscript"/>
              </w:rPr>
              <w:t>(1)</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815,550</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Vested</w:t>
            </w:r>
          </w:p>
        </w:tc>
        <w:tc>
          <w:tcPr>
            <w:tcW w:w="1980" w:type="dxa"/>
            <w:vAlign w:val="bottom"/>
            <w:gridSpan w:val="2"/>
          </w:tcPr>
          <w:p>
            <w:pPr>
              <w:jc w:val="right"/>
              <w:ind w:right="60"/>
              <w:spacing w:after="0"/>
              <w:rPr>
                <w:sz w:val="20"/>
                <w:szCs w:val="20"/>
                <w:color w:val="auto"/>
              </w:rPr>
            </w:pPr>
            <w:r>
              <w:rPr>
                <w:rFonts w:ascii="Arial" w:cs="Arial" w:eastAsia="Arial" w:hAnsi="Arial"/>
                <w:sz w:val="16"/>
                <w:szCs w:val="16"/>
                <w:color w:val="auto"/>
              </w:rPr>
              <w:t>(193,187)</w:t>
            </w: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Forfeited</w:t>
            </w: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47"/>
        </w:trPr>
        <w:tc>
          <w:tcPr>
            <w:tcW w:w="9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Outstanding as of March 31, 2021</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1,059,077</w:t>
            </w:r>
          </w:p>
        </w:tc>
        <w:tc>
          <w:tcPr>
            <w:tcW w:w="100" w:type="dxa"/>
            <w:vAlign w:val="bottom"/>
            <w:tcBorders>
              <w:bottom w:val="single" w:sz="8" w:color="CFF0FC"/>
            </w:tcBorders>
          </w:tcPr>
          <w:p>
            <w:pPr>
              <w:spacing w:after="0"/>
              <w:rPr>
                <w:sz w:val="21"/>
                <w:szCs w:val="21"/>
                <w:color w:val="auto"/>
              </w:rPr>
            </w:pPr>
          </w:p>
        </w:tc>
      </w:tr>
      <w:tr>
        <w:trPr>
          <w:trHeight w:val="199"/>
        </w:trPr>
        <w:tc>
          <w:tcPr>
            <w:tcW w:w="92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b w:val="1"/>
                <w:bCs w:val="1"/>
                <w:color w:val="auto"/>
              </w:rPr>
              <w:t>Stock Option Activity:</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Outstanding as of December 31, 2020</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1,120,541</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Granted</w:t>
            </w:r>
          </w:p>
        </w:tc>
        <w:tc>
          <w:tcPr>
            <w:tcW w:w="1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Forfeited</w:t>
            </w:r>
          </w:p>
        </w:tc>
        <w:tc>
          <w:tcPr>
            <w:tcW w:w="1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0"/>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as of March 31, 2021</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1,120,541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840" w:hanging="832"/>
        <w:spacing w:after="0"/>
        <w:tabs>
          <w:tab w:leader="none" w:pos="840" w:val="left"/>
        </w:tabs>
        <w:numPr>
          <w:ilvl w:val="0"/>
          <w:numId w:val="18"/>
        </w:numPr>
        <w:rPr>
          <w:rFonts w:ascii="Arial" w:cs="Arial" w:eastAsia="Arial" w:hAnsi="Arial"/>
          <w:sz w:val="15"/>
          <w:szCs w:val="15"/>
          <w:color w:val="auto"/>
        </w:rPr>
      </w:pPr>
      <w:r>
        <w:rPr>
          <w:rFonts w:ascii="Arial" w:cs="Arial" w:eastAsia="Arial" w:hAnsi="Arial"/>
          <w:sz w:val="14"/>
          <w:szCs w:val="14"/>
          <w:color w:val="auto"/>
        </w:rPr>
        <w:t>Excludes 157,455 grants of performance-based stock units that are not considered outstanding until such time that they become probable to vest.</w:t>
      </w:r>
    </w:p>
    <w:p>
      <w:pPr>
        <w:spacing w:after="0" w:line="13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the three months ended March 31, 2021, the Company acquired for treasury 51,933 shares of Common Stock from its employees to cover their tax withholding obligations upon the lapsing of restrictions on share awards for an aggregate purchase price of $0.3 million. These shares were purchased in accordance with the terms of the Company’s 2017 Equity Incentive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0" w:name="page21"/>
    <w:bookmarkEnd w:id="20"/>
    <w:p>
      <w:pPr>
        <w:ind w:left="920" w:hanging="912"/>
        <w:spacing w:after="0"/>
        <w:tabs>
          <w:tab w:leader="none" w:pos="92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SEGMENT INFORMATION</w:t>
      </w:r>
    </w:p>
    <w:p>
      <w:pPr>
        <w:spacing w:after="0" w:line="17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The Company’s segment presentation and basis of measurement of segment profit or loss are as previously described in the 2020 Annual Report. Certain reclassifications of prior period information have been made to conform the current period’s reportable segment presentation as a result of the Company’s presentation of Discontinued Operations (see “Note 12. Discontinued Operations”). In prior periods Africa and Europe were reported as separate segments. Due to the sale of Windcat Workboats, the Company’s European operations are no longer analyzed by the chief operating decision maker on a standalone basis but rather as part of the Africa segment. As a result, for purposes of segment reporting European operations are now combined with the Africa segment and reported as a combined segment and prior period information has been conformed to the new consolidated reporting segment. The following tables summarize the operating results, capital expenditures and assets of the Company’s reportable segments for the periods indicated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United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States</w:t>
            </w:r>
          </w:p>
        </w:tc>
        <w:tc>
          <w:tcPr>
            <w:tcW w:w="10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Africa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and Europe,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Gulf of</w:t>
            </w: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Continuing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East</w:t>
            </w:r>
          </w:p>
        </w:tc>
        <w:tc>
          <w:tcPr>
            <w:tcW w:w="16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Latin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1240" w:type="dxa"/>
            <w:vAlign w:val="bottom"/>
            <w:gridSpan w:val="3"/>
          </w:tcPr>
          <w:p>
            <w:pPr>
              <w:jc w:val="center"/>
              <w:ind w:right="160"/>
              <w:spacing w:after="0" w:line="217" w:lineRule="exact"/>
              <w:rPr>
                <w:sz w:val="20"/>
                <w:szCs w:val="20"/>
                <w:color w:val="auto"/>
              </w:rPr>
            </w:pPr>
            <w:r>
              <w:rPr>
                <w:rFonts w:ascii="Arial" w:cs="Arial" w:eastAsia="Arial" w:hAnsi="Arial"/>
                <w:sz w:val="16"/>
                <w:szCs w:val="16"/>
                <w:b w:val="1"/>
                <w:bCs w:val="1"/>
                <w:color w:val="auto"/>
                <w:w w:val="89"/>
              </w:rPr>
              <w:t xml:space="preserve">Operations </w:t>
            </w:r>
            <w:r>
              <w:rPr>
                <w:rFonts w:ascii="Arial" w:cs="Arial" w:eastAsia="Arial" w:hAnsi="Arial"/>
                <w:sz w:val="22"/>
                <w:szCs w:val="22"/>
                <w:b w:val="1"/>
                <w:bCs w:val="1"/>
                <w:color w:val="auto"/>
                <w:w w:val="89"/>
                <w:vertAlign w:val="superscript"/>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and Asia</w:t>
            </w: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America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March 31, 2021</w:t>
            </w:r>
          </w:p>
        </w:tc>
        <w:tc>
          <w:tcPr>
            <w:tcW w:w="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6"/>
                <w:szCs w:val="16"/>
                <w:color w:val="auto"/>
              </w:rPr>
              <w:t>Operating Revenues: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10,502</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9,724</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2,764</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10,233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12,935</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10,580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36,512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4,076</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6,299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9,582</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(1,312)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3,934</w:t>
            </w:r>
          </w:p>
        </w:tc>
        <w:tc>
          <w:tcPr>
            <w:tcW w:w="16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3,353</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4,230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8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664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356</w:t>
            </w:r>
          </w:p>
        </w:tc>
        <w:tc>
          <w:tcPr>
            <w:tcW w:w="16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4,164</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3,307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4,710</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2,617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8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(2,273)</w:t>
            </w: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vMerge w:val="continue"/>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(16,555)</w:t>
            </w: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2021</w:t>
            </w:r>
          </w:p>
        </w:tc>
        <w:tc>
          <w:tcPr>
            <w:tcW w:w="8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214,575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240,032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374,979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170,844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1,000,430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(128,841)</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(68,254)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(76,675)</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(24,022)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(297,792)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85,734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171,778</w:t>
            </w:r>
          </w:p>
        </w:tc>
        <w:tc>
          <w:tcPr>
            <w:tcW w:w="16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298,304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146,822</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702,638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vMerge w:val="restart"/>
            <w:shd w:val="clear" w:color="auto" w:fill="CFF0FC"/>
          </w:tcPr>
          <w:p>
            <w:pPr>
              <w:spacing w:after="0" w:line="246"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7"/>
                <w:szCs w:val="27"/>
                <w:color w:val="auto"/>
                <w:vertAlign w:val="superscript"/>
              </w:rPr>
              <w:t>(1)</w:t>
            </w: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98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125,479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189,370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301,381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215,408</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5"/>
          <w:szCs w:val="15"/>
          <w:color w:val="auto"/>
        </w:rPr>
      </w:pPr>
      <w:r>
        <w:rPr>
          <w:rFonts w:ascii="Arial" w:cs="Arial" w:eastAsia="Arial" w:hAnsi="Arial"/>
          <w:sz w:val="14"/>
          <w:szCs w:val="14"/>
          <w:color w:val="auto"/>
        </w:rPr>
        <w:t>Total assets by region does not include corporate assets of $142.2 million as of March 31, 2021</w:t>
      </w:r>
      <w:r>
        <w:rPr>
          <w:rFonts w:ascii="Arial" w:cs="Arial" w:eastAsia="Arial" w:hAnsi="Arial"/>
          <w:sz w:val="17"/>
          <w:szCs w:val="17"/>
          <w:color w:val="auto"/>
        </w:rPr>
        <w:t>.</w:t>
      </w:r>
    </w:p>
    <w:p>
      <w:pPr>
        <w:spacing w:after="0" w:line="33" w:lineRule="exact"/>
        <w:rPr>
          <w:rFonts w:ascii="Arial" w:cs="Arial" w:eastAsia="Arial" w:hAnsi="Arial"/>
          <w:sz w:val="15"/>
          <w:szCs w:val="15"/>
          <w:color w:val="auto"/>
        </w:rPr>
      </w:pPr>
    </w:p>
    <w:p>
      <w:pPr>
        <w:spacing w:after="0"/>
        <w:tabs>
          <w:tab w:leader="none" w:pos="0" w:val="left"/>
        </w:tabs>
        <w:numPr>
          <w:ilvl w:val="0"/>
          <w:numId w:val="20"/>
        </w:numPr>
        <w:rPr>
          <w:rFonts w:ascii="Arial" w:cs="Arial" w:eastAsia="Arial" w:hAnsi="Arial"/>
          <w:sz w:val="15"/>
          <w:szCs w:val="15"/>
          <w:color w:val="auto"/>
        </w:r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 w:name="page22"/>
    <w:bookmarkEnd w:id="21"/>
    <w:p>
      <w:pPr>
        <w:jc w:val="both"/>
        <w:ind w:left="380"/>
        <w:spacing w:after="0" w:line="237" w:lineRule="auto"/>
        <w:rPr>
          <w:sz w:val="20"/>
          <w:szCs w:val="20"/>
          <w:color w:val="auto"/>
        </w:rPr>
      </w:pPr>
      <w:r>
        <w:rPr>
          <w:rFonts w:ascii="Arial" w:cs="Arial" w:eastAsia="Arial" w:hAnsi="Arial"/>
          <w:sz w:val="14"/>
          <w:szCs w:val="14"/>
          <w:color w:val="auto"/>
        </w:rPr>
        <w:t>In prior periods Africa and Europe were reported as separate segments. Due to the sale of Windcat Workboats, the Company’s European operations are no longer analyzed by the chief operating decision maker on a standalone basis but rather as part of the Africa segment. As a result, for purposes of segment reporting European operations are now consolidated with Africa and reported as a consolidated segment and prior period information has been conformed to the new consolidated reporting segment.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United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3"/>
              </w:rPr>
              <w:t>States</w:t>
            </w: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Africa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and Europe,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Middle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Gulf of</w:t>
            </w:r>
          </w:p>
        </w:tc>
        <w:tc>
          <w:tcPr>
            <w:tcW w:w="1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Continuing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East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Latin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Mexico)</w:t>
            </w:r>
          </w:p>
        </w:tc>
        <w:tc>
          <w:tcPr>
            <w:tcW w:w="1200" w:type="dxa"/>
            <w:vAlign w:val="bottom"/>
            <w:gridSpan w:val="3"/>
          </w:tcPr>
          <w:p>
            <w:pPr>
              <w:jc w:val="center"/>
              <w:ind w:right="160"/>
              <w:spacing w:after="0" w:line="217" w:lineRule="exact"/>
              <w:rPr>
                <w:sz w:val="20"/>
                <w:szCs w:val="20"/>
                <w:color w:val="auto"/>
              </w:rPr>
            </w:pPr>
            <w:r>
              <w:rPr>
                <w:rFonts w:ascii="Arial" w:cs="Arial" w:eastAsia="Arial" w:hAnsi="Arial"/>
                <w:sz w:val="16"/>
                <w:szCs w:val="16"/>
                <w:b w:val="1"/>
                <w:bCs w:val="1"/>
                <w:color w:val="auto"/>
                <w:w w:val="89"/>
              </w:rPr>
              <w:t xml:space="preserve">Operations </w:t>
            </w:r>
            <w:r>
              <w:rPr>
                <w:rFonts w:ascii="Arial" w:cs="Arial" w:eastAsia="Arial" w:hAnsi="Arial"/>
                <w:sz w:val="22"/>
                <w:szCs w:val="22"/>
                <w:b w:val="1"/>
                <w:bCs w:val="1"/>
                <w:color w:val="auto"/>
                <w:w w:val="89"/>
                <w:vertAlign w:val="superscript"/>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Asia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America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March 31, 2020</w:t>
            </w: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14,011</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11,767</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3,396</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642</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5,741</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5,340</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6,235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7,158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20,735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401</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7,959</w:t>
            </w:r>
          </w:p>
        </w:tc>
        <w:tc>
          <w:tcPr>
            <w:tcW w:w="140" w:type="dxa"/>
            <w:vAlign w:val="bottom"/>
          </w:tcPr>
          <w:p>
            <w:pPr>
              <w:spacing w:after="0"/>
              <w:rPr>
                <w:sz w:val="21"/>
                <w:szCs w:val="21"/>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5,029</w:t>
            </w:r>
          </w:p>
        </w:tc>
        <w:tc>
          <w:tcPr>
            <w:tcW w:w="140" w:type="dxa"/>
            <w:vAlign w:val="bottom"/>
          </w:tcPr>
          <w:p>
            <w:pPr>
              <w:spacing w:after="0"/>
              <w:rPr>
                <w:sz w:val="21"/>
                <w:szCs w:val="21"/>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1,543</w:t>
            </w:r>
          </w:p>
        </w:tc>
        <w:tc>
          <w:tcPr>
            <w:tcW w:w="16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14,932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2,138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1,133</w:t>
            </w:r>
          </w:p>
        </w:tc>
        <w:tc>
          <w:tcPr>
            <w:tcW w:w="140" w:type="dxa"/>
            <w:vAlign w:val="bottom"/>
          </w:tcPr>
          <w:p>
            <w:pPr>
              <w:spacing w:after="0"/>
              <w:rPr>
                <w:sz w:val="18"/>
                <w:szCs w:val="18"/>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8"/>
                <w:szCs w:val="18"/>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5,358</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3,315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3,790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899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(12,572)</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(23,721)</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2020</w:t>
            </w:r>
          </w:p>
        </w:tc>
        <w:tc>
          <w:tcPr>
            <w:tcW w:w="1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256,059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244,984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281,767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74,308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857,118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(120,599)</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(58,666)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(67,829)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(17,271)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(264,365)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135,460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186,318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213,938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57,037</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592,753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6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191,611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210,890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245,279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134,171</w:t>
            </w: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781,951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5"/>
          <w:szCs w:val="15"/>
          <w:color w:val="auto"/>
        </w:rPr>
      </w:pPr>
      <w:r>
        <w:rPr>
          <w:rFonts w:ascii="Arial" w:cs="Arial" w:eastAsia="Arial" w:hAnsi="Arial"/>
          <w:sz w:val="14"/>
          <w:szCs w:val="14"/>
          <w:color w:val="auto"/>
        </w:rPr>
        <w:t>Total assets by region does not include corporate assets of $142.0 million, and $42.5 million of discontinued operations as of March 31, 2020.</w:t>
      </w:r>
    </w:p>
    <w:p>
      <w:pPr>
        <w:spacing w:after="0" w:line="15" w:lineRule="exact"/>
        <w:rPr>
          <w:rFonts w:ascii="Arial" w:cs="Arial" w:eastAsia="Arial" w:hAnsi="Arial"/>
          <w:sz w:val="15"/>
          <w:szCs w:val="15"/>
          <w:color w:val="auto"/>
        </w:rPr>
      </w:pPr>
    </w:p>
    <w:p>
      <w:pPr>
        <w:jc w:val="both"/>
        <w:ind w:left="380" w:hanging="372"/>
        <w:spacing w:after="0" w:line="226" w:lineRule="auto"/>
        <w:tabs>
          <w:tab w:leader="none" w:pos="380" w:val="left"/>
        </w:tabs>
        <w:numPr>
          <w:ilvl w:val="0"/>
          <w:numId w:val="21"/>
        </w:numPr>
        <w:rPr>
          <w:rFonts w:ascii="Arial" w:cs="Arial" w:eastAsia="Arial" w:hAnsi="Arial"/>
          <w:sz w:val="15"/>
          <w:szCs w:val="15"/>
          <w:color w:val="auto"/>
        </w:rPr>
      </w:pPr>
      <w:r>
        <w:rPr>
          <w:rFonts w:ascii="Arial" w:cs="Arial" w:eastAsia="Arial" w:hAnsi="Arial"/>
          <w:sz w:val="14"/>
          <w:szCs w:val="14"/>
          <w:color w:val="auto"/>
        </w:rPr>
        <w:t>In prior periods Africa and Europe were reported as separate segments. Due to the sale of Windcat Workboats, the Company’s European operations are no longer analyzed by the chief operating decision maker on a standalone basis but rather as part of the Africa segment. As a result, for purposes of segment reporting European operations are now consolidated with Africa and reported as a consolidated segment and prior period information has been conformed to the new consolidated reporting segment.</w:t>
      </w:r>
    </w:p>
    <w:p>
      <w:pPr>
        <w:spacing w:after="0" w:line="18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The Company’s investments in 50% or less owned companies, which are accounted for under the equity method, also contribute to its consolidated results of operations. As of March 31, 2021 and 2020, the Company’s investments, at equity and advances to 50% or less owned companies in its other 50% or less owned companies were $79.0 million and $121.5 million, respectively. Equity in gains (losses) earnings of 50% or less owned companies for the three months ended March 31, 2021 and 2020 were $4.1 million and less than $0.1 million,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920" w:hanging="912"/>
        <w:spacing w:after="0"/>
        <w:tabs>
          <w:tab w:leader="none" w:pos="92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DISCONTINUED OPERATIONS</w:t>
      </w:r>
    </w:p>
    <w:p>
      <w:pPr>
        <w:spacing w:after="0" w:line="21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On January 12, 2021, the Company completed the sale of Windcat Workboats, which was previously classified as assets held for sale. Following the completion of the sale, the Company has no continuing involvement in this business, which is considered a strategic shift in the Company’s operations. During the first twelve days of 2021, the Company recognized $0.2 million in net income from operations of Windcat Workboats that was utilized to calculate the gain on the sale of Windcat Workboats (see “Note. 2 Equipment Acquisitions and Dispositions”). Summarized selected operating result of the Company’s assets related to Windcat Workboats, previously classified as held for sale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0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bottom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Windcat Workboats</w:t>
            </w: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Operating Revenues: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revenue</w:t>
            </w:r>
          </w:p>
        </w:tc>
        <w:tc>
          <w:tcPr>
            <w:tcW w:w="8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28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973</w:t>
            </w:r>
          </w:p>
        </w:tc>
        <w:tc>
          <w:tcPr>
            <w:tcW w:w="28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20" w:type="dxa"/>
            <w:vAlign w:val="bottom"/>
          </w:tcPr>
          <w:p>
            <w:pPr>
              <w:spacing w:after="0"/>
              <w:rPr>
                <w:sz w:val="20"/>
                <w:szCs w:val="20"/>
                <w:color w:val="auto"/>
              </w:rPr>
            </w:pPr>
            <w:r>
              <w:rPr>
                <w:rFonts w:ascii="Arial" w:cs="Arial" w:eastAsia="Arial" w:hAnsi="Arial"/>
                <w:sz w:val="16"/>
                <w:szCs w:val="16"/>
                <w:color w:val="auto"/>
              </w:rPr>
              <w:t>Costs and Expenses:</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8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578</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52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395</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238</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Lease Expense</w:t>
            </w: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Depreciation</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28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3,092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20" w:type="dxa"/>
            <w:vAlign w:val="bottom"/>
          </w:tcPr>
          <w:p>
            <w:pPr>
              <w:spacing w:after="0"/>
              <w:rPr>
                <w:sz w:val="20"/>
                <w:szCs w:val="20"/>
                <w:color w:val="auto"/>
              </w:rPr>
            </w:pPr>
            <w:r>
              <w:rPr>
                <w:rFonts w:ascii="Arial" w:cs="Arial" w:eastAsia="Arial" w:hAnsi="Arial"/>
                <w:sz w:val="16"/>
                <w:szCs w:val="16"/>
                <w:color w:val="auto"/>
              </w:rPr>
              <w:t>Operating Income</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13"/>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8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2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(39)</w:t>
            </w:r>
          </w:p>
        </w:tc>
        <w:tc>
          <w:tcPr>
            <w:tcW w:w="4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3"/>
        </w:trPr>
        <w:tc>
          <w:tcPr>
            <w:tcW w:w="6520" w:type="dxa"/>
            <w:vAlign w:val="bottom"/>
          </w:tcPr>
          <w:p>
            <w:pPr>
              <w:ind w:left="260"/>
              <w:spacing w:after="0"/>
              <w:rPr>
                <w:sz w:val="20"/>
                <w:szCs w:val="20"/>
                <w:color w:val="auto"/>
              </w:rPr>
            </w:pPr>
            <w:r>
              <w:rPr>
                <w:rFonts w:ascii="Arial" w:cs="Arial" w:eastAsia="Arial" w:hAnsi="Arial"/>
                <w:sz w:val="16"/>
                <w:szCs w:val="16"/>
                <w:color w:val="auto"/>
              </w:rPr>
              <w:t>Foreign currency translation loss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
        </w:trPr>
        <w:tc>
          <w:tcPr>
            <w:tcW w:w="65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5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6"/>
                <w:szCs w:val="16"/>
                <w:color w:val="auto"/>
              </w:rPr>
              <w:t>Operating Loss Before Equity Earnings of 50% or Less Owned Companies, Net of Tax</w:t>
            </w:r>
          </w:p>
        </w:tc>
        <w:tc>
          <w:tcPr>
            <w:tcW w:w="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5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185</w:t>
            </w:r>
          </w:p>
        </w:tc>
        <w:tc>
          <w:tcPr>
            <w:tcW w:w="280" w:type="dxa"/>
            <w:vAlign w:val="bottom"/>
          </w:tcPr>
          <w:p>
            <w:pPr>
              <w:spacing w:after="0"/>
              <w:rPr>
                <w:sz w:val="17"/>
                <w:szCs w:val="17"/>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6"/>
                <w:szCs w:val="16"/>
                <w:color w:val="auto"/>
              </w:rPr>
              <w:t>Operating Loss Before Equity Earnings of 50% or Less Owned Companies</w:t>
            </w:r>
          </w:p>
        </w:tc>
        <w:tc>
          <w:tcPr>
            <w:tcW w:w="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5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185</w:t>
            </w:r>
          </w:p>
        </w:tc>
        <w:tc>
          <w:tcPr>
            <w:tcW w:w="280" w:type="dxa"/>
            <w:vAlign w:val="bottom"/>
          </w:tcPr>
          <w:p>
            <w:pPr>
              <w:spacing w:after="0"/>
              <w:rPr>
                <w:sz w:val="17"/>
                <w:szCs w:val="17"/>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(1,790)</w:t>
            </w:r>
          </w:p>
        </w:tc>
        <w:tc>
          <w:tcPr>
            <w:tcW w:w="0" w:type="dxa"/>
            <w:vAlign w:val="bottom"/>
          </w:tcPr>
          <w:p>
            <w:pPr>
              <w:spacing w:after="0"/>
              <w:rPr>
                <w:sz w:val="1"/>
                <w:szCs w:val="1"/>
                <w:color w:val="auto"/>
              </w:rPr>
            </w:pPr>
          </w:p>
        </w:tc>
      </w:tr>
      <w:tr>
        <w:trPr>
          <w:trHeight w:val="20"/>
        </w:trPr>
        <w:tc>
          <w:tcPr>
            <w:tcW w:w="65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Equity in Earnings of 50% or Less Owned Companies, Net of Tax</w:t>
            </w:r>
          </w:p>
        </w:tc>
        <w:tc>
          <w:tcPr>
            <w:tcW w:w="8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520" w:type="dxa"/>
            <w:vAlign w:val="bottom"/>
            <w:vMerge w:val="continue"/>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w:t>
            </w:r>
          </w:p>
        </w:tc>
        <w:tc>
          <w:tcPr>
            <w:tcW w:w="4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6"/>
                <w:szCs w:val="16"/>
                <w:color w:val="auto"/>
              </w:rPr>
              <w:t>Net (Loss) Income from Discontinued Operations</w:t>
            </w:r>
          </w:p>
        </w:tc>
        <w:tc>
          <w:tcPr>
            <w:tcW w:w="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520" w:type="dxa"/>
            <w:vAlign w:val="bottom"/>
            <w:vMerge w:val="continue"/>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169</w:t>
            </w:r>
          </w:p>
        </w:tc>
        <w:tc>
          <w:tcPr>
            <w:tcW w:w="280" w:type="dxa"/>
            <w:vAlign w:val="bottom"/>
          </w:tcPr>
          <w:p>
            <w:pPr>
              <w:spacing w:after="0"/>
              <w:rPr>
                <w:sz w:val="17"/>
                <w:szCs w:val="17"/>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 w:name="page24"/>
    <w:bookmarkEnd w:id="23"/>
    <w:p>
      <w:pPr>
        <w:jc w:val="both"/>
        <w:ind w:left="800" w:hanging="795"/>
        <w:spacing w:after="0" w:line="256" w:lineRule="auto"/>
        <w:rPr>
          <w:sz w:val="20"/>
          <w:szCs w:val="20"/>
          <w:color w:val="auto"/>
        </w:rPr>
      </w:pPr>
      <w:r>
        <w:rPr>
          <w:rFonts w:ascii="Arial" w:cs="Arial" w:eastAsia="Arial" w:hAnsi="Arial"/>
          <w:sz w:val="22"/>
          <w:szCs w:val="22"/>
          <w:b w:val="1"/>
          <w:bCs w:val="1"/>
          <w:color w:val="auto"/>
        </w:rPr>
        <w:t>ITEM 2.MANAGEMENT’S DISCUSSION AND ANALYSIS OF FINANCIAL CONDITION AND RESULTS OF OPERATIONS</w:t>
      </w:r>
    </w:p>
    <w:p>
      <w:pPr>
        <w:spacing w:after="0" w:line="12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i w:val="1"/>
          <w:iCs w:val="1"/>
          <w:color w:val="auto"/>
        </w:rPr>
        <w:t>This Form 10-Q includes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the Risk Factors and Management’s Discussion and Analysis of Financial Condition and Results of Operations of the Company’s 2020 Annual Report and this Quarterly Report on Form 10-Q.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 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Overview</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The following analysis of the Company’s financial condition and results of operations should be read in conjunction with the unaudited consolidated financial statements and notes thereto included in this Quarterly Report on Form 10-Q, as well as “Management’s Discussion and Analysis of Financial Condition and Results of Operations” contained in the 2020 Annual Report.</w:t>
      </w:r>
    </w:p>
    <w:p>
      <w:pPr>
        <w:spacing w:after="0" w:line="144"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The Company provides global marine and support transportation services to offshore energy facilities worldwide. As of March 31, 2021, the Company and its joint ventures operated a diverse fleet of 96 support and specialty vessels, of which 61 were owned or leased-in, 34 were joint-ventured, and one was managed on behalf of unaffiliated third-parties. The primary users of the Company’s services are major integrated oil companies, large independent oil and natural gas exploration and production companies and emerging independent companies, as well as windfarm operations and installation contractors.</w:t>
      </w:r>
    </w:p>
    <w:p>
      <w:pPr>
        <w:spacing w:after="0" w:line="12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The Company and its joint ventures operate and manage a diverse fleet of offshore support vessels that (i) deliver cargo and personnel to offshore installations including wind farms, (ii) handle anchors and mooring equipment required to tether rigs to the seabed, and assist in placing them on location and moving them between regions, (iii) provide construction, well work-over, maintenance and decommissioning support and (iv) carry and launch equipment used underwater in drilling and well installation, maintenance, inspection and repair. Additionally, the Company’s vessels provide accommodations for technicians and specialists. The Company operates its fleet in four principal geographic regions: the U.S., primarily in the Gulf of Mexico; Africa and Europe; the Middle East and Asia; and Latin America, primarily in Mexico, Brazil and Guyana. The Company’s vessels are highly mobile and regularly and routinely move between countries within a geographic region. In addition, the Company’s vessels are redeployed among the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 in rates per day worked and utilization. The Company manages its fleet utilizing a global network of shore side support, administrative and finance personnel.</w:t>
      </w:r>
    </w:p>
    <w:p>
      <w:pPr>
        <w:spacing w:after="0" w:line="11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Offshore oil and natural gas market conditions are highly volatile. Prices deteriorated beginning in the second half of 2014 and continued to deteriorate when oil prices hit a thirteen-year low of less than $27 per barrel (on the New York Mercantile Exchange) in February 2016. Oil prices were as high as $76 per barrel in October 2018 and, during the beginning of COVID-19 pandemic in the U.S. and elsewhere throughout the globe, WTI front month oil prices were pushed for a short period of time to a new low of -$37.63 per barrel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 w:name="page25"/>
    <w:bookmarkEnd w:id="24"/>
    <w:p>
      <w:pPr>
        <w:jc w:val="both"/>
        <w:spacing w:after="0" w:line="273" w:lineRule="auto"/>
        <w:rPr>
          <w:sz w:val="20"/>
          <w:szCs w:val="20"/>
          <w:color w:val="auto"/>
        </w:rPr>
      </w:pPr>
      <w:r>
        <w:rPr>
          <w:rFonts w:ascii="Arial" w:cs="Arial" w:eastAsia="Arial" w:hAnsi="Arial"/>
          <w:sz w:val="19"/>
          <w:szCs w:val="19"/>
          <w:color w:val="auto"/>
        </w:rPr>
        <w:t>April 2020 before recovering to $48 per barrel by year end. The Company has continued to experience difficult market conditions as the overall decline and continued volatility in oil and natural gas prices, have led to a general decrease in exploration and production activities, and a particular decrease in offshore drilling associated activity. The Company’s operating results have been negatively impacted as oil and gas producing companies focused on cost reduction and cut capital spending budgets. Although the underlying commodity prices supporting activity have recovered substantially since year end 2020 with oil hitting a high of approximately $66 per barrel in early March 2021, the risk of continued volatility in the commodity prices remains. The Company’s operations and financial results were adversely affected by the COVID-19 pandemic as a result of decreased demand and the increase in costs due to operational changes enacted to enhance crew and on-share employee safety. However, the Company believes that it has sufficient liquidity to meet its obligations for the foreseeable future, especially after receipt of the proceeds from the sale of Windcat Workboats and the tax refund under the CARES Act.</w:t>
      </w:r>
    </w:p>
    <w:p>
      <w:pPr>
        <w:spacing w:after="0" w:line="13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Certain macro drivers somewhat independent of oil and natural gas prices have the ability to continue to support the Company’s business, including: (i) underspending by oil and gas producers during the current industry downturn leading to pent up demand for maintenance and growth capital expenditures; and (ii) improved extraction technologies. While alternative forms of energy may continue to grow and add to the world’s energy mix, for the foreseeable future, the Company believes demand for gasoline and oil will be sustained, as well as demand for electricity from natural gas. These alternative forms of energy include offshore wind facilities which also have the opportunity to support the Company’s business. Low oil prices and the subsequent decline in offshore exploration have forced many operators in the industry to restructure or liquidate assets. The Company continues to closely monitor the delivery of newly built offshore support vessels to the industry-wide fleet, which is creating situations of oversupply, thereby further lowering the demand for the Company’s existing offshore support vessel fleet. A continuation of (i) low customer exploration and drilling activity levels, and (ii) continued excess supply of offshore support vessels whether from laid up fleets or newly built vessels could, in isolation or together, have a material adverse effect on the Company’s business, financial position, results of operations, cash flows and growth prospects.</w:t>
      </w:r>
    </w:p>
    <w:p>
      <w:pPr>
        <w:spacing w:after="0" w:line="12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March 31, 2021, 16 of the Company’s 61 owned and leased-in, in-service vessels were cold-stacked worldwide.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5" w:name="page26"/>
    <w:bookmarkEnd w:id="25"/>
    <w:p>
      <w:pPr>
        <w:ind w:left="760"/>
        <w:spacing w:after="0"/>
        <w:rPr>
          <w:sz w:val="20"/>
          <w:szCs w:val="20"/>
          <w:color w:val="auto"/>
        </w:rPr>
      </w:pPr>
      <w:r>
        <w:rPr>
          <w:rFonts w:ascii="Arial" w:cs="Arial" w:eastAsia="Arial" w:hAnsi="Arial"/>
          <w:sz w:val="22"/>
          <w:szCs w:val="22"/>
          <w:b w:val="1"/>
          <w:bCs w:val="1"/>
          <w:color w:val="auto"/>
        </w:rPr>
        <w:t>Recent Developments</w:t>
      </w:r>
    </w:p>
    <w:p>
      <w:pPr>
        <w:spacing w:after="0" w:line="18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i w:val="1"/>
          <w:iCs w:val="1"/>
          <w:u w:val="single" w:color="auto"/>
          <w:color w:val="auto"/>
        </w:rPr>
        <w:t>SEACOR Power</w:t>
      </w:r>
      <w:r>
        <w:rPr>
          <w:rFonts w:ascii="Arial" w:cs="Arial" w:eastAsia="Arial" w:hAnsi="Arial"/>
          <w:sz w:val="22"/>
          <w:szCs w:val="22"/>
          <w:color w:val="auto"/>
        </w:rPr>
        <w:t>. On April 13, 2021, the SEACOR Power, a liftboat owned by a subsidiary of the Company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nineteen individuals on board, capsized off the coast of Port Fourchon, Louisiana. The incident resulted in the death of several crew members, including the captain of the vessel, and several crew members remain missing. The accident also resulted in the constructive total loss of the SEACOR Power. The Company is responsible for the salvage operations related to the vessel and must coordinate with the U.S. Coast Guard in connection with the removal of the vessel, including the safe removal of fuel and oil, from the water.</w:t>
      </w:r>
    </w:p>
    <w:p>
      <w:pPr>
        <w:spacing w:after="0" w:line="14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The capsizing of the SEACOR Power has garnered significant attention from the media as well as local, state and federal politicians. The National Transportation Safety Board (“NTSB”) and the U.S. Coast Guard are currently investigating the incident to determine the cause of the accident and the Company is fully cooperating with the investigation in all respects and continues to gather information about the incident. It is expected that the joint NTSB and U.S. Coast Guard investigation will take a significant period of time to complete, possibly as long as two years or longer. Several civil lawsuits have also been filed against the Company and other third parties by the family members of deceased crew members employed by the Company or by the third parties. There is significant uncertainty in the amount and timing of costs and potential liabilities relating to the accident involving the SEACOR Power, the impact the incident will have on the Company’s reputation and the resulting possible impact on the Company’s business. See Part II. Item 1A. “Risk Factors” elsewhere in this Quarterly Report on Form 10-Q for further description.</w:t>
      </w:r>
    </w:p>
    <w:p>
      <w:pPr>
        <w:spacing w:after="0" w:line="14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b w:val="1"/>
          <w:bCs w:val="1"/>
          <w:i w:val="1"/>
          <w:iCs w:val="1"/>
          <w:u w:val="single" w:color="auto"/>
          <w:color w:val="auto"/>
        </w:rPr>
        <w:t>Sale of Windcat Workboats.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On January 12, 2021, a wholly-owned subsidiary of the Company, completed the sale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Windcat Workboats crew transfer vessel (“CTV”) business through the sale of 100% of the equity of Windcat Workboats (together with its subsidiaries, the “Windcat Group”), to CMB N.V. (the “Windcat Buyer”) pursuant to a Sale and Purchase Agreement entered into on December 18, 2020 (the “Windcat Sale”). At closing, the Windcat Buyer paid to the Company an aggregate purchase price of £32.8 million. After deducting transaction costs and expenses and giving effect to foreign exchange rate hedges, the Company received net cash proceeds of approximately US$42.6 million. The Windcat Buyer also assumed all of the approximately £20.4 million of debt outstanding under Windcat Holdings’ existing revolving credit facility. The Windcat Group owned a total of 41 CTVs and held interests in an additional five CTVs through its joint ventures, all of which were included in the Windcat Sale.</w:t>
      </w:r>
    </w:p>
    <w:p>
      <w:pPr>
        <w:spacing w:after="0" w:line="15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b w:val="1"/>
          <w:bCs w:val="1"/>
          <w:i w:val="1"/>
          <w:iCs w:val="1"/>
          <w:u w:val="single" w:color="auto"/>
          <w:color w:val="auto"/>
        </w:rPr>
        <w:t>Amendment of FGUSA Credit Facility</w:t>
      </w:r>
      <w:r>
        <w:rPr>
          <w:rFonts w:ascii="Arial" w:cs="Arial" w:eastAsia="Arial" w:hAnsi="Arial"/>
          <w:sz w:val="19"/>
          <w:szCs w:val="19"/>
          <w:color w:val="auto"/>
        </w:rPr>
        <w:t>. On February 24, 2021, SEACOR Marine, FGUSA, and certain subsidiaries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FGUSA, entered into a Seventh Consent, Agreement and Omnibus Amendments (the “Seventh FGUSA Credit Facility Amendment”) to that certain (i) $131.1 million term and revolving loan facility, dated as of February 8, 2018, with a syndicate of lenders administered by JP Morgan Chase Bank, N.A. (as amended, the “FGUSA Credit Facility”) and (ii) obligation guaranty issued by SEACOR Marine, dated February 8, 2018, pursuant to which SEACOR Marine provides a guarantee of certain limited obligations of FGUSA under the Credit Facility (as amended, the “FGUSA Guaranty”). The Seventh FGUSA Credit Facility Amendment provides for, among other things (i) the extension from March 2021 to June 2021 of the commencement of monthly repayment of the term loan, with payments being the lesser of (a) $0.8 million per month and (b) the amount outstanding under the term loan, (ii) the extension of the term of the FGUSA Guaranty for an additional three months from February 8, 2021 to May 8, 2021 (iii) the deadline for delivery of certain physical vessel appraisals is extended to December 31, 2021.</w:t>
      </w:r>
    </w:p>
    <w:p>
      <w:pPr>
        <w:spacing w:after="0" w:line="161"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i w:val="1"/>
          <w:iCs w:val="1"/>
          <w:u w:val="single" w:color="auto"/>
          <w:color w:val="auto"/>
        </w:rPr>
        <w:t>Tax Refund Agreement</w:t>
      </w:r>
      <w:r>
        <w:rPr>
          <w:rFonts w:ascii="Arial" w:cs="Arial" w:eastAsia="Arial" w:hAnsi="Arial"/>
          <w:sz w:val="22"/>
          <w:szCs w:val="22"/>
          <w:color w:val="auto"/>
        </w:rPr>
        <w:t>. On June 26, 2020, the Company entered into the Tax Refund Agreement with SEACOR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Holdings. The Tax Refund Agreement enabled the Company to utilize NOLs generated in 2018 and 2019 to claim refunds for tax years prior to the Company’s spin-off from SEACOR Holdings in 2017 (at which time the Company was included in SEACOR Holdings consolidated tax returns) that are now permitted to be carried back pursuant to the provisions of the CARES Act and for which SEACOR Holdings needs to claim the refund on behalf of the Company. As a result, the Company received an aggregate amount of cash tax refunds of $32.3 million (including $1.1 million of interest paid by the IRS in respect of refund payment delays), of which $12.5 million was received prior to March 31, 2021 and the remaining $19.8 million was received in April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Consolidated Results of Operations</w:t>
      </w:r>
    </w:p>
    <w:p>
      <w:pPr>
        <w:spacing w:after="0" w:line="17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The sections below provide an analysis of the Company’s results of operations for the three months (“Current Year Quarter”) ended March 31, 2021 compared with the three months (“Prior Year Quarter”) ended March 31, 2020. For the periods indicated, the Company’s consolidated results of operations were as follows (in thousands, except statistics):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Average Rates Per Day</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11,323</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10,886</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Utilization</w:t>
            </w:r>
          </w:p>
        </w:tc>
        <w:tc>
          <w:tcPr>
            <w:tcW w:w="3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55%</w:t>
            </w:r>
          </w:p>
        </w:tc>
        <w:tc>
          <w:tcPr>
            <w:tcW w:w="8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57%</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Fleet Available Days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5,505</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5,361</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34,290</w:t>
            </w:r>
          </w:p>
        </w:tc>
        <w:tc>
          <w:tcPr>
            <w:tcW w:w="3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6"/>
                <w:szCs w:val="16"/>
                <w:color w:val="auto"/>
              </w:rPr>
              <w:t>94%</w:t>
            </w: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33,548</w:t>
            </w:r>
          </w:p>
        </w:tc>
        <w:tc>
          <w:tcPr>
            <w:tcW w:w="5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Bareboat charter</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2%</w:t>
            </w: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w:t>
            </w:r>
          </w:p>
        </w:tc>
        <w:tc>
          <w:tcPr>
            <w:tcW w:w="5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57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marine services</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w:t>
            </w:r>
          </w:p>
        </w:tc>
        <w:tc>
          <w:tcPr>
            <w:tcW w:w="320" w:type="dxa"/>
            <w:vAlign w:val="bottom"/>
            <w:tcBorders>
              <w:bottom w:val="single" w:sz="8" w:color="CFF0FC"/>
            </w:tcBorders>
          </w:tcPr>
          <w:p>
            <w:pPr>
              <w:spacing w:after="0"/>
              <w:rPr>
                <w:sz w:val="18"/>
                <w:szCs w:val="18"/>
                <w:color w:val="auto"/>
              </w:rPr>
            </w:pPr>
          </w:p>
        </w:tc>
        <w:tc>
          <w:tcPr>
            <w:tcW w:w="1620" w:type="dxa"/>
            <w:vAlign w:val="bottom"/>
            <w:tcBorders>
              <w:bottom w:val="single" w:sz="8" w:color="CFF0FC"/>
            </w:tcBorders>
            <w:gridSpan w:val="2"/>
          </w:tcPr>
          <w:p>
            <w:pPr>
              <w:jc w:val="right"/>
              <w:ind w:right="640"/>
              <w:spacing w:after="0"/>
              <w:rPr>
                <w:sz w:val="20"/>
                <w:szCs w:val="20"/>
                <w:color w:val="auto"/>
              </w:rPr>
            </w:pPr>
            <w:r>
              <w:rPr>
                <w:rFonts w:ascii="Arial" w:cs="Arial" w:eastAsia="Arial" w:hAnsi="Arial"/>
                <w:sz w:val="16"/>
                <w:szCs w:val="16"/>
                <w:color w:val="auto"/>
              </w:rPr>
              <w:t>4%</w:t>
            </w: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w:t>
            </w:r>
          </w:p>
        </w:tc>
        <w:tc>
          <w:tcPr>
            <w:tcW w:w="54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57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36,512</w:t>
            </w:r>
          </w:p>
        </w:tc>
        <w:tc>
          <w:tcPr>
            <w:tcW w:w="3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100%</w:t>
            </w:r>
          </w:p>
        </w:tc>
        <w:tc>
          <w:tcPr>
            <w:tcW w:w="5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35,667</w:t>
            </w:r>
          </w:p>
        </w:tc>
        <w:tc>
          <w:tcPr>
            <w:tcW w:w="5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7"/>
        </w:trPr>
        <w:tc>
          <w:tcPr>
            <w:tcW w:w="5760" w:type="dxa"/>
            <w:vAlign w:val="bottom"/>
          </w:tcPr>
          <w:p>
            <w:pPr>
              <w:spacing w:after="0"/>
              <w:rPr>
                <w:sz w:val="20"/>
                <w:szCs w:val="20"/>
                <w:color w:val="auto"/>
              </w:rPr>
            </w:pPr>
            <w:r>
              <w:rPr>
                <w:rFonts w:ascii="Arial" w:cs="Arial" w:eastAsia="Arial" w:hAnsi="Arial"/>
                <w:sz w:val="16"/>
                <w:szCs w:val="16"/>
                <w:color w:val="auto"/>
              </w:rPr>
              <w:t>Costs and Expenses:</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500"/>
              <w:spacing w:after="0"/>
              <w:rPr>
                <w:sz w:val="20"/>
                <w:szCs w:val="20"/>
                <w:color w:val="auto"/>
              </w:rPr>
            </w:pPr>
            <w:r>
              <w:rPr>
                <w:rFonts w:ascii="Arial" w:cs="Arial" w:eastAsia="Arial" w:hAnsi="Arial"/>
                <w:sz w:val="16"/>
                <w:szCs w:val="16"/>
                <w:color w:val="auto"/>
              </w:rPr>
              <w:t>Personnel</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13,418</w:t>
            </w:r>
          </w:p>
        </w:tc>
        <w:tc>
          <w:tcPr>
            <w:tcW w:w="3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6"/>
                <w:szCs w:val="16"/>
                <w:color w:val="auto"/>
              </w:rPr>
              <w:t>37%</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11,186</w:t>
            </w:r>
          </w:p>
        </w:tc>
        <w:tc>
          <w:tcPr>
            <w:tcW w:w="5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Repairs and maintenance</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11%</w:t>
            </w: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w:t>
            </w:r>
          </w:p>
        </w:tc>
        <w:tc>
          <w:tcPr>
            <w:tcW w:w="5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5760" w:type="dxa"/>
            <w:vAlign w:val="bottom"/>
          </w:tcPr>
          <w:p>
            <w:pPr>
              <w:ind w:left="500"/>
              <w:spacing w:after="0"/>
              <w:rPr>
                <w:sz w:val="20"/>
                <w:szCs w:val="20"/>
                <w:color w:val="auto"/>
              </w:rPr>
            </w:pPr>
            <w:r>
              <w:rPr>
                <w:rFonts w:ascii="Arial" w:cs="Arial" w:eastAsia="Arial" w:hAnsi="Arial"/>
                <w:sz w:val="16"/>
                <w:szCs w:val="16"/>
                <w:color w:val="auto"/>
              </w:rPr>
              <w:t>Drydocking</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2,217</w:t>
            </w:r>
          </w:p>
        </w:tc>
        <w:tc>
          <w:tcPr>
            <w:tcW w:w="3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6"/>
                <w:szCs w:val="16"/>
                <w:color w:val="auto"/>
              </w:rPr>
              <w:t>6%</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1,365</w:t>
            </w:r>
          </w:p>
        </w:tc>
        <w:tc>
          <w:tcPr>
            <w:tcW w:w="5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Insurance and loss reserves</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1,958</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5%</w:t>
            </w: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w:t>
            </w:r>
          </w:p>
        </w:tc>
        <w:tc>
          <w:tcPr>
            <w:tcW w:w="5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5760" w:type="dxa"/>
            <w:vAlign w:val="bottom"/>
          </w:tcPr>
          <w:p>
            <w:pPr>
              <w:ind w:left="500"/>
              <w:spacing w:after="0"/>
              <w:rPr>
                <w:sz w:val="20"/>
                <w:szCs w:val="20"/>
                <w:color w:val="auto"/>
              </w:rPr>
            </w:pPr>
            <w:r>
              <w:rPr>
                <w:rFonts w:ascii="Arial" w:cs="Arial" w:eastAsia="Arial" w:hAnsi="Arial"/>
                <w:sz w:val="16"/>
                <w:szCs w:val="16"/>
                <w:color w:val="auto"/>
              </w:rPr>
              <w:t>Fuel, lubes and supplies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2,202</w:t>
            </w:r>
          </w:p>
        </w:tc>
        <w:tc>
          <w:tcPr>
            <w:tcW w:w="3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6"/>
                <w:szCs w:val="16"/>
                <w:color w:val="auto"/>
              </w:rPr>
              <w:t>6%</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1,841</w:t>
            </w:r>
          </w:p>
        </w:tc>
        <w:tc>
          <w:tcPr>
            <w:tcW w:w="5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2,672</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7%</w:t>
            </w:r>
          </w:p>
        </w:tc>
        <w:tc>
          <w:tcPr>
            <w:tcW w:w="5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1,663</w:t>
            </w:r>
          </w:p>
        </w:tc>
        <w:tc>
          <w:tcPr>
            <w:tcW w:w="5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6"/>
        </w:trPr>
        <w:tc>
          <w:tcPr>
            <w:tcW w:w="5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26,307</w:t>
            </w:r>
          </w:p>
        </w:tc>
        <w:tc>
          <w:tcPr>
            <w:tcW w:w="320" w:type="dxa"/>
            <w:vAlign w:val="bottom"/>
          </w:tcPr>
          <w:p>
            <w:pPr>
              <w:spacing w:after="0"/>
              <w:rPr>
                <w:sz w:val="17"/>
                <w:szCs w:val="17"/>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6"/>
                <w:szCs w:val="16"/>
                <w:color w:val="auto"/>
              </w:rPr>
              <w:t>72%</w:t>
            </w:r>
          </w:p>
        </w:tc>
        <w:tc>
          <w:tcPr>
            <w:tcW w:w="5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20,735</w:t>
            </w:r>
          </w:p>
        </w:tc>
        <w:tc>
          <w:tcPr>
            <w:tcW w:w="5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expense - operating</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1,078</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3%</w:t>
            </w:r>
          </w:p>
        </w:tc>
        <w:tc>
          <w:tcPr>
            <w:tcW w:w="5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3,325</w:t>
            </w:r>
          </w:p>
        </w:tc>
        <w:tc>
          <w:tcPr>
            <w:tcW w:w="5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8,611</w:t>
            </w:r>
          </w:p>
        </w:tc>
        <w:tc>
          <w:tcPr>
            <w:tcW w:w="3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6"/>
                <w:szCs w:val="16"/>
                <w:color w:val="auto"/>
              </w:rPr>
              <w:t>24%</w:t>
            </w:r>
          </w:p>
        </w:tc>
        <w:tc>
          <w:tcPr>
            <w:tcW w:w="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9,394</w:t>
            </w:r>
          </w:p>
        </w:tc>
        <w:tc>
          <w:tcPr>
            <w:tcW w:w="5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14,798</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41%</w:t>
            </w:r>
          </w:p>
        </w:tc>
        <w:tc>
          <w:tcPr>
            <w:tcW w:w="5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13,362</w:t>
            </w:r>
          </w:p>
        </w:tc>
        <w:tc>
          <w:tcPr>
            <w:tcW w:w="5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6"/>
        </w:trPr>
        <w:tc>
          <w:tcPr>
            <w:tcW w:w="57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50,794</w:t>
            </w:r>
          </w:p>
        </w:tc>
        <w:tc>
          <w:tcPr>
            <w:tcW w:w="320" w:type="dxa"/>
            <w:vAlign w:val="bottom"/>
            <w:tcBorders>
              <w:bottom w:val="single" w:sz="8" w:color="CFF0FC"/>
            </w:tcBorders>
          </w:tcPr>
          <w:p>
            <w:pPr>
              <w:spacing w:after="0"/>
              <w:rPr>
                <w:sz w:val="17"/>
                <w:szCs w:val="17"/>
                <w:color w:val="auto"/>
              </w:rPr>
            </w:pPr>
          </w:p>
        </w:tc>
        <w:tc>
          <w:tcPr>
            <w:tcW w:w="1620" w:type="dxa"/>
            <w:vAlign w:val="bottom"/>
            <w:tcBorders>
              <w:bottom w:val="single" w:sz="8" w:color="CFF0FC"/>
            </w:tcBorders>
            <w:gridSpan w:val="2"/>
          </w:tcPr>
          <w:p>
            <w:pPr>
              <w:jc w:val="right"/>
              <w:ind w:right="640"/>
              <w:spacing w:after="0"/>
              <w:rPr>
                <w:sz w:val="20"/>
                <w:szCs w:val="20"/>
                <w:color w:val="auto"/>
              </w:rPr>
            </w:pPr>
            <w:r>
              <w:rPr>
                <w:rFonts w:ascii="Arial" w:cs="Arial" w:eastAsia="Arial" w:hAnsi="Arial"/>
                <w:sz w:val="16"/>
                <w:szCs w:val="16"/>
                <w:color w:val="auto"/>
              </w:rPr>
              <w:t>139%</w:t>
            </w:r>
          </w:p>
        </w:tc>
        <w:tc>
          <w:tcPr>
            <w:tcW w:w="5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46,816</w:t>
            </w:r>
          </w:p>
        </w:tc>
        <w:tc>
          <w:tcPr>
            <w:tcW w:w="54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3"/>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Loss on Asset Dispositions and Impairments, Net</w:t>
            </w: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(2,273)</w:t>
            </w:r>
          </w:p>
        </w:tc>
        <w:tc>
          <w:tcPr>
            <w:tcW w:w="1620" w:type="dxa"/>
            <w:vAlign w:val="bottom"/>
            <w:gridSpan w:val="2"/>
            <w:shd w:val="clear" w:color="auto" w:fill="CFF0FC"/>
          </w:tcPr>
          <w:p>
            <w:pPr>
              <w:jc w:val="right"/>
              <w:ind w:right="580"/>
              <w:spacing w:after="0"/>
              <w:rPr>
                <w:sz w:val="20"/>
                <w:szCs w:val="20"/>
                <w:color w:val="auto"/>
              </w:rPr>
            </w:pPr>
            <w:r>
              <w:rPr>
                <w:rFonts w:ascii="Arial" w:cs="Arial" w:eastAsia="Arial" w:hAnsi="Arial"/>
                <w:sz w:val="16"/>
                <w:szCs w:val="16"/>
                <w:color w:val="auto"/>
              </w:rPr>
              <w:t>(6%)</w:t>
            </w: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w w:val="93"/>
              </w:rPr>
              <w:t>(12,572)</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2"/>
            <w:vMerge w:val="restart"/>
          </w:tcPr>
          <w:p>
            <w:pPr>
              <w:jc w:val="right"/>
              <w:ind w:right="580"/>
              <w:spacing w:after="0"/>
              <w:rPr>
                <w:sz w:val="20"/>
                <w:szCs w:val="20"/>
                <w:color w:val="auto"/>
              </w:rPr>
            </w:pPr>
            <w:r>
              <w:rPr>
                <w:rFonts w:ascii="Arial" w:cs="Arial" w:eastAsia="Arial" w:hAnsi="Arial"/>
                <w:sz w:val="16"/>
                <w:szCs w:val="16"/>
                <w:color w:val="auto"/>
              </w:rPr>
              <w:t>(45%)</w:t>
            </w: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line="20" w:lineRule="exact"/>
              <w:rPr>
                <w:sz w:val="1"/>
                <w:szCs w:val="1"/>
                <w:color w:val="auto"/>
              </w:rPr>
            </w:pPr>
          </w:p>
        </w:tc>
      </w:tr>
      <w:tr>
        <w:trPr>
          <w:trHeight w:val="206"/>
        </w:trPr>
        <w:tc>
          <w:tcPr>
            <w:tcW w:w="5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(16,555)</w:t>
            </w:r>
          </w:p>
        </w:tc>
        <w:tc>
          <w:tcPr>
            <w:tcW w:w="16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6"/>
                <w:szCs w:val="16"/>
                <w:color w:val="auto"/>
                <w:w w:val="93"/>
              </w:rPr>
              <w:t>(23,721)</w:t>
            </w: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Other Expense, Net</w:t>
            </w:r>
          </w:p>
        </w:tc>
        <w:tc>
          <w:tcPr>
            <w:tcW w:w="3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(7,150)</w:t>
            </w:r>
          </w:p>
        </w:tc>
        <w:tc>
          <w:tcPr>
            <w:tcW w:w="1620" w:type="dxa"/>
            <w:vAlign w:val="bottom"/>
            <w:gridSpan w:val="2"/>
            <w:shd w:val="clear" w:color="auto" w:fill="CFF0FC"/>
          </w:tcPr>
          <w:p>
            <w:pPr>
              <w:jc w:val="right"/>
              <w:ind w:right="580"/>
              <w:spacing w:after="0"/>
              <w:rPr>
                <w:sz w:val="20"/>
                <w:szCs w:val="20"/>
                <w:color w:val="auto"/>
              </w:rPr>
            </w:pPr>
            <w:r>
              <w:rPr>
                <w:rFonts w:ascii="Arial" w:cs="Arial" w:eastAsia="Arial" w:hAnsi="Arial"/>
                <w:sz w:val="16"/>
                <w:szCs w:val="16"/>
                <w:color w:val="auto"/>
              </w:rPr>
              <w:t>(20%)</w:t>
            </w: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(904)</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0"/>
        </w:trPr>
        <w:tc>
          <w:tcPr>
            <w:tcW w:w="5760" w:type="dxa"/>
            <w:vAlign w:val="bottom"/>
          </w:tcPr>
          <w:p>
            <w:pPr>
              <w:spacing w:after="0"/>
              <w:rPr>
                <w:sz w:val="20"/>
                <w:szCs w:val="20"/>
                <w:color w:val="auto"/>
              </w:rPr>
            </w:pPr>
            <w:r>
              <w:rPr>
                <w:rFonts w:ascii="Arial" w:cs="Arial" w:eastAsia="Arial" w:hAnsi="Arial"/>
                <w:sz w:val="16"/>
                <w:szCs w:val="16"/>
                <w:color w:val="auto"/>
              </w:rPr>
              <w:t>Loss from Continuing Operations Before Income Tax Benefit and Equity in</w:t>
            </w: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color w:val="auto"/>
              </w:rPr>
              <w:t>Earnings of 50% or Less Owned Companies</w:t>
            </w:r>
          </w:p>
        </w:tc>
        <w:tc>
          <w:tcPr>
            <w:tcW w:w="3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(23,705)</w:t>
            </w:r>
          </w:p>
        </w:tc>
        <w:tc>
          <w:tcPr>
            <w:tcW w:w="1620" w:type="dxa"/>
            <w:vAlign w:val="bottom"/>
            <w:gridSpan w:val="2"/>
          </w:tcPr>
          <w:p>
            <w:pPr>
              <w:jc w:val="right"/>
              <w:ind w:right="580"/>
              <w:spacing w:after="0"/>
              <w:rPr>
                <w:sz w:val="20"/>
                <w:szCs w:val="20"/>
                <w:color w:val="auto"/>
              </w:rPr>
            </w:pPr>
            <w:r>
              <w:rPr>
                <w:rFonts w:ascii="Arial" w:cs="Arial" w:eastAsia="Arial" w:hAnsi="Arial"/>
                <w:sz w:val="16"/>
                <w:szCs w:val="16"/>
                <w:color w:val="auto"/>
              </w:rPr>
              <w:t>(65%)</w:t>
            </w:r>
          </w:p>
        </w:tc>
        <w:tc>
          <w:tcPr>
            <w:tcW w:w="5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6"/>
                <w:szCs w:val="16"/>
                <w:color w:val="auto"/>
                <w:w w:val="93"/>
              </w:rPr>
              <w:t>(24,625)</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w:t>
            </w:r>
          </w:p>
        </w:tc>
        <w:tc>
          <w:tcPr>
            <w:tcW w:w="3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(2,688)</w:t>
            </w:r>
          </w:p>
        </w:tc>
        <w:tc>
          <w:tcPr>
            <w:tcW w:w="1620" w:type="dxa"/>
            <w:vAlign w:val="bottom"/>
            <w:gridSpan w:val="2"/>
            <w:shd w:val="clear" w:color="auto" w:fill="CFF0FC"/>
          </w:tcPr>
          <w:p>
            <w:pPr>
              <w:jc w:val="right"/>
              <w:ind w:right="580"/>
              <w:spacing w:after="0"/>
              <w:rPr>
                <w:sz w:val="20"/>
                <w:szCs w:val="20"/>
                <w:color w:val="auto"/>
              </w:rPr>
            </w:pPr>
            <w:r>
              <w:rPr>
                <w:rFonts w:ascii="Arial" w:cs="Arial" w:eastAsia="Arial" w:hAnsi="Arial"/>
                <w:sz w:val="16"/>
                <w:szCs w:val="16"/>
                <w:color w:val="auto"/>
              </w:rPr>
              <w:t>(7%)</w:t>
            </w: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(6,662)</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0"/>
        </w:trPr>
        <w:tc>
          <w:tcPr>
            <w:tcW w:w="5760" w:type="dxa"/>
            <w:vAlign w:val="bottom"/>
          </w:tcPr>
          <w:p>
            <w:pPr>
              <w:spacing w:after="0"/>
              <w:rPr>
                <w:sz w:val="20"/>
                <w:szCs w:val="20"/>
                <w:color w:val="auto"/>
              </w:rPr>
            </w:pPr>
            <w:r>
              <w:rPr>
                <w:rFonts w:ascii="Arial" w:cs="Arial" w:eastAsia="Arial" w:hAnsi="Arial"/>
                <w:sz w:val="16"/>
                <w:szCs w:val="16"/>
                <w:color w:val="auto"/>
              </w:rPr>
              <w:t>Income (Loss) from Continuing Operations Before Equity in Earnings of 50%</w:t>
            </w: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color w:val="auto"/>
              </w:rPr>
              <w:t>or Less Owned Companies</w:t>
            </w:r>
          </w:p>
        </w:tc>
        <w:tc>
          <w:tcPr>
            <w:tcW w:w="3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(21,017)</w:t>
            </w:r>
          </w:p>
        </w:tc>
        <w:tc>
          <w:tcPr>
            <w:tcW w:w="1620" w:type="dxa"/>
            <w:vAlign w:val="bottom"/>
            <w:gridSpan w:val="2"/>
          </w:tcPr>
          <w:p>
            <w:pPr>
              <w:jc w:val="right"/>
              <w:ind w:right="580"/>
              <w:spacing w:after="0"/>
              <w:rPr>
                <w:sz w:val="20"/>
                <w:szCs w:val="20"/>
                <w:color w:val="auto"/>
              </w:rPr>
            </w:pPr>
            <w:r>
              <w:rPr>
                <w:rFonts w:ascii="Arial" w:cs="Arial" w:eastAsia="Arial" w:hAnsi="Arial"/>
                <w:sz w:val="16"/>
                <w:szCs w:val="16"/>
                <w:color w:val="auto"/>
              </w:rPr>
              <w:t>(58%)</w:t>
            </w:r>
          </w:p>
        </w:tc>
        <w:tc>
          <w:tcPr>
            <w:tcW w:w="5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6"/>
                <w:szCs w:val="16"/>
                <w:color w:val="auto"/>
                <w:w w:val="93"/>
              </w:rPr>
              <w:t>(17,963)</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Equity in Gains of 50% or Less Owned Companies</w:t>
            </w: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4,103</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11%</w:t>
            </w:r>
          </w:p>
        </w:tc>
        <w:tc>
          <w:tcPr>
            <w:tcW w:w="5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5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7"/>
        </w:trPr>
        <w:tc>
          <w:tcPr>
            <w:tcW w:w="5760" w:type="dxa"/>
            <w:vAlign w:val="bottom"/>
          </w:tcPr>
          <w:p>
            <w:pPr>
              <w:spacing w:after="0"/>
              <w:rPr>
                <w:sz w:val="20"/>
                <w:szCs w:val="20"/>
                <w:color w:val="auto"/>
              </w:rPr>
            </w:pPr>
            <w:r>
              <w:rPr>
                <w:rFonts w:ascii="Arial" w:cs="Arial" w:eastAsia="Arial" w:hAnsi="Arial"/>
                <w:sz w:val="16"/>
                <w:szCs w:val="16"/>
                <w:color w:val="auto"/>
              </w:rPr>
              <w:t>Income (Loss) from Continuing Operations</w:t>
            </w:r>
          </w:p>
        </w:tc>
        <w:tc>
          <w:tcPr>
            <w:tcW w:w="36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(16,914)</w:t>
            </w:r>
          </w:p>
        </w:tc>
        <w:tc>
          <w:tcPr>
            <w:tcW w:w="1620" w:type="dxa"/>
            <w:vAlign w:val="bottom"/>
            <w:gridSpan w:val="2"/>
          </w:tcPr>
          <w:p>
            <w:pPr>
              <w:jc w:val="right"/>
              <w:ind w:right="580"/>
              <w:spacing w:after="0"/>
              <w:rPr>
                <w:sz w:val="20"/>
                <w:szCs w:val="20"/>
                <w:color w:val="auto"/>
              </w:rPr>
            </w:pPr>
            <w:r>
              <w:rPr>
                <w:rFonts w:ascii="Arial" w:cs="Arial" w:eastAsia="Arial" w:hAnsi="Arial"/>
                <w:sz w:val="16"/>
                <w:szCs w:val="16"/>
                <w:color w:val="auto"/>
              </w:rPr>
              <w:t>(46%)</w:t>
            </w:r>
          </w:p>
        </w:tc>
        <w:tc>
          <w:tcPr>
            <w:tcW w:w="52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6"/>
                <w:szCs w:val="16"/>
                <w:color w:val="auto"/>
                <w:w w:val="93"/>
              </w:rPr>
              <w:t>(17,938)</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Income from discontinued operations, Net of Tax</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22,925</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63%</w:t>
            </w: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(2,054)</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2"/>
            <w:vMerge w:val="restart"/>
          </w:tcPr>
          <w:p>
            <w:pPr>
              <w:jc w:val="right"/>
              <w:ind w:right="640"/>
              <w:spacing w:after="0"/>
              <w:rPr>
                <w:sz w:val="20"/>
                <w:szCs w:val="20"/>
                <w:color w:val="auto"/>
              </w:rPr>
            </w:pPr>
            <w:r>
              <w:rPr>
                <w:rFonts w:ascii="Arial" w:cs="Arial" w:eastAsia="Arial" w:hAnsi="Arial"/>
                <w:sz w:val="16"/>
                <w:szCs w:val="16"/>
                <w:color w:val="auto"/>
              </w:rPr>
              <w:t>16%</w:t>
            </w: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line="20" w:lineRule="exact"/>
              <w:rPr>
                <w:sz w:val="1"/>
                <w:szCs w:val="1"/>
                <w:color w:val="auto"/>
              </w:rPr>
            </w:pPr>
          </w:p>
        </w:tc>
      </w:tr>
      <w:tr>
        <w:trPr>
          <w:trHeight w:val="206"/>
        </w:trPr>
        <w:tc>
          <w:tcPr>
            <w:tcW w:w="5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6,011</w:t>
            </w:r>
          </w:p>
        </w:tc>
        <w:tc>
          <w:tcPr>
            <w:tcW w:w="32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6"/>
                <w:szCs w:val="16"/>
                <w:color w:val="auto"/>
                <w:w w:val="93"/>
              </w:rPr>
              <w:t>(19,992)</w:t>
            </w: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Net Gain (Loss) attributable to Noncontrolling Interests in Subsidiaries</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(4,047)</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6"/>
                <w:szCs w:val="16"/>
                <w:color w:val="auto"/>
              </w:rPr>
              <w:t>Net Income (Loss) attributable to SEACOR Marine Holdings Inc.</w:t>
            </w: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2"/>
            <w:vMerge w:val="restart"/>
          </w:tcPr>
          <w:p>
            <w:pPr>
              <w:jc w:val="right"/>
              <w:ind w:right="640"/>
              <w:spacing w:after="0"/>
              <w:rPr>
                <w:sz w:val="20"/>
                <w:szCs w:val="20"/>
                <w:color w:val="auto"/>
              </w:rPr>
            </w:pPr>
            <w:r>
              <w:rPr>
                <w:rFonts w:ascii="Arial" w:cs="Arial" w:eastAsia="Arial" w:hAnsi="Arial"/>
                <w:sz w:val="16"/>
                <w:szCs w:val="16"/>
                <w:color w:val="auto"/>
              </w:rPr>
              <w:t>16%</w:t>
            </w: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line="20" w:lineRule="exact"/>
              <w:rPr>
                <w:sz w:val="1"/>
                <w:szCs w:val="1"/>
                <w:color w:val="auto"/>
              </w:rPr>
            </w:pPr>
          </w:p>
        </w:tc>
      </w:tr>
      <w:tr>
        <w:trPr>
          <w:trHeight w:val="207"/>
        </w:trPr>
        <w:tc>
          <w:tcPr>
            <w:tcW w:w="5760" w:type="dxa"/>
            <w:vAlign w:val="bottom"/>
            <w:vMerge w:val="continue"/>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6,011</w:t>
            </w:r>
          </w:p>
        </w:tc>
        <w:tc>
          <w:tcPr>
            <w:tcW w:w="32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80"/>
              <w:spacing w:after="0"/>
              <w:rPr>
                <w:sz w:val="20"/>
                <w:szCs w:val="20"/>
                <w:color w:val="auto"/>
              </w:rPr>
            </w:pPr>
            <w:r>
              <w:rPr>
                <w:rFonts w:ascii="Arial" w:cs="Arial" w:eastAsia="Arial" w:hAnsi="Arial"/>
                <w:sz w:val="16"/>
                <w:szCs w:val="16"/>
                <w:color w:val="auto"/>
                <w:w w:val="93"/>
              </w:rPr>
              <w:t>(15,945)</w:t>
            </w: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Direct Vessel Profit. </w:t>
      </w:r>
      <w:r>
        <w:rPr>
          <w:rFonts w:ascii="Arial" w:cs="Arial" w:eastAsia="Arial" w:hAnsi="Arial"/>
          <w:sz w:val="21"/>
          <w:szCs w:val="21"/>
          <w:color w:val="auto"/>
        </w:rPr>
        <w:t>Direct vessel profit (defined as operating revenues less operating expenses excluding leased-in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equipment, “DVP”) is the Company’s measure of segment profitability when applied to reportable segments and a non-GAAP measure when applied to individual vessels, fleet categories or the combined fleet. DVP is a critical financial measure used by the Company to analyze and compare the operating performance of its individual vessels, fleet categories, regions and combined fleet, without regard to financing decisions (depreciation and interest expense for owned vessel vs. lease expense for leased-in vessels). DVP is also useful when comparing the Company’s fleet’s performance against those of its competitors who may have differing fleet financing structures.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jc w:val="both"/>
        <w:ind w:firstLine="749"/>
        <w:spacing w:after="0" w:line="238" w:lineRule="auto"/>
        <w:rPr>
          <w:sz w:val="20"/>
          <w:szCs w:val="20"/>
          <w:color w:val="auto"/>
        </w:rPr>
      </w:pPr>
      <w:r>
        <w:rPr>
          <w:rFonts w:ascii="Arial" w:cs="Arial" w:eastAsia="Arial" w:hAnsi="Arial"/>
          <w:sz w:val="22"/>
          <w:szCs w:val="22"/>
          <w:color w:val="auto"/>
        </w:rPr>
        <w:t>DVP by region and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region and by vessel class to operating loss, its most comparable GAAP measure, is included in the tables below.</w:t>
      </w:r>
    </w:p>
    <w:p>
      <w:pPr>
        <w:spacing w:after="0" w:line="15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following tables summarize the operating results and property and equipment for the Company’s reportable segments for the periods indicated (in thousands, except statistics):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Africa</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and Europe,</w:t>
            </w: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Continuing</w:t>
            </w: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East</w:t>
            </w: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8"/>
                <w:szCs w:val="18"/>
                <w:color w:val="auto"/>
              </w:rPr>
            </w:pPr>
          </w:p>
        </w:tc>
        <w:tc>
          <w:tcPr>
            <w:tcW w:w="1340" w:type="dxa"/>
            <w:vAlign w:val="bottom"/>
            <w:gridSpan w:val="3"/>
          </w:tcPr>
          <w:p>
            <w:pPr>
              <w:jc w:val="center"/>
              <w:ind w:right="300"/>
              <w:spacing w:after="0" w:line="217" w:lineRule="exact"/>
              <w:rPr>
                <w:sz w:val="20"/>
                <w:szCs w:val="20"/>
                <w:color w:val="auto"/>
              </w:rPr>
            </w:pPr>
            <w:r>
              <w:rPr>
                <w:rFonts w:ascii="Arial" w:cs="Arial" w:eastAsia="Arial" w:hAnsi="Arial"/>
                <w:sz w:val="16"/>
                <w:szCs w:val="16"/>
                <w:b w:val="1"/>
                <w:bCs w:val="1"/>
                <w:color w:val="auto"/>
                <w:w w:val="89"/>
              </w:rPr>
              <w:t>Operations</w:t>
            </w:r>
            <w:r>
              <w:rPr>
                <w:rFonts w:ascii="Arial" w:cs="Arial" w:eastAsia="Arial" w:hAnsi="Arial"/>
                <w:sz w:val="22"/>
                <w:szCs w:val="22"/>
                <w:b w:val="1"/>
                <w:bCs w:val="1"/>
                <w:color w:val="auto"/>
                <w:w w:val="89"/>
                <w:vertAlign w:val="superscript"/>
              </w:rPr>
              <w:t>(2)</w:t>
            </w:r>
          </w:p>
        </w:tc>
        <w:tc>
          <w:tcPr>
            <w:tcW w:w="14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and Asia</w:t>
            </w: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March 31, 2021</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15,910</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11,356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9,308</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1,852</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1,489</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12,575</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9,724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34,290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(269)</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2,764</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10,233</w:t>
            </w:r>
          </w:p>
        </w:tc>
        <w:tc>
          <w:tcPr>
            <w:tcW w:w="2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12,935</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10,580</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36,512</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5,208</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6,299</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9,582</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6,350</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26,307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(1,312)</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3,934</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3,353</w:t>
            </w:r>
          </w:p>
        </w:tc>
        <w:tc>
          <w:tcPr>
            <w:tcW w:w="26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4,230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10,205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664</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356</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8,611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4,164</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3,307</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4,710</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2,617</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14,798</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24,487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(2,273)</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(16,555)</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2021</w:t>
            </w: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214,575</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240,032</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374,979</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170,844</w:t>
            </w:r>
          </w:p>
        </w:tc>
        <w:tc>
          <w:tcPr>
            <w:tcW w:w="2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1,000,430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(128,841)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(68,254)</w:t>
            </w: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(76,675)</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(24,022)</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(297,792)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85,734</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171,778</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298,304</w:t>
            </w:r>
          </w:p>
        </w:tc>
        <w:tc>
          <w:tcPr>
            <w:tcW w:w="2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146,822</w:t>
            </w:r>
          </w:p>
        </w:tc>
        <w:tc>
          <w:tcPr>
            <w:tcW w:w="26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702,638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125,479</w:t>
            </w:r>
          </w:p>
        </w:tc>
        <w:tc>
          <w:tcPr>
            <w:tcW w:w="20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189,370</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301,381</w:t>
            </w: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215,408</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831,638</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40" w:hanging="368"/>
        <w:spacing w:after="0"/>
        <w:tabs>
          <w:tab w:leader="none" w:pos="740" w:val="left"/>
        </w:tabs>
        <w:numPr>
          <w:ilvl w:val="0"/>
          <w:numId w:val="23"/>
        </w:numPr>
        <w:rPr>
          <w:rFonts w:ascii="Arial" w:cs="Arial" w:eastAsia="Arial" w:hAnsi="Arial"/>
          <w:sz w:val="29"/>
          <w:szCs w:val="29"/>
          <w:color w:val="auto"/>
          <w:vertAlign w:val="superscript"/>
        </w:rPr>
      </w:pPr>
      <w:r>
        <w:rPr>
          <w:rFonts w:ascii="Arial" w:cs="Arial" w:eastAsia="Arial" w:hAnsi="Arial"/>
          <w:sz w:val="14"/>
          <w:szCs w:val="14"/>
          <w:color w:val="auto"/>
        </w:rPr>
        <w:t>Total assets by region does not include corporate assets of $142.2 million as of March 31, 2021</w:t>
      </w:r>
      <w:r>
        <w:rPr>
          <w:rFonts w:ascii="Arial" w:cs="Arial" w:eastAsia="Arial" w:hAnsi="Arial"/>
          <w:sz w:val="17"/>
          <w:szCs w:val="17"/>
          <w:color w:val="auto"/>
        </w:rPr>
        <w:t>.</w:t>
      </w:r>
    </w:p>
    <w:p>
      <w:pPr>
        <w:spacing w:after="0" w:line="6" w:lineRule="exact"/>
        <w:rPr>
          <w:rFonts w:ascii="Arial" w:cs="Arial" w:eastAsia="Arial" w:hAnsi="Arial"/>
          <w:sz w:val="29"/>
          <w:szCs w:val="29"/>
          <w:color w:val="auto"/>
          <w:vertAlign w:val="superscript"/>
        </w:rPr>
      </w:pPr>
    </w:p>
    <w:p>
      <w:pPr>
        <w:jc w:val="both"/>
        <w:ind w:left="740" w:hanging="368"/>
        <w:spacing w:after="0" w:line="255" w:lineRule="auto"/>
        <w:tabs>
          <w:tab w:leader="none" w:pos="7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as part of the Africa segment. As a result, for purposes of segment reporting European operations are now consolidated with Africa and reported as a consolidated segment and prior period information has been conformed to the new consolidated reporting segment.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Africa</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and Europe,</w:t>
            </w: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Continuing</w:t>
            </w: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East</w:t>
            </w: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8"/>
                <w:szCs w:val="18"/>
                <w:color w:val="auto"/>
              </w:rPr>
            </w:pPr>
          </w:p>
        </w:tc>
        <w:tc>
          <w:tcPr>
            <w:tcW w:w="1340" w:type="dxa"/>
            <w:vAlign w:val="bottom"/>
            <w:gridSpan w:val="3"/>
          </w:tcPr>
          <w:p>
            <w:pPr>
              <w:jc w:val="center"/>
              <w:ind w:right="300"/>
              <w:spacing w:after="0" w:line="217" w:lineRule="exact"/>
              <w:rPr>
                <w:sz w:val="20"/>
                <w:szCs w:val="20"/>
                <w:color w:val="auto"/>
              </w:rPr>
            </w:pPr>
            <w:r>
              <w:rPr>
                <w:rFonts w:ascii="Arial" w:cs="Arial" w:eastAsia="Arial" w:hAnsi="Arial"/>
                <w:sz w:val="16"/>
                <w:szCs w:val="16"/>
                <w:b w:val="1"/>
                <w:bCs w:val="1"/>
                <w:color w:val="auto"/>
                <w:w w:val="89"/>
              </w:rPr>
              <w:t>Operations</w:t>
            </w:r>
            <w:r>
              <w:rPr>
                <w:rFonts w:ascii="Arial" w:cs="Arial" w:eastAsia="Arial" w:hAnsi="Arial"/>
                <w:sz w:val="22"/>
                <w:szCs w:val="22"/>
                <w:b w:val="1"/>
                <w:bCs w:val="1"/>
                <w:color w:val="auto"/>
                <w:w w:val="89"/>
                <w:vertAlign w:val="superscript"/>
              </w:rPr>
              <w:t>(2)</w:t>
            </w:r>
          </w:p>
        </w:tc>
        <w:tc>
          <w:tcPr>
            <w:tcW w:w="14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and Asia</w:t>
            </w: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March 31, 2020</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20,988</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10,856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9,634</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90%</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93%</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1,671</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4,375</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14,010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11,767</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33,548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5,741</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14,194</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12,187</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35,667</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3,811</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(114)</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5,340</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6,235</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7,158</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2,002</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20,735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401</w:t>
            </w:r>
          </w:p>
        </w:tc>
        <w:tc>
          <w:tcPr>
            <w:tcW w:w="20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7,959</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5,029</w:t>
            </w:r>
          </w:p>
        </w:tc>
        <w:tc>
          <w:tcPr>
            <w:tcW w:w="26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1,543</w:t>
            </w:r>
          </w:p>
        </w:tc>
        <w:tc>
          <w:tcPr>
            <w:tcW w:w="26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14,932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2,138</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1,133</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5,358</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3,315</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3,790</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899</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13,362</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26,081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8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(12,572)</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(23,721)</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2020</w:t>
            </w: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256,059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244,984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281,767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74,308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857,118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(120,599)</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(58,666)</w:t>
            </w: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(67,829)</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(17,271)</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(264,365)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135,460</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186,318</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213,938</w:t>
            </w:r>
          </w:p>
        </w:tc>
        <w:tc>
          <w:tcPr>
            <w:tcW w:w="2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57,037</w:t>
            </w:r>
          </w:p>
        </w:tc>
        <w:tc>
          <w:tcPr>
            <w:tcW w:w="26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592,753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Total Assets</w:t>
            </w:r>
            <w:r>
              <w:rPr>
                <w:rFonts w:ascii="Arial" w:cs="Arial" w:eastAsia="Arial" w:hAnsi="Arial"/>
                <w:sz w:val="10"/>
                <w:szCs w:val="10"/>
                <w:color w:val="auto"/>
              </w:rPr>
              <w:t>(1)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191,611</w:t>
            </w:r>
          </w:p>
        </w:tc>
        <w:tc>
          <w:tcPr>
            <w:tcW w:w="20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210,890</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245,279</w:t>
            </w: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134,171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781,951</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40" w:hanging="368"/>
        <w:spacing w:after="0"/>
        <w:tabs>
          <w:tab w:leader="none" w:pos="740" w:val="left"/>
        </w:tabs>
        <w:numPr>
          <w:ilvl w:val="0"/>
          <w:numId w:val="24"/>
        </w:numPr>
        <w:rPr>
          <w:rFonts w:ascii="Arial" w:cs="Arial" w:eastAsia="Arial" w:hAnsi="Arial"/>
          <w:sz w:val="29"/>
          <w:szCs w:val="29"/>
          <w:color w:val="auto"/>
          <w:vertAlign w:val="superscript"/>
        </w:rPr>
      </w:pPr>
      <w:r>
        <w:rPr>
          <w:rFonts w:ascii="Arial" w:cs="Arial" w:eastAsia="Arial" w:hAnsi="Arial"/>
          <w:sz w:val="14"/>
          <w:szCs w:val="14"/>
          <w:color w:val="auto"/>
        </w:rPr>
        <w:t>Total assets by region does not include corporate assets of $142.0 million, and $42.5 million of discontinued operations as of March 31, 2020</w:t>
      </w:r>
      <w:r>
        <w:rPr>
          <w:rFonts w:ascii="Arial" w:cs="Arial" w:eastAsia="Arial" w:hAnsi="Arial"/>
          <w:sz w:val="17"/>
          <w:szCs w:val="17"/>
          <w:color w:val="auto"/>
        </w:rPr>
        <w:t>.</w:t>
      </w:r>
    </w:p>
    <w:p>
      <w:pPr>
        <w:spacing w:after="0" w:line="6" w:lineRule="exact"/>
        <w:rPr>
          <w:rFonts w:ascii="Arial" w:cs="Arial" w:eastAsia="Arial" w:hAnsi="Arial"/>
          <w:sz w:val="29"/>
          <w:szCs w:val="29"/>
          <w:color w:val="auto"/>
          <w:vertAlign w:val="superscript"/>
        </w:rPr>
      </w:pPr>
    </w:p>
    <w:p>
      <w:pPr>
        <w:jc w:val="both"/>
        <w:ind w:left="740" w:hanging="368"/>
        <w:spacing w:after="0" w:line="255" w:lineRule="auto"/>
        <w:tabs>
          <w:tab w:leader="none" w:pos="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as part of the Africa segment. As a result, for purposes of segment reporting European operations are now consolidated with Africa and reported as a consolidated segment and prior period information has been conformed to the new consolidated reporting segment.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9" w:name="page30"/>
    <w:bookmarkEnd w:id="29"/>
    <w:p>
      <w:pPr>
        <w:ind w:firstLine="749"/>
        <w:spacing w:after="0" w:line="250" w:lineRule="auto"/>
        <w:rPr>
          <w:sz w:val="20"/>
          <w:szCs w:val="20"/>
          <w:color w:val="auto"/>
        </w:rPr>
      </w:pPr>
      <w:r>
        <w:rPr>
          <w:rFonts w:ascii="Arial" w:cs="Arial" w:eastAsia="Arial" w:hAnsi="Arial"/>
          <w:sz w:val="22"/>
          <w:szCs w:val="22"/>
          <w:color w:val="auto"/>
        </w:rPr>
        <w:t>For additional information, the following tables summarize the world-wide operating results and property and equipment for each of the Company’s vessel classes for the periods indicated (in thousands, except statistics):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Anchor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2"/>
              </w:rPr>
              <w:t>handling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towing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line="162" w:lineRule="exact"/>
              <w:rPr>
                <w:sz w:val="20"/>
                <w:szCs w:val="20"/>
                <w:color w:val="auto"/>
              </w:rPr>
            </w:pPr>
            <w:r>
              <w:rPr>
                <w:rFonts w:ascii="Arial" w:cs="Arial" w:eastAsia="Arial" w:hAnsi="Arial"/>
                <w:sz w:val="15"/>
                <w:szCs w:val="15"/>
                <w:b w:val="1"/>
                <w:bCs w:val="1"/>
                <w:color w:val="auto"/>
              </w:rPr>
              <w:t>Fast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Other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supply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6"/>
              </w:rPr>
              <w:t>support</w:t>
            </w: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5"/>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1"/>
              </w:rPr>
              <w:t>Specialty</w:t>
            </w:r>
          </w:p>
        </w:tc>
        <w:tc>
          <w:tcPr>
            <w:tcW w:w="10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4"/>
              </w:rPr>
              <w:t>Liftboats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activity</w:t>
            </w:r>
          </w:p>
        </w:tc>
        <w:tc>
          <w:tcPr>
            <w:tcW w:w="14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5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Three Months Ended March 31, 2021</w:t>
            </w: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7,778</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7,888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12,110</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1,890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26,792</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11,323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61%</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5,505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20"/>
                <w:szCs w:val="20"/>
                <w:color w:val="auto"/>
              </w:rPr>
            </w:pPr>
            <w:r>
              <w:rPr>
                <w:rFonts w:ascii="Arial" w:cs="Arial" w:eastAsia="Arial" w:hAnsi="Arial"/>
                <w:sz w:val="15"/>
                <w:szCs w:val="15"/>
                <w:color w:val="auto"/>
              </w:rPr>
              <w:t>Operating Revenues: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2,801</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10,657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10,082</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10,580</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34,290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729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729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(130)</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(218)</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2,671</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11,168</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10,428</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182</w:t>
            </w:r>
          </w:p>
        </w:tc>
        <w:tc>
          <w:tcPr>
            <w:tcW w:w="2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11,377</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686</w:t>
            </w:r>
          </w:p>
        </w:tc>
        <w:tc>
          <w:tcPr>
            <w:tcW w:w="2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36,512</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4,041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4,158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3,806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13,418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1,535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1,135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894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3,840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2,217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466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474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719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1,958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1,141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880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677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(322)</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2,672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1,882</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9,087</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7,760</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135</w:t>
            </w: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7,291</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152</w:t>
            </w: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26,307</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20" w:type="dxa"/>
            <w:vAlign w:val="bottom"/>
          </w:tcPr>
          <w:p>
            <w:pPr>
              <w:spacing w:after="0" w:line="169" w:lineRule="exact"/>
              <w:rPr>
                <w:sz w:val="20"/>
                <w:szCs w:val="20"/>
                <w:color w:val="auto"/>
              </w:rPr>
            </w:pPr>
            <w:r>
              <w:rPr>
                <w:rFonts w:ascii="Arial" w:cs="Arial" w:eastAsia="Arial" w:hAnsi="Arial"/>
                <w:sz w:val="15"/>
                <w:szCs w:val="15"/>
                <w:b w:val="1"/>
                <w:bCs w:val="1"/>
                <w:color w:val="auto"/>
              </w:rPr>
              <w:t>Direct Vessel Profit (Loss)</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789</w:t>
            </w:r>
          </w:p>
        </w:tc>
        <w:tc>
          <w:tcPr>
            <w:tcW w:w="200" w:type="dxa"/>
            <w:vAlign w:val="bottom"/>
          </w:tcPr>
          <w:p>
            <w:pPr>
              <w:spacing w:after="0"/>
              <w:rPr>
                <w:sz w:val="18"/>
                <w:szCs w:val="18"/>
                <w:color w:val="auto"/>
              </w:rPr>
            </w:pPr>
          </w:p>
        </w:tc>
        <w:tc>
          <w:tcPr>
            <w:tcW w:w="2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2,081</w:t>
            </w:r>
          </w:p>
        </w:tc>
        <w:tc>
          <w:tcPr>
            <w:tcW w:w="280" w:type="dxa"/>
            <w:vAlign w:val="bottom"/>
          </w:tcPr>
          <w:p>
            <w:pPr>
              <w:spacing w:after="0"/>
              <w:rPr>
                <w:sz w:val="18"/>
                <w:szCs w:val="18"/>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2,668</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47</w:t>
            </w:r>
          </w:p>
        </w:tc>
        <w:tc>
          <w:tcPr>
            <w:tcW w:w="28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4,086</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534</w:t>
            </w:r>
          </w:p>
        </w:tc>
        <w:tc>
          <w:tcPr>
            <w:tcW w:w="260" w:type="dxa"/>
            <w:vAlign w:val="bottom"/>
          </w:tcPr>
          <w:p>
            <w:pPr>
              <w:spacing w:after="0"/>
              <w:rPr>
                <w:sz w:val="18"/>
                <w:szCs w:val="18"/>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10,205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2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400</w:t>
            </w:r>
          </w:p>
        </w:tc>
        <w:tc>
          <w:tcPr>
            <w:tcW w:w="20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352</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314</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1,078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8,611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494</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5,096</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2,977</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5,659</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572</w:t>
            </w:r>
          </w:p>
        </w:tc>
        <w:tc>
          <w:tcPr>
            <w:tcW w:w="2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14,798</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24,487</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line="169" w:lineRule="exact"/>
              <w:rPr>
                <w:sz w:val="20"/>
                <w:szCs w:val="20"/>
                <w:color w:val="auto"/>
              </w:rPr>
            </w:pPr>
            <w:r>
              <w:rPr>
                <w:rFonts w:ascii="Arial" w:cs="Arial" w:eastAsia="Arial" w:hAnsi="Arial"/>
                <w:sz w:val="15"/>
                <w:szCs w:val="15"/>
                <w:color w:val="auto"/>
              </w:rPr>
              <w:t>Loss on Asset Dispositions and Impairments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(2,273)</w:t>
            </w:r>
          </w:p>
        </w:tc>
        <w:tc>
          <w:tcPr>
            <w:tcW w:w="0" w:type="dxa"/>
            <w:vAlign w:val="bottom"/>
          </w:tcPr>
          <w:p>
            <w:pPr>
              <w:spacing w:after="0"/>
              <w:rPr>
                <w:sz w:val="1"/>
                <w:szCs w:val="1"/>
                <w:color w:val="auto"/>
              </w:rPr>
            </w:pPr>
          </w:p>
        </w:tc>
      </w:tr>
      <w:tr>
        <w:trPr>
          <w:trHeight w:val="20"/>
        </w:trPr>
        <w:tc>
          <w:tcPr>
            <w:tcW w:w="35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Loss</w:t>
            </w: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(16,555)</w:t>
            </w: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2021</w:t>
            </w: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50,189</w:t>
            </w:r>
          </w:p>
        </w:tc>
        <w:tc>
          <w:tcPr>
            <w:tcW w:w="2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372,805</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229,124</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3,163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321,750</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23,399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1,000,430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(32,273)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(108,850)</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(11,416)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(3,138)</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(123,022)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(19,093)</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(297,792)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17,916</w:t>
            </w:r>
          </w:p>
        </w:tc>
        <w:tc>
          <w:tcPr>
            <w:tcW w:w="20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263,955</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217,708</w:t>
            </w:r>
          </w:p>
        </w:tc>
        <w:tc>
          <w:tcPr>
            <w:tcW w:w="20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198,728</w:t>
            </w:r>
          </w:p>
        </w:tc>
        <w:tc>
          <w:tcPr>
            <w:tcW w:w="18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4,306</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702,638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Anchor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2"/>
              </w:rPr>
              <w:t>handling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towing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line="162" w:lineRule="exact"/>
              <w:rPr>
                <w:sz w:val="20"/>
                <w:szCs w:val="20"/>
                <w:color w:val="auto"/>
              </w:rPr>
            </w:pPr>
            <w:r>
              <w:rPr>
                <w:rFonts w:ascii="Arial" w:cs="Arial" w:eastAsia="Arial" w:hAnsi="Arial"/>
                <w:sz w:val="15"/>
                <w:szCs w:val="15"/>
                <w:b w:val="1"/>
                <w:bCs w:val="1"/>
                <w:color w:val="auto"/>
              </w:rPr>
              <w:t>Fast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supply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6"/>
              </w:rPr>
              <w:t>support</w:t>
            </w: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5"/>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1"/>
              </w:rPr>
              <w:t>Specialty</w:t>
            </w:r>
          </w:p>
        </w:tc>
        <w:tc>
          <w:tcPr>
            <w:tcW w:w="10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4"/>
              </w:rPr>
              <w:t>Liftboats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activity</w:t>
            </w:r>
          </w:p>
        </w:tc>
        <w:tc>
          <w:tcPr>
            <w:tcW w:w="1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5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Three Months Ended March 31, 2020</w:t>
            </w: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8,013</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8,472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7,359</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1,982</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27,514</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10,886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76%</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2,521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242</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5,361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20"/>
                <w:szCs w:val="20"/>
                <w:color w:val="auto"/>
              </w:rPr>
            </w:pPr>
            <w:r>
              <w:rPr>
                <w:rFonts w:ascii="Arial" w:cs="Arial" w:eastAsia="Arial" w:hAnsi="Arial"/>
                <w:sz w:val="15"/>
                <w:szCs w:val="15"/>
                <w:color w:val="auto"/>
              </w:rPr>
              <w:t>Operating Revenues: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2,225</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16,284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2,520</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12,339</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33,548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724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(355)</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(69)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2,784</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16,653</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2,451</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161</w:t>
            </w:r>
          </w:p>
        </w:tc>
        <w:tc>
          <w:tcPr>
            <w:tcW w:w="2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12,589</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1,029</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35,667</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ind w:left="260"/>
              <w:spacing w:after="0" w:line="169" w:lineRule="exact"/>
              <w:rPr>
                <w:sz w:val="20"/>
                <w:szCs w:val="20"/>
                <w:color w:val="auto"/>
              </w:rPr>
            </w:pPr>
            <w:r>
              <w:rPr>
                <w:rFonts w:ascii="Arial" w:cs="Arial" w:eastAsia="Arial" w:hAnsi="Arial"/>
                <w:sz w:val="15"/>
                <w:szCs w:val="15"/>
                <w:color w:val="auto"/>
              </w:rPr>
              <w:t>Direct Costs and Expenses: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20"/>
                <w:szCs w:val="20"/>
                <w:color w:val="auto"/>
              </w:rPr>
            </w:pPr>
            <w:r>
              <w:rPr>
                <w:rFonts w:ascii="Arial" w:cs="Arial" w:eastAsia="Arial" w:hAnsi="Arial"/>
                <w:sz w:val="15"/>
                <w:szCs w:val="15"/>
                <w:color w:val="auto"/>
              </w:rPr>
              <w:t>Operating:</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Personnel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4,659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4,097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247</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11,186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Repairs and maintenance</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408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2,278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348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650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3,840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Drydocking</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Insurance and loss reserves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332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679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(303)</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840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Fuel, lubes and supplies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1,000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397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(251)</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1,663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1,842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9,209</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2,137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345</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7,370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(168)</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20,735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520" w:type="dxa"/>
            <w:vAlign w:val="bottom"/>
          </w:tcPr>
          <w:p>
            <w:pPr>
              <w:spacing w:after="0" w:line="152" w:lineRule="exact"/>
              <w:rPr>
                <w:sz w:val="20"/>
                <w:szCs w:val="20"/>
                <w:color w:val="auto"/>
              </w:rPr>
            </w:pPr>
            <w:r>
              <w:rPr>
                <w:rFonts w:ascii="Arial" w:cs="Arial" w:eastAsia="Arial" w:hAnsi="Arial"/>
                <w:sz w:val="15"/>
                <w:szCs w:val="15"/>
                <w:b w:val="1"/>
                <w:bCs w:val="1"/>
                <w:color w:val="auto"/>
              </w:rPr>
              <w:t>Direct Vessel Profit (Loss), from Continuing</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20" w:type="dxa"/>
            <w:vAlign w:val="bottom"/>
          </w:tcPr>
          <w:p>
            <w:pPr>
              <w:spacing w:after="0"/>
              <w:rPr>
                <w:sz w:val="20"/>
                <w:szCs w:val="20"/>
                <w:color w:val="auto"/>
              </w:rPr>
            </w:pPr>
            <w:r>
              <w:rPr>
                <w:rFonts w:ascii="Arial" w:cs="Arial" w:eastAsia="Arial" w:hAnsi="Arial"/>
                <w:sz w:val="15"/>
                <w:szCs w:val="15"/>
                <w:b w:val="1"/>
                <w:bCs w:val="1"/>
                <w:color w:val="auto"/>
              </w:rPr>
              <w:t>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942</w:t>
            </w:r>
          </w:p>
        </w:tc>
        <w:tc>
          <w:tcPr>
            <w:tcW w:w="20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7,444</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314</w:t>
            </w:r>
          </w:p>
        </w:tc>
        <w:tc>
          <w:tcPr>
            <w:tcW w:w="20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(184)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5,219</w:t>
            </w:r>
          </w:p>
        </w:tc>
        <w:tc>
          <w:tcPr>
            <w:tcW w:w="18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1,197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14,932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52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1,216</w:t>
            </w:r>
          </w:p>
        </w:tc>
        <w:tc>
          <w:tcPr>
            <w:tcW w:w="20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352</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1,497</w:t>
            </w:r>
          </w:p>
        </w:tc>
        <w:tc>
          <w:tcPr>
            <w:tcW w:w="18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260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3,325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9,394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561</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5,118</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787</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206</w:t>
            </w:r>
          </w:p>
        </w:tc>
        <w:tc>
          <w:tcPr>
            <w:tcW w:w="2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6,128</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562</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13,362</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26,081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line="169" w:lineRule="exact"/>
              <w:rPr>
                <w:sz w:val="20"/>
                <w:szCs w:val="20"/>
                <w:color w:val="auto"/>
              </w:rPr>
            </w:pPr>
            <w:r>
              <w:rPr>
                <w:rFonts w:ascii="Arial" w:cs="Arial" w:eastAsia="Arial" w:hAnsi="Arial"/>
                <w:sz w:val="15"/>
                <w:szCs w:val="15"/>
                <w:color w:val="auto"/>
              </w:rPr>
              <w:t>Loss on Asset Dispositions and Impairments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(12,572)</w:t>
            </w:r>
          </w:p>
        </w:tc>
        <w:tc>
          <w:tcPr>
            <w:tcW w:w="0" w:type="dxa"/>
            <w:vAlign w:val="bottom"/>
          </w:tcPr>
          <w:p>
            <w:pPr>
              <w:spacing w:after="0"/>
              <w:rPr>
                <w:sz w:val="1"/>
                <w:szCs w:val="1"/>
                <w:color w:val="auto"/>
              </w:rPr>
            </w:pPr>
          </w:p>
        </w:tc>
      </w:tr>
      <w:tr>
        <w:trPr>
          <w:trHeight w:val="20"/>
        </w:trPr>
        <w:tc>
          <w:tcPr>
            <w:tcW w:w="35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Loss, for Continuing Operations</w:t>
            </w: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(23,721)</w:t>
            </w: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2020</w:t>
            </w: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50,189</w:t>
            </w:r>
          </w:p>
        </w:tc>
        <w:tc>
          <w:tcPr>
            <w:tcW w:w="2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382,254</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61,626</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11,661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327,028</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24,360</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857,118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(30,289)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(98,219)</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(9,258)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(7,484)</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(101,114)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(18,001)</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(264,365)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19,900</w:t>
            </w:r>
          </w:p>
        </w:tc>
        <w:tc>
          <w:tcPr>
            <w:tcW w:w="2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284,035</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52,368</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4,177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225,914</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6,359</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592,753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Fleet Counts. </w:t>
      </w:r>
      <w:r>
        <w:rPr>
          <w:rFonts w:ascii="Arial" w:cs="Arial" w:eastAsia="Arial" w:hAnsi="Arial"/>
          <w:sz w:val="22"/>
          <w:szCs w:val="22"/>
          <w:color w:val="auto"/>
        </w:rPr>
        <w:t>The Company’s fleet count as of March 31, 2021 and December 31, 2020 was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Owned</w:t>
            </w: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Joint Ventured</w:t>
            </w: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Leased-in</w:t>
            </w: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Managed</w:t>
            </w:r>
          </w:p>
        </w:tc>
        <w:tc>
          <w:tcPr>
            <w:tcW w:w="112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080" w:type="dxa"/>
            <w:vAlign w:val="bottom"/>
            <w:tcBorders>
              <w:top w:val="single" w:sz="8" w:color="CFF0FC"/>
              <w:bottom w:val="single" w:sz="8" w:color="auto"/>
            </w:tcBorders>
            <w:shd w:val="clear" w:color="auto" w:fill="CFF0FC"/>
          </w:tcPr>
          <w:p>
            <w:pPr>
              <w:ind w:left="2000"/>
              <w:spacing w:after="0"/>
              <w:rPr>
                <w:sz w:val="20"/>
                <w:szCs w:val="20"/>
                <w:color w:val="auto"/>
              </w:rPr>
            </w:pPr>
            <w:r>
              <w:rPr>
                <w:rFonts w:ascii="Arial" w:cs="Arial" w:eastAsia="Arial" w:hAnsi="Arial"/>
                <w:sz w:val="16"/>
                <w:szCs w:val="16"/>
                <w:b w:val="1"/>
                <w:bCs w:val="1"/>
                <w:color w:val="auto"/>
              </w:rPr>
              <w:t>March 31, 2021</w:t>
            </w: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gridSpan w:val="2"/>
          </w:tcPr>
          <w:p>
            <w:pPr>
              <w:spacing w:after="0"/>
              <w:rPr>
                <w:sz w:val="20"/>
                <w:szCs w:val="20"/>
                <w:color w:val="auto"/>
              </w:rPr>
            </w:pPr>
            <w:r>
              <w:rPr>
                <w:rFonts w:ascii="Arial" w:cs="Arial" w:eastAsia="Arial" w:hAnsi="Arial"/>
                <w:sz w:val="16"/>
                <w:szCs w:val="16"/>
                <w:color w:val="auto"/>
              </w:rPr>
              <w:t>AHTS</w:t>
            </w: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FSV</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Arial" w:cs="Arial" w:eastAsia="Arial" w:hAnsi="Arial"/>
                <w:sz w:val="16"/>
                <w:szCs w:val="16"/>
                <w:color w:val="auto"/>
              </w:rPr>
              <w:t>Supply</w:t>
            </w: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Specialty </w:t>
            </w:r>
            <w:r>
              <w:rPr>
                <w:rFonts w:ascii="Arial" w:cs="Arial" w:eastAsia="Arial" w:hAnsi="Arial"/>
                <w:sz w:val="25"/>
                <w:szCs w:val="25"/>
                <w:color w:val="auto"/>
                <w:vertAlign w:val="superscript"/>
              </w:rPr>
              <w:t>(1)</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Arial" w:cs="Arial" w:eastAsia="Arial" w:hAnsi="Arial"/>
                <w:sz w:val="16"/>
                <w:szCs w:val="16"/>
                <w:color w:val="auto"/>
              </w:rPr>
              <w:t>Liftboats</w:t>
            </w: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188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FF0FC"/>
            </w:tcBorders>
            <w:vMerge w:val="continue"/>
          </w:tcPr>
          <w:p>
            <w:pPr>
              <w:spacing w:after="0"/>
              <w:rPr>
                <w:sz w:val="17"/>
                <w:szCs w:val="17"/>
                <w:color w:val="auto"/>
              </w:rPr>
            </w:pPr>
          </w:p>
        </w:tc>
        <w:tc>
          <w:tcPr>
            <w:tcW w:w="100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0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AHTS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Arial" w:cs="Arial" w:eastAsia="Arial" w:hAnsi="Arial"/>
                <w:sz w:val="16"/>
                <w:szCs w:val="16"/>
                <w:color w:val="auto"/>
              </w:rPr>
              <w:t>FSV</w:t>
            </w: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Supply</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Arial" w:cs="Arial" w:eastAsia="Arial" w:hAnsi="Arial"/>
                <w:sz w:val="16"/>
                <w:szCs w:val="16"/>
                <w:color w:val="auto"/>
              </w:rPr>
              <w:t>Specialty</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Liftboats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Arial" w:cs="Arial" w:eastAsia="Arial" w:hAnsi="Arial"/>
                <w:sz w:val="16"/>
                <w:szCs w:val="16"/>
                <w:color w:val="auto"/>
              </w:rPr>
              <w:t>Crew Transfer - Discontinued Operations</w:t>
            </w: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Crew Transfer - Continuing Operations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5"/>
          <w:szCs w:val="15"/>
          <w:color w:val="auto"/>
        </w:rPr>
      </w:pPr>
      <w:r>
        <w:rPr>
          <w:rFonts w:ascii="Arial" w:cs="Arial" w:eastAsia="Arial" w:hAnsi="Arial"/>
          <w:sz w:val="14"/>
          <w:szCs w:val="14"/>
          <w:color w:val="auto"/>
        </w:rPr>
        <w:t>One owned vessel classified as a Crew Transfer Continuing Operations as of December 31, 2020 was reclassified as a Specialty Vessel as of March 31, 2021.</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Operating Income (Loss)</w:t>
      </w:r>
    </w:p>
    <w:p>
      <w:pPr>
        <w:spacing w:after="0" w:line="17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b w:val="1"/>
          <w:bCs w:val="1"/>
          <w:i w:val="1"/>
          <w:iCs w:val="1"/>
          <w:color w:val="auto"/>
        </w:rPr>
        <w:t xml:space="preserve">United States, primarily Gulf of Mexico. </w:t>
      </w:r>
      <w:r>
        <w:rPr>
          <w:rFonts w:ascii="Arial" w:cs="Arial" w:eastAsia="Arial" w:hAnsi="Arial"/>
          <w:sz w:val="21"/>
          <w:szCs w:val="21"/>
          <w:color w:val="auto"/>
        </w:rPr>
        <w:t>For the three months ended March 31, 2021 and 2020 the Company’s time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charter statistics and direct vessel profit (loss) in the United States was as follows (in thousands, except statistics):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6"/>
          </w:tcPr>
          <w:p>
            <w:pPr>
              <w:jc w:val="right"/>
              <w:ind w:right="299"/>
              <w:spacing w:after="0"/>
              <w:rPr>
                <w:sz w:val="20"/>
                <w:szCs w:val="20"/>
                <w:color w:val="auto"/>
              </w:rPr>
            </w:pPr>
            <w:r>
              <w:rPr>
                <w:rFonts w:ascii="Arial" w:cs="Arial" w:eastAsia="Arial" w:hAnsi="Arial"/>
                <w:sz w:val="16"/>
                <w:szCs w:val="16"/>
                <w:b w:val="1"/>
                <w:bCs w:val="1"/>
                <w:color w:val="auto"/>
              </w:rPr>
              <w:t>For the Three Months Ended March 31,</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3820" w:type="dxa"/>
            <w:vAlign w:val="bottom"/>
            <w:tcBorders>
              <w:bottom w:val="single" w:sz="8" w:color="CFF0FC"/>
            </w:tcBorders>
          </w:tcPr>
          <w:p>
            <w:pPr>
              <w:spacing w:after="0"/>
              <w:rPr>
                <w:sz w:val="18"/>
                <w:szCs w:val="18"/>
                <w:color w:val="auto"/>
              </w:rPr>
            </w:pPr>
          </w:p>
        </w:tc>
        <w:tc>
          <w:tcPr>
            <w:tcW w:w="18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2"/>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8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382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38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3820" w:type="dxa"/>
            <w:vAlign w:val="bottom"/>
          </w:tcPr>
          <w:p>
            <w:pPr>
              <w:ind w:left="500"/>
              <w:spacing w:after="0"/>
              <w:rPr>
                <w:sz w:val="20"/>
                <w:szCs w:val="20"/>
                <w:color w:val="auto"/>
              </w:rPr>
            </w:pPr>
            <w:r>
              <w:rPr>
                <w:rFonts w:ascii="Arial" w:cs="Arial" w:eastAsia="Arial" w:hAnsi="Arial"/>
                <w:sz w:val="16"/>
                <w:szCs w:val="16"/>
                <w:color w:val="auto"/>
              </w:rPr>
              <w:t>FSV</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7,400</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7,380</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382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16,284</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32,416</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15,910</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20,988</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382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13"/>
        </w:trPr>
        <w:tc>
          <w:tcPr>
            <w:tcW w:w="3820" w:type="dxa"/>
            <w:vAlign w:val="bottom"/>
          </w:tcPr>
          <w:p>
            <w:pPr>
              <w:ind w:left="500"/>
              <w:spacing w:after="0"/>
              <w:rPr>
                <w:sz w:val="20"/>
                <w:szCs w:val="20"/>
                <w:color w:val="auto"/>
              </w:rPr>
            </w:pPr>
            <w:r>
              <w:rPr>
                <w:rFonts w:ascii="Arial" w:cs="Arial" w:eastAsia="Arial" w:hAnsi="Arial"/>
                <w:sz w:val="16"/>
                <w:szCs w:val="16"/>
                <w:color w:val="auto"/>
              </w:rPr>
              <w:t>FSV</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r>
      <w:tr>
        <w:trPr>
          <w:trHeight w:val="213"/>
        </w:trPr>
        <w:tc>
          <w:tcPr>
            <w:tcW w:w="382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9%</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r>
      <w:tr>
        <w:trPr>
          <w:trHeight w:val="213"/>
        </w:trPr>
        <w:tc>
          <w:tcPr>
            <w:tcW w:w="382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3820" w:type="dxa"/>
            <w:vAlign w:val="bottom"/>
          </w:tcPr>
          <w:p>
            <w:pPr>
              <w:ind w:left="500"/>
              <w:spacing w:after="0"/>
              <w:rPr>
                <w:sz w:val="20"/>
                <w:szCs w:val="20"/>
                <w:color w:val="auto"/>
              </w:rPr>
            </w:pPr>
            <w:r>
              <w:rPr>
                <w:rFonts w:ascii="Arial" w:cs="Arial" w:eastAsia="Arial" w:hAnsi="Arial"/>
                <w:sz w:val="16"/>
                <w:szCs w:val="16"/>
                <w:color w:val="auto"/>
              </w:rPr>
              <w:t>FSV</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317</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364</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3820" w:type="dxa"/>
            <w:vAlign w:val="bottom"/>
          </w:tcPr>
          <w:p>
            <w:pPr>
              <w:ind w:left="500"/>
              <w:spacing w:after="0"/>
              <w:rPr>
                <w:sz w:val="20"/>
                <w:szCs w:val="20"/>
                <w:color w:val="auto"/>
              </w:rPr>
            </w:pPr>
            <w:r>
              <w:rPr>
                <w:rFonts w:ascii="Arial" w:cs="Arial" w:eastAsia="Arial" w:hAnsi="Arial"/>
                <w:sz w:val="16"/>
                <w:szCs w:val="16"/>
                <w:color w:val="auto"/>
              </w:rPr>
              <w:t>Specialty</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18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1,021</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1,092</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6"/>
        </w:trPr>
        <w:tc>
          <w:tcPr>
            <w:tcW w:w="38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1800" w:type="dxa"/>
            <w:vAlign w:val="bottom"/>
            <w:tcBorders>
              <w:bottom w:val="single" w:sz="8" w:color="CFF0FC"/>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w:t>
            </w:r>
          </w:p>
        </w:tc>
        <w:tc>
          <w:tcPr>
            <w:tcW w:w="380" w:type="dxa"/>
            <w:vAlign w:val="bottom"/>
            <w:tcBorders>
              <w:bottom w:val="single" w:sz="8" w:color="CFF0FC"/>
            </w:tcBorders>
          </w:tcPr>
          <w:p>
            <w:pPr>
              <w:spacing w:after="0"/>
              <w:rPr>
                <w:sz w:val="21"/>
                <w:szCs w:val="21"/>
                <w:color w:val="auto"/>
              </w:rPr>
            </w:pPr>
          </w:p>
        </w:tc>
        <w:tc>
          <w:tcPr>
            <w:tcW w:w="60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w:t>
            </w:r>
          </w:p>
        </w:tc>
        <w:tc>
          <w:tcPr>
            <w:tcW w:w="10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8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3"/>
        </w:trPr>
        <w:tc>
          <w:tcPr>
            <w:tcW w:w="382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3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1,489</w:t>
            </w: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54%</w:t>
            </w: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4,375</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76%</w:t>
            </w:r>
          </w:p>
        </w:tc>
      </w:tr>
      <w:tr>
        <w:trPr>
          <w:trHeight w:val="219"/>
        </w:trPr>
        <w:tc>
          <w:tcPr>
            <w:tcW w:w="3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Bareboat charter</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w:t>
            </w: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26%</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r>
      <w:tr>
        <w:trPr>
          <w:trHeight w:val="213"/>
        </w:trPr>
        <w:tc>
          <w:tcPr>
            <w:tcW w:w="38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marine services</w:t>
            </w:r>
          </w:p>
        </w:tc>
        <w:tc>
          <w:tcPr>
            <w:tcW w:w="18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3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6"/>
                <w:szCs w:val="16"/>
                <w:color w:val="auto"/>
              </w:rPr>
              <w:t>20%</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213"/>
        </w:trPr>
        <w:tc>
          <w:tcPr>
            <w:tcW w:w="38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2,764</w:t>
            </w:r>
          </w:p>
        </w:tc>
        <w:tc>
          <w:tcPr>
            <w:tcW w:w="3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100%</w:t>
            </w:r>
          </w:p>
        </w:tc>
        <w:tc>
          <w:tcPr>
            <w:tcW w:w="6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5,741</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r>
      <w:tr>
        <w:trPr>
          <w:trHeight w:val="206"/>
        </w:trPr>
        <w:tc>
          <w:tcPr>
            <w:tcW w:w="3820" w:type="dxa"/>
            <w:vAlign w:val="bottom"/>
          </w:tcPr>
          <w:p>
            <w:pPr>
              <w:spacing w:after="0"/>
              <w:rPr>
                <w:sz w:val="20"/>
                <w:szCs w:val="20"/>
                <w:color w:val="auto"/>
              </w:rPr>
            </w:pPr>
            <w:r>
              <w:rPr>
                <w:rFonts w:ascii="Arial" w:cs="Arial" w:eastAsia="Arial" w:hAnsi="Arial"/>
                <w:sz w:val="16"/>
                <w:szCs w:val="16"/>
                <w:color w:val="auto"/>
              </w:rPr>
              <w:t>Direct operating expenses:</w:t>
            </w:r>
          </w:p>
        </w:tc>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3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Personnel</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1,744</w:t>
            </w: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63%</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2,928</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51%</w:t>
            </w:r>
          </w:p>
        </w:tc>
      </w:tr>
      <w:tr>
        <w:trPr>
          <w:trHeight w:val="213"/>
        </w:trPr>
        <w:tc>
          <w:tcPr>
            <w:tcW w:w="3820" w:type="dxa"/>
            <w:vAlign w:val="bottom"/>
          </w:tcPr>
          <w:p>
            <w:pPr>
              <w:ind w:left="260"/>
              <w:spacing w:after="0"/>
              <w:rPr>
                <w:sz w:val="20"/>
                <w:szCs w:val="20"/>
                <w:color w:val="auto"/>
              </w:rPr>
            </w:pPr>
            <w:r>
              <w:rPr>
                <w:rFonts w:ascii="Arial" w:cs="Arial" w:eastAsia="Arial" w:hAnsi="Arial"/>
                <w:sz w:val="16"/>
                <w:szCs w:val="16"/>
                <w:color w:val="auto"/>
              </w:rPr>
              <w:t>Repairs and maintenance</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654</w:t>
            </w: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24%</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617</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219"/>
        </w:trPr>
        <w:tc>
          <w:tcPr>
            <w:tcW w:w="3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Drydocking</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w:t>
            </w: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32%</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r>
      <w:tr>
        <w:trPr>
          <w:trHeight w:val="213"/>
        </w:trPr>
        <w:tc>
          <w:tcPr>
            <w:tcW w:w="382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527</w:t>
            </w: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19%</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219"/>
        </w:trPr>
        <w:tc>
          <w:tcPr>
            <w:tcW w:w="3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w:t>
            </w:r>
          </w:p>
        </w:tc>
      </w:tr>
      <w:tr>
        <w:trPr>
          <w:trHeight w:val="213"/>
        </w:trPr>
        <w:tc>
          <w:tcPr>
            <w:tcW w:w="38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w:t>
            </w:r>
          </w:p>
        </w:tc>
        <w:tc>
          <w:tcPr>
            <w:tcW w:w="18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3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6"/>
                <w:szCs w:val="16"/>
                <w:color w:val="auto"/>
              </w:rPr>
              <w:t>3%</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213"/>
        </w:trPr>
        <w:tc>
          <w:tcPr>
            <w:tcW w:w="38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4,076</w:t>
            </w:r>
          </w:p>
        </w:tc>
        <w:tc>
          <w:tcPr>
            <w:tcW w:w="3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147%</w:t>
            </w:r>
          </w:p>
        </w:tc>
        <w:tc>
          <w:tcPr>
            <w:tcW w:w="6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5,340</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93%</w:t>
            </w:r>
          </w:p>
        </w:tc>
      </w:tr>
      <w:tr>
        <w:trPr>
          <w:trHeight w:val="206"/>
        </w:trPr>
        <w:tc>
          <w:tcPr>
            <w:tcW w:w="3820" w:type="dxa"/>
            <w:vAlign w:val="bottom"/>
          </w:tcPr>
          <w:p>
            <w:pPr>
              <w:spacing w:after="0"/>
              <w:rPr>
                <w:sz w:val="20"/>
                <w:szCs w:val="20"/>
                <w:color w:val="auto"/>
              </w:rPr>
            </w:pPr>
            <w:r>
              <w:rPr>
                <w:rFonts w:ascii="Arial" w:cs="Arial" w:eastAsia="Arial" w:hAnsi="Arial"/>
                <w:sz w:val="16"/>
                <w:szCs w:val="16"/>
                <w:color w:val="auto"/>
              </w:rPr>
              <w:t>Direct Vessel Profit</w:t>
            </w:r>
          </w:p>
        </w:tc>
        <w:tc>
          <w:tcPr>
            <w:tcW w:w="23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(1,312)</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(47)%</w:t>
            </w: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401</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r>
      <w:tr>
        <w:trPr>
          <w:trHeight w:val="20"/>
        </w:trPr>
        <w:tc>
          <w:tcPr>
            <w:tcW w:w="3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1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$2.9 million lower in the Current Year Quarter compared with the Prior Year</w:t>
      </w:r>
      <w:r>
        <w:rPr>
          <w:rFonts w:ascii="Arial" w:cs="Arial" w:eastAsia="Arial" w:hAnsi="Arial"/>
          <w:sz w:val="22"/>
          <w:szCs w:val="22"/>
          <w:i w:val="1"/>
          <w:iCs w:val="1"/>
          <w:color w:val="auto"/>
        </w:rPr>
        <w:t xml:space="preserve"> </w:t>
      </w:r>
      <w:r>
        <w:rPr>
          <w:rFonts w:ascii="Arial" w:cs="Arial" w:eastAsia="Arial" w:hAnsi="Arial"/>
          <w:sz w:val="22"/>
          <w:szCs w:val="22"/>
          <w:color w:val="auto"/>
        </w:rPr>
        <w:t>Quarter. Charter revenues were $3.2 million lower due to the repositioning of vessels between geographic regions, and $0.3 million higher for the core fleet as a result of changes in fleet mix. As of March 31, 2021, the Company had 11 of 17 owned and leased-in vessels (two AHTS vessels, two FSVs, and seven liftboats) cold-stacked in this region compared with 12 of 23 vessels as of March 31, 2020.</w:t>
      </w:r>
    </w:p>
    <w:p>
      <w:pPr>
        <w:spacing w:after="0" w:line="18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Direct Operating Expenses</w:t>
      </w:r>
      <w:r>
        <w:rPr>
          <w:rFonts w:ascii="Arial" w:cs="Arial" w:eastAsia="Arial" w:hAnsi="Arial"/>
          <w:sz w:val="22"/>
          <w:szCs w:val="22"/>
          <w:color w:val="auto"/>
        </w:rPr>
        <w:t>. Direct operating expenses were $1.3 million lower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Direct operating expenses were $0.6 million lower for the core fleet, primarily due to reduced drydocking costs, $0.4 million lower due to net fleet dispositions, and $0.3 million lower due to the repositioning of vessels between geographic regions.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2" w:name="page33"/>
    <w:bookmarkEnd w:id="32"/>
    <w:p>
      <w:pPr>
        <w:jc w:val="both"/>
        <w:ind w:right="20" w:firstLine="749"/>
        <w:spacing w:after="0" w:line="328" w:lineRule="auto"/>
        <w:rPr>
          <w:sz w:val="20"/>
          <w:szCs w:val="20"/>
          <w:color w:val="auto"/>
        </w:rPr>
      </w:pPr>
      <w:r>
        <w:rPr>
          <w:rFonts w:ascii="Arial" w:cs="Arial" w:eastAsia="Arial" w:hAnsi="Arial"/>
          <w:sz w:val="19"/>
          <w:szCs w:val="19"/>
          <w:b w:val="1"/>
          <w:bCs w:val="1"/>
          <w:i w:val="1"/>
          <w:iCs w:val="1"/>
          <w:color w:val="auto"/>
        </w:rPr>
        <w:t xml:space="preserve">Africa and Europe, continuing operations. </w:t>
      </w:r>
      <w:r>
        <w:rPr>
          <w:rFonts w:ascii="Arial" w:cs="Arial" w:eastAsia="Arial" w:hAnsi="Arial"/>
          <w:sz w:val="19"/>
          <w:szCs w:val="19"/>
          <w:color w:val="auto"/>
        </w:rPr>
        <w:t>For the three months ended March 31, 2021 and 2020 the Company’s time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charter statistics and direct vessel profit in Africa and Europe was as follows (in thousands, except statistics):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6"/>
          </w:tcPr>
          <w:p>
            <w:pPr>
              <w:jc w:val="right"/>
              <w:ind w:right="299"/>
              <w:spacing w:after="0"/>
              <w:rPr>
                <w:sz w:val="20"/>
                <w:szCs w:val="20"/>
                <w:color w:val="auto"/>
              </w:rPr>
            </w:pPr>
            <w:r>
              <w:rPr>
                <w:rFonts w:ascii="Arial" w:cs="Arial" w:eastAsia="Arial" w:hAnsi="Arial"/>
                <w:sz w:val="16"/>
                <w:szCs w:val="16"/>
                <w:b w:val="1"/>
                <w:bCs w:val="1"/>
                <w:color w:val="auto"/>
              </w:rPr>
              <w:t>For the Three Months Ended March 31,</w:t>
            </w:r>
          </w:p>
        </w:tc>
        <w:tc>
          <w:tcPr>
            <w:tcW w:w="10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FF0FC"/>
            </w:tcBorders>
          </w:tcPr>
          <w:p>
            <w:pPr>
              <w:spacing w:after="0"/>
              <w:rPr>
                <w:sz w:val="18"/>
                <w:szCs w:val="18"/>
                <w:color w:val="auto"/>
              </w:rPr>
            </w:pPr>
          </w:p>
        </w:tc>
        <w:tc>
          <w:tcPr>
            <w:tcW w:w="18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8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38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8,408</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8,241</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500"/>
              <w:spacing w:after="0"/>
              <w:rPr>
                <w:sz w:val="20"/>
                <w:szCs w:val="20"/>
                <w:color w:val="auto"/>
              </w:rPr>
            </w:pPr>
            <w:r>
              <w:rPr>
                <w:rFonts w:ascii="Arial" w:cs="Arial" w:eastAsia="Arial" w:hAnsi="Arial"/>
                <w:sz w:val="16"/>
                <w:szCs w:val="16"/>
                <w:color w:val="auto"/>
              </w:rPr>
              <w:t>FSV</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8,998</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9,554</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9,192</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35,000</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32,038</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11,356</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10,856</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100%</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3"/>
        </w:trPr>
        <w:tc>
          <w:tcPr>
            <w:tcW w:w="3820" w:type="dxa"/>
            <w:vAlign w:val="bottom"/>
          </w:tcPr>
          <w:p>
            <w:pPr>
              <w:ind w:left="500"/>
              <w:spacing w:after="0"/>
              <w:rPr>
                <w:sz w:val="20"/>
                <w:szCs w:val="20"/>
                <w:color w:val="auto"/>
              </w:rPr>
            </w:pPr>
            <w:r>
              <w:rPr>
                <w:rFonts w:ascii="Arial" w:cs="Arial" w:eastAsia="Arial" w:hAnsi="Arial"/>
                <w:sz w:val="16"/>
                <w:szCs w:val="16"/>
                <w:color w:val="auto"/>
              </w:rPr>
              <w:t>FSV</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69%</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382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100%</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68%</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382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500"/>
              <w:spacing w:after="0"/>
              <w:rPr>
                <w:sz w:val="20"/>
                <w:szCs w:val="20"/>
                <w:color w:val="auto"/>
              </w:rPr>
            </w:pPr>
            <w:r>
              <w:rPr>
                <w:rFonts w:ascii="Arial" w:cs="Arial" w:eastAsia="Arial" w:hAnsi="Arial"/>
                <w:sz w:val="16"/>
                <w:szCs w:val="16"/>
                <w:color w:val="auto"/>
              </w:rPr>
              <w:t>FSV</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816</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910</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Liftboats</w:t>
            </w:r>
          </w:p>
        </w:tc>
        <w:tc>
          <w:tcPr>
            <w:tcW w:w="18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380" w:type="dxa"/>
            <w:vAlign w:val="bottom"/>
            <w:tcBorders>
              <w:bottom w:val="single" w:sz="8" w:color="CFF0FC"/>
            </w:tcBorders>
          </w:tcPr>
          <w:p>
            <w:pPr>
              <w:spacing w:after="0"/>
              <w:rPr>
                <w:sz w:val="18"/>
                <w:szCs w:val="18"/>
                <w:color w:val="auto"/>
              </w:rPr>
            </w:pPr>
          </w:p>
        </w:tc>
        <w:tc>
          <w:tcPr>
            <w:tcW w:w="60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8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1,356</w:t>
            </w:r>
          </w:p>
        </w:tc>
        <w:tc>
          <w:tcPr>
            <w:tcW w:w="3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1,437</w:t>
            </w:r>
          </w:p>
        </w:tc>
        <w:tc>
          <w:tcPr>
            <w:tcW w:w="10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6"/>
                <w:szCs w:val="16"/>
                <w:color w:val="auto"/>
              </w:rPr>
              <w:t>Operating revenues:</w:t>
            </w:r>
          </w:p>
        </w:tc>
        <w:tc>
          <w:tcPr>
            <w:tcW w:w="1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238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10,502</w:t>
            </w: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103%</w:t>
            </w:r>
          </w:p>
        </w:tc>
        <w:tc>
          <w:tcPr>
            <w:tcW w:w="60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14,010</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3820" w:type="dxa"/>
            <w:vAlign w:val="bottom"/>
          </w:tcPr>
          <w:p>
            <w:pPr>
              <w:ind w:left="260"/>
              <w:spacing w:after="0"/>
              <w:rPr>
                <w:sz w:val="20"/>
                <w:szCs w:val="20"/>
                <w:color w:val="auto"/>
              </w:rPr>
            </w:pPr>
            <w:r>
              <w:rPr>
                <w:rFonts w:ascii="Arial" w:cs="Arial" w:eastAsia="Arial" w:hAnsi="Arial"/>
                <w:sz w:val="16"/>
                <w:szCs w:val="16"/>
                <w:color w:val="auto"/>
              </w:rPr>
              <w:t>Other marine services</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(269)</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3820" w:type="dxa"/>
            <w:vAlign w:val="bottom"/>
            <w:tcBorders>
              <w:top w:val="single" w:sz="8" w:color="CFF0FC"/>
            </w:tcBorders>
            <w:shd w:val="clear" w:color="auto" w:fill="CFF0FC"/>
          </w:tcPr>
          <w:p>
            <w:pPr>
              <w:spacing w:after="0"/>
              <w:rPr>
                <w:sz w:val="18"/>
                <w:szCs w:val="18"/>
                <w:color w:val="auto"/>
              </w:rPr>
            </w:pPr>
          </w:p>
        </w:tc>
        <w:tc>
          <w:tcPr>
            <w:tcW w:w="18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10,233</w:t>
            </w:r>
          </w:p>
        </w:tc>
        <w:tc>
          <w:tcPr>
            <w:tcW w:w="3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100%</w:t>
            </w:r>
          </w:p>
        </w:tc>
        <w:tc>
          <w:tcPr>
            <w:tcW w:w="6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14,194</w:t>
            </w:r>
          </w:p>
        </w:tc>
        <w:tc>
          <w:tcPr>
            <w:tcW w:w="114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7"/>
        </w:trPr>
        <w:tc>
          <w:tcPr>
            <w:tcW w:w="3820" w:type="dxa"/>
            <w:vAlign w:val="bottom"/>
          </w:tcPr>
          <w:p>
            <w:pPr>
              <w:spacing w:after="0"/>
              <w:rPr>
                <w:sz w:val="20"/>
                <w:szCs w:val="20"/>
                <w:color w:val="auto"/>
              </w:rPr>
            </w:pPr>
            <w:r>
              <w:rPr>
                <w:rFonts w:ascii="Arial" w:cs="Arial" w:eastAsia="Arial" w:hAnsi="Arial"/>
                <w:sz w:val="16"/>
                <w:szCs w:val="16"/>
                <w:color w:val="auto"/>
              </w:rPr>
              <w:t>Direct operating expenses:</w:t>
            </w:r>
          </w:p>
        </w:tc>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Personnel</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3,220</w:t>
            </w: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31%</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3,232</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3820" w:type="dxa"/>
            <w:vAlign w:val="bottom"/>
          </w:tcPr>
          <w:p>
            <w:pPr>
              <w:ind w:left="260"/>
              <w:spacing w:after="0"/>
              <w:rPr>
                <w:sz w:val="20"/>
                <w:szCs w:val="20"/>
                <w:color w:val="auto"/>
              </w:rPr>
            </w:pPr>
            <w:r>
              <w:rPr>
                <w:rFonts w:ascii="Arial" w:cs="Arial" w:eastAsia="Arial" w:hAnsi="Arial"/>
                <w:sz w:val="16"/>
                <w:szCs w:val="16"/>
                <w:color w:val="auto"/>
              </w:rPr>
              <w:t>Repairs and maintenance</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1,191</w:t>
            </w: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12%</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1,585</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Drydocking</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3"/>
        </w:trPr>
        <w:tc>
          <w:tcPr>
            <w:tcW w:w="382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433</w:t>
            </w: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297</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3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1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w:t>
            </w: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w:t>
            </w:r>
          </w:p>
        </w:tc>
        <w:tc>
          <w:tcPr>
            <w:tcW w:w="18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3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6"/>
                <w:szCs w:val="16"/>
                <w:color w:val="auto"/>
              </w:rPr>
              <w:t>6%</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8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6,299</w:t>
            </w:r>
          </w:p>
        </w:tc>
        <w:tc>
          <w:tcPr>
            <w:tcW w:w="3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62%</w:t>
            </w:r>
          </w:p>
        </w:tc>
        <w:tc>
          <w:tcPr>
            <w:tcW w:w="6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6,235</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7"/>
        </w:trPr>
        <w:tc>
          <w:tcPr>
            <w:tcW w:w="3820" w:type="dxa"/>
            <w:vAlign w:val="bottom"/>
          </w:tcPr>
          <w:p>
            <w:pPr>
              <w:spacing w:after="0"/>
              <w:rPr>
                <w:sz w:val="20"/>
                <w:szCs w:val="20"/>
                <w:color w:val="auto"/>
              </w:rPr>
            </w:pPr>
            <w:r>
              <w:rPr>
                <w:rFonts w:ascii="Arial" w:cs="Arial" w:eastAsia="Arial" w:hAnsi="Arial"/>
                <w:sz w:val="16"/>
                <w:szCs w:val="16"/>
                <w:color w:val="auto"/>
              </w:rPr>
              <w:t>Direct Vessel Profit</w:t>
            </w:r>
          </w:p>
        </w:tc>
        <w:tc>
          <w:tcPr>
            <w:tcW w:w="23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3,934</w:t>
            </w:r>
          </w:p>
        </w:tc>
        <w:tc>
          <w:tcPr>
            <w:tcW w:w="3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38%</w:t>
            </w: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7,959</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Charter revenues were $3.5 million lower in the Current Year Quarter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Year Quarter. Charter revenues were $2.8 million lower due to the effect of cold-stacking vessels and $1.0 million lower due to the repositioning of vessels between geographic regions. Charter revenues were $0.3 million higher for the core fleet as a result of changes in fleet mix. Other marine services were $0.5 million lower due to the recognition in the Prior Year Quarter of previously deferred revenue, following the receipt of cash from a customer that was flagged for collection concerns. As of March 31, 2021, the Company had three of 15 owned and leased-in vessels (two FSVs and one PSV) cold-stacked in this region.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9" w:right="339" w:bottom="1440" w:gutter="0" w:footer="0" w:header="0"/>
        </w:sectPr>
      </w:pPr>
    </w:p>
    <w:bookmarkStart w:id="33" w:name="page34"/>
    <w:bookmarkEnd w:id="33"/>
    <w:p>
      <w:pPr>
        <w:jc w:val="both"/>
        <w:ind w:firstLine="749"/>
        <w:spacing w:after="0" w:line="297"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$0.1 million higher in the Current Year Quarter compared</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Prior Year Quarter. On an overall basis, operating costs were $0.5 million higher for the core fleet, primarily due to the timing of drydockings. Operating costs were $0.4 million lower due to the effect of cold-stacking vessels.</w:t>
      </w:r>
    </w:p>
    <w:p>
      <w:pPr>
        <w:spacing w:after="0" w:line="13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Middle East and Asia. </w:t>
      </w:r>
      <w:r>
        <w:rPr>
          <w:rFonts w:ascii="Arial" w:cs="Arial" w:eastAsia="Arial" w:hAnsi="Arial"/>
          <w:sz w:val="22"/>
          <w:szCs w:val="22"/>
          <w:color w:val="auto"/>
        </w:rPr>
        <w:t>For the three months ended March 31, 2021 and 2020 the Company’s time charter statistics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direct vessel profit in the Middle East and Asia was as follows (in thousands, except statistics):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0" w:type="dxa"/>
            <w:vAlign w:val="bottom"/>
            <w:gridSpan w:val="5"/>
          </w:tcPr>
          <w:p>
            <w:pPr>
              <w:ind w:left="720"/>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10"/>
        </w:trPr>
        <w:tc>
          <w:tcPr>
            <w:tcW w:w="3700" w:type="dxa"/>
            <w:vAlign w:val="bottom"/>
            <w:tcBorders>
              <w:bottom w:val="single" w:sz="8" w:color="CFF0FC"/>
            </w:tcBorders>
          </w:tcPr>
          <w:p>
            <w:pPr>
              <w:spacing w:after="0"/>
              <w:rPr>
                <w:sz w:val="18"/>
                <w:szCs w:val="18"/>
                <w:color w:val="auto"/>
              </w:rPr>
            </w:pPr>
          </w:p>
        </w:tc>
        <w:tc>
          <w:tcPr>
            <w:tcW w:w="1940" w:type="dxa"/>
            <w:vAlign w:val="bottom"/>
            <w:tcBorders>
              <w:bottom w:val="single" w:sz="8" w:color="CFF0FC"/>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top w:val="single" w:sz="8" w:color="auto"/>
              <w:bottom w:val="single" w:sz="8" w:color="CFF0FC"/>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FF0FC"/>
            </w:tcBorders>
          </w:tcPr>
          <w:p>
            <w:pPr>
              <w:spacing w:after="0"/>
              <w:rPr>
                <w:sz w:val="18"/>
                <w:szCs w:val="18"/>
                <w:color w:val="auto"/>
              </w:rPr>
            </w:pPr>
          </w:p>
        </w:tc>
      </w:tr>
      <w:tr>
        <w:trPr>
          <w:trHeight w:val="212"/>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3"/>
        </w:trPr>
        <w:tc>
          <w:tcPr>
            <w:tcW w:w="370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9"/>
        </w:trPr>
        <w:tc>
          <w:tcPr>
            <w:tcW w:w="3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540" w:type="dxa"/>
            <w:vAlign w:val="bottom"/>
            <w:gridSpan w:val="2"/>
            <w:shd w:val="clear" w:color="auto" w:fill="CFF0FC"/>
          </w:tcPr>
          <w:p>
            <w:pPr>
              <w:jc w:val="right"/>
              <w:ind w:right="5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5,889</w:t>
            </w: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rPr>
              <w:t>5,619</w:t>
            </w:r>
          </w:p>
        </w:tc>
        <w:tc>
          <w:tcPr>
            <w:tcW w:w="160" w:type="dxa"/>
            <w:vAlign w:val="bottom"/>
            <w:shd w:val="clear" w:color="auto" w:fill="CFF0FC"/>
          </w:tcPr>
          <w:p>
            <w:pPr>
              <w:spacing w:after="0"/>
              <w:rPr>
                <w:sz w:val="19"/>
                <w:szCs w:val="19"/>
                <w:color w:val="auto"/>
              </w:rPr>
            </w:pPr>
          </w:p>
        </w:tc>
      </w:tr>
      <w:tr>
        <w:trPr>
          <w:trHeight w:val="213"/>
        </w:trPr>
        <w:tc>
          <w:tcPr>
            <w:tcW w:w="3700" w:type="dxa"/>
            <w:vAlign w:val="bottom"/>
          </w:tcPr>
          <w:p>
            <w:pPr>
              <w:ind w:left="500"/>
              <w:spacing w:after="0"/>
              <w:rPr>
                <w:sz w:val="20"/>
                <w:szCs w:val="20"/>
                <w:color w:val="auto"/>
              </w:rPr>
            </w:pPr>
            <w:r>
              <w:rPr>
                <w:rFonts w:ascii="Arial" w:cs="Arial" w:eastAsia="Arial" w:hAnsi="Arial"/>
                <w:sz w:val="16"/>
                <w:szCs w:val="16"/>
                <w:color w:val="auto"/>
              </w:rPr>
              <w:t>FSV</w:t>
            </w:r>
          </w:p>
        </w:tc>
        <w:tc>
          <w:tcPr>
            <w:tcW w:w="1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jc w:val="right"/>
              <w:ind w:right="899"/>
              <w:spacing w:after="0"/>
              <w:rPr>
                <w:sz w:val="20"/>
                <w:szCs w:val="20"/>
                <w:color w:val="auto"/>
              </w:rPr>
            </w:pPr>
            <w:r>
              <w:rPr>
                <w:rFonts w:ascii="Arial" w:cs="Arial" w:eastAsia="Arial" w:hAnsi="Arial"/>
                <w:sz w:val="16"/>
                <w:szCs w:val="16"/>
                <w:color w:val="auto"/>
              </w:rPr>
              <w:t>6,973</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60" w:type="dxa"/>
            <w:vAlign w:val="bottom"/>
          </w:tcPr>
          <w:p>
            <w:pPr>
              <w:jc w:val="right"/>
              <w:ind w:right="919"/>
              <w:spacing w:after="0"/>
              <w:rPr>
                <w:sz w:val="20"/>
                <w:szCs w:val="20"/>
                <w:color w:val="auto"/>
              </w:rPr>
            </w:pPr>
            <w:r>
              <w:rPr>
                <w:rFonts w:ascii="Arial" w:cs="Arial" w:eastAsia="Arial" w:hAnsi="Arial"/>
                <w:sz w:val="16"/>
                <w:szCs w:val="16"/>
                <w:color w:val="auto"/>
              </w:rPr>
              <w:t>7,784</w:t>
            </w:r>
          </w:p>
        </w:tc>
        <w:tc>
          <w:tcPr>
            <w:tcW w:w="160" w:type="dxa"/>
            <w:vAlign w:val="bottom"/>
          </w:tcPr>
          <w:p>
            <w:pPr>
              <w:spacing w:after="0"/>
              <w:rPr>
                <w:sz w:val="18"/>
                <w:szCs w:val="18"/>
                <w:color w:val="auto"/>
              </w:rPr>
            </w:pPr>
          </w:p>
        </w:tc>
      </w:tr>
      <w:tr>
        <w:trPr>
          <w:trHeight w:val="219"/>
        </w:trPr>
        <w:tc>
          <w:tcPr>
            <w:tcW w:w="3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8,078</w:t>
            </w: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rPr>
              <w:t>6,685</w:t>
            </w:r>
          </w:p>
        </w:tc>
        <w:tc>
          <w:tcPr>
            <w:tcW w:w="160" w:type="dxa"/>
            <w:vAlign w:val="bottom"/>
            <w:shd w:val="clear" w:color="auto" w:fill="CFF0FC"/>
          </w:tcPr>
          <w:p>
            <w:pPr>
              <w:spacing w:after="0"/>
              <w:rPr>
                <w:sz w:val="19"/>
                <w:szCs w:val="19"/>
                <w:color w:val="auto"/>
              </w:rPr>
            </w:pPr>
          </w:p>
        </w:tc>
      </w:tr>
      <w:tr>
        <w:trPr>
          <w:trHeight w:val="213"/>
        </w:trPr>
        <w:tc>
          <w:tcPr>
            <w:tcW w:w="370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jc w:val="right"/>
              <w:ind w:right="899"/>
              <w:spacing w:after="0"/>
              <w:rPr>
                <w:sz w:val="20"/>
                <w:szCs w:val="20"/>
                <w:color w:val="auto"/>
              </w:rPr>
            </w:pPr>
            <w:r>
              <w:rPr>
                <w:rFonts w:ascii="Arial" w:cs="Arial" w:eastAsia="Arial" w:hAnsi="Arial"/>
                <w:sz w:val="16"/>
                <w:szCs w:val="16"/>
                <w:color w:val="auto"/>
              </w:rPr>
              <w:t>25,213</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60" w:type="dxa"/>
            <w:vAlign w:val="bottom"/>
          </w:tcPr>
          <w:p>
            <w:pPr>
              <w:jc w:val="right"/>
              <w:ind w:right="919"/>
              <w:spacing w:after="0"/>
              <w:rPr>
                <w:sz w:val="20"/>
                <w:szCs w:val="20"/>
                <w:color w:val="auto"/>
              </w:rPr>
            </w:pPr>
            <w:r>
              <w:rPr>
                <w:rFonts w:ascii="Arial" w:cs="Arial" w:eastAsia="Arial" w:hAnsi="Arial"/>
                <w:sz w:val="16"/>
                <w:szCs w:val="16"/>
                <w:color w:val="auto"/>
              </w:rPr>
              <w:t>28,093</w:t>
            </w:r>
          </w:p>
        </w:tc>
        <w:tc>
          <w:tcPr>
            <w:tcW w:w="160" w:type="dxa"/>
            <w:vAlign w:val="bottom"/>
          </w:tcPr>
          <w:p>
            <w:pPr>
              <w:spacing w:after="0"/>
              <w:rPr>
                <w:sz w:val="18"/>
                <w:szCs w:val="18"/>
                <w:color w:val="auto"/>
              </w:rPr>
            </w:pPr>
          </w:p>
        </w:tc>
      </w:tr>
      <w:tr>
        <w:trPr>
          <w:trHeight w:val="219"/>
        </w:trPr>
        <w:tc>
          <w:tcPr>
            <w:tcW w:w="3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Specialty</w:t>
            </w:r>
          </w:p>
        </w:tc>
        <w:tc>
          <w:tcPr>
            <w:tcW w:w="1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1,890</w:t>
            </w: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rPr>
              <w:t>1,982</w:t>
            </w:r>
          </w:p>
        </w:tc>
        <w:tc>
          <w:tcPr>
            <w:tcW w:w="160" w:type="dxa"/>
            <w:vAlign w:val="bottom"/>
            <w:shd w:val="clear" w:color="auto" w:fill="CFF0FC"/>
          </w:tcPr>
          <w:p>
            <w:pPr>
              <w:spacing w:after="0"/>
              <w:rPr>
                <w:sz w:val="19"/>
                <w:szCs w:val="19"/>
                <w:color w:val="auto"/>
              </w:rPr>
            </w:pPr>
          </w:p>
        </w:tc>
      </w:tr>
      <w:tr>
        <w:trPr>
          <w:trHeight w:val="210"/>
        </w:trPr>
        <w:tc>
          <w:tcPr>
            <w:tcW w:w="3700" w:type="dxa"/>
            <w:vAlign w:val="bottom"/>
          </w:tcPr>
          <w:p>
            <w:pPr>
              <w:ind w:left="500"/>
              <w:spacing w:after="0"/>
              <w:rPr>
                <w:sz w:val="20"/>
                <w:szCs w:val="20"/>
                <w:color w:val="auto"/>
              </w:rPr>
            </w:pPr>
            <w:r>
              <w:rPr>
                <w:rFonts w:ascii="Arial" w:cs="Arial" w:eastAsia="Arial" w:hAnsi="Arial"/>
                <w:sz w:val="16"/>
                <w:szCs w:val="16"/>
                <w:color w:val="auto"/>
              </w:rPr>
              <w:t>Overall</w:t>
            </w:r>
          </w:p>
        </w:tc>
        <w:tc>
          <w:tcPr>
            <w:tcW w:w="1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jc w:val="right"/>
              <w:ind w:right="899"/>
              <w:spacing w:after="0"/>
              <w:rPr>
                <w:sz w:val="20"/>
                <w:szCs w:val="20"/>
                <w:color w:val="auto"/>
              </w:rPr>
            </w:pPr>
            <w:r>
              <w:rPr>
                <w:rFonts w:ascii="Arial" w:cs="Arial" w:eastAsia="Arial" w:hAnsi="Arial"/>
                <w:sz w:val="16"/>
                <w:szCs w:val="16"/>
                <w:color w:val="auto"/>
              </w:rPr>
              <w:t>9,308</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60" w:type="dxa"/>
            <w:vAlign w:val="bottom"/>
          </w:tcPr>
          <w:p>
            <w:pPr>
              <w:jc w:val="right"/>
              <w:ind w:right="919"/>
              <w:spacing w:after="0"/>
              <w:rPr>
                <w:sz w:val="20"/>
                <w:szCs w:val="20"/>
                <w:color w:val="auto"/>
              </w:rPr>
            </w:pPr>
            <w:r>
              <w:rPr>
                <w:rFonts w:ascii="Arial" w:cs="Arial" w:eastAsia="Arial" w:hAnsi="Arial"/>
                <w:sz w:val="16"/>
                <w:szCs w:val="16"/>
                <w:color w:val="auto"/>
              </w:rPr>
              <w:t>9,634</w:t>
            </w:r>
          </w:p>
        </w:tc>
        <w:tc>
          <w:tcPr>
            <w:tcW w:w="16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51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r>
      <w:tr>
        <w:trPr>
          <w:trHeight w:val="213"/>
        </w:trPr>
        <w:tc>
          <w:tcPr>
            <w:tcW w:w="4520" w:type="dxa"/>
            <w:vAlign w:val="bottom"/>
          </w:tcPr>
          <w:p>
            <w:pPr>
              <w:ind w:left="500"/>
              <w:spacing w:after="0"/>
              <w:rPr>
                <w:sz w:val="20"/>
                <w:szCs w:val="20"/>
                <w:color w:val="auto"/>
              </w:rPr>
            </w:pPr>
            <w:r>
              <w:rPr>
                <w:rFonts w:ascii="Arial" w:cs="Arial" w:eastAsia="Arial" w:hAnsi="Arial"/>
                <w:sz w:val="16"/>
                <w:szCs w:val="16"/>
                <w:color w:val="auto"/>
              </w:rPr>
              <w:t>AHTS</w:t>
            </w:r>
          </w:p>
        </w:tc>
        <w:tc>
          <w:tcPr>
            <w:tcW w:w="5100" w:type="dxa"/>
            <w:vAlign w:val="bottom"/>
          </w:tcPr>
          <w:p>
            <w:pPr>
              <w:jc w:val="right"/>
              <w:ind w:right="1219"/>
              <w:spacing w:after="0"/>
              <w:rPr>
                <w:sz w:val="20"/>
                <w:szCs w:val="20"/>
                <w:color w:val="auto"/>
              </w:rPr>
            </w:pPr>
            <w:r>
              <w:rPr>
                <w:rFonts w:ascii="Arial" w:cs="Arial" w:eastAsia="Arial" w:hAnsi="Arial"/>
                <w:sz w:val="16"/>
                <w:szCs w:val="16"/>
                <w:color w:val="auto"/>
              </w:rPr>
              <w:t>100%</w:t>
            </w:r>
          </w:p>
        </w:tc>
        <w:tc>
          <w:tcPr>
            <w:tcW w:w="16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4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5100" w:type="dxa"/>
            <w:vAlign w:val="bottom"/>
            <w:shd w:val="clear" w:color="auto" w:fill="CFF0FC"/>
          </w:tcPr>
          <w:p>
            <w:pPr>
              <w:jc w:val="right"/>
              <w:ind w:right="1219"/>
              <w:spacing w:after="0"/>
              <w:rPr>
                <w:sz w:val="20"/>
                <w:szCs w:val="20"/>
                <w:color w:val="auto"/>
              </w:rPr>
            </w:pPr>
            <w:r>
              <w:rPr>
                <w:rFonts w:ascii="Arial" w:cs="Arial" w:eastAsia="Arial" w:hAnsi="Arial"/>
                <w:sz w:val="16"/>
                <w:szCs w:val="16"/>
                <w:color w:val="auto"/>
              </w:rPr>
              <w:t>68%</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r>
      <w:tr>
        <w:trPr>
          <w:trHeight w:val="213"/>
        </w:trPr>
        <w:tc>
          <w:tcPr>
            <w:tcW w:w="4520" w:type="dxa"/>
            <w:vAlign w:val="bottom"/>
          </w:tcPr>
          <w:p>
            <w:pPr>
              <w:ind w:left="500"/>
              <w:spacing w:after="0"/>
              <w:rPr>
                <w:sz w:val="20"/>
                <w:szCs w:val="20"/>
                <w:color w:val="auto"/>
              </w:rPr>
            </w:pPr>
            <w:r>
              <w:rPr>
                <w:rFonts w:ascii="Arial" w:cs="Arial" w:eastAsia="Arial" w:hAnsi="Arial"/>
                <w:sz w:val="16"/>
                <w:szCs w:val="16"/>
                <w:color w:val="auto"/>
              </w:rPr>
              <w:t>Supply</w:t>
            </w:r>
          </w:p>
        </w:tc>
        <w:tc>
          <w:tcPr>
            <w:tcW w:w="5100" w:type="dxa"/>
            <w:vAlign w:val="bottom"/>
          </w:tcPr>
          <w:p>
            <w:pPr>
              <w:jc w:val="right"/>
              <w:ind w:right="1219"/>
              <w:spacing w:after="0"/>
              <w:rPr>
                <w:sz w:val="20"/>
                <w:szCs w:val="20"/>
                <w:color w:val="auto"/>
              </w:rPr>
            </w:pPr>
            <w:r>
              <w:rPr>
                <w:rFonts w:ascii="Arial" w:cs="Arial" w:eastAsia="Arial" w:hAnsi="Arial"/>
                <w:sz w:val="16"/>
                <w:szCs w:val="16"/>
                <w:color w:val="auto"/>
              </w:rPr>
              <w:t>65%</w:t>
            </w:r>
          </w:p>
        </w:tc>
        <w:tc>
          <w:tcPr>
            <w:tcW w:w="16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9"/>
        </w:trPr>
        <w:tc>
          <w:tcPr>
            <w:tcW w:w="4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5100" w:type="dxa"/>
            <w:vAlign w:val="bottom"/>
            <w:shd w:val="clear" w:color="auto" w:fill="CFF0FC"/>
          </w:tcPr>
          <w:p>
            <w:pPr>
              <w:jc w:val="right"/>
              <w:ind w:right="1219"/>
              <w:spacing w:after="0"/>
              <w:rPr>
                <w:sz w:val="20"/>
                <w:szCs w:val="20"/>
                <w:color w:val="auto"/>
              </w:rPr>
            </w:pPr>
            <w:r>
              <w:rPr>
                <w:rFonts w:ascii="Arial" w:cs="Arial" w:eastAsia="Arial" w:hAnsi="Arial"/>
                <w:sz w:val="16"/>
                <w:szCs w:val="16"/>
                <w:color w:val="auto"/>
              </w:rPr>
              <w:t>100%</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r>
      <w:tr>
        <w:trPr>
          <w:trHeight w:val="213"/>
        </w:trPr>
        <w:tc>
          <w:tcPr>
            <w:tcW w:w="4520" w:type="dxa"/>
            <w:vAlign w:val="bottom"/>
          </w:tcPr>
          <w:p>
            <w:pPr>
              <w:ind w:left="500"/>
              <w:spacing w:after="0"/>
              <w:rPr>
                <w:sz w:val="20"/>
                <w:szCs w:val="20"/>
                <w:color w:val="auto"/>
              </w:rPr>
            </w:pPr>
            <w:r>
              <w:rPr>
                <w:rFonts w:ascii="Arial" w:cs="Arial" w:eastAsia="Arial" w:hAnsi="Arial"/>
                <w:sz w:val="16"/>
                <w:szCs w:val="16"/>
                <w:color w:val="auto"/>
              </w:rPr>
              <w:t>Specialty</w:t>
            </w:r>
          </w:p>
        </w:tc>
        <w:tc>
          <w:tcPr>
            <w:tcW w:w="5100" w:type="dxa"/>
            <w:vAlign w:val="bottom"/>
          </w:tcPr>
          <w:p>
            <w:pPr>
              <w:jc w:val="right"/>
              <w:ind w:right="1219"/>
              <w:spacing w:after="0"/>
              <w:rPr>
                <w:sz w:val="20"/>
                <w:szCs w:val="20"/>
                <w:color w:val="auto"/>
              </w:rPr>
            </w:pPr>
            <w:r>
              <w:rPr>
                <w:rFonts w:ascii="Arial" w:cs="Arial" w:eastAsia="Arial" w:hAnsi="Arial"/>
                <w:sz w:val="16"/>
                <w:szCs w:val="16"/>
                <w:color w:val="auto"/>
              </w:rPr>
              <w:t>100%</w:t>
            </w:r>
          </w:p>
        </w:tc>
        <w:tc>
          <w:tcPr>
            <w:tcW w:w="16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9"/>
        </w:trPr>
        <w:tc>
          <w:tcPr>
            <w:tcW w:w="4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5100" w:type="dxa"/>
            <w:vAlign w:val="bottom"/>
            <w:shd w:val="clear" w:color="auto" w:fill="CFF0FC"/>
          </w:tcPr>
          <w:p>
            <w:pPr>
              <w:jc w:val="right"/>
              <w:ind w:right="1219"/>
              <w:spacing w:after="0"/>
              <w:rPr>
                <w:sz w:val="20"/>
                <w:szCs w:val="20"/>
                <w:color w:val="auto"/>
              </w:rPr>
            </w:pPr>
            <w:r>
              <w:rPr>
                <w:rFonts w:ascii="Arial" w:cs="Arial" w:eastAsia="Arial" w:hAnsi="Arial"/>
                <w:sz w:val="16"/>
                <w:szCs w:val="16"/>
                <w:color w:val="auto"/>
              </w:rPr>
              <w:t>73%</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2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8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140" w:type="dxa"/>
            <w:vAlign w:val="bottom"/>
            <w:shd w:val="clear" w:color="auto" w:fill="CFF0FC"/>
          </w:tcPr>
          <w:p>
            <w:pPr>
              <w:spacing w:after="0"/>
              <w:rPr>
                <w:sz w:val="19"/>
                <w:szCs w:val="19"/>
                <w:color w:val="auto"/>
              </w:rPr>
            </w:pPr>
          </w:p>
        </w:tc>
      </w:tr>
      <w:tr>
        <w:trPr>
          <w:trHeight w:val="213"/>
        </w:trPr>
        <w:tc>
          <w:tcPr>
            <w:tcW w:w="3820" w:type="dxa"/>
            <w:vAlign w:val="bottom"/>
          </w:tcPr>
          <w:p>
            <w:pPr>
              <w:ind w:left="500"/>
              <w:spacing w:after="0"/>
              <w:rPr>
                <w:sz w:val="20"/>
                <w:szCs w:val="20"/>
                <w:color w:val="auto"/>
              </w:rPr>
            </w:pPr>
            <w:r>
              <w:rPr>
                <w:rFonts w:ascii="Arial" w:cs="Arial" w:eastAsia="Arial" w:hAnsi="Arial"/>
                <w:sz w:val="16"/>
                <w:szCs w:val="16"/>
                <w:color w:val="auto"/>
              </w:rPr>
              <w:t>FSV</w:t>
            </w: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894</w:t>
            </w: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974</w:t>
            </w:r>
          </w:p>
        </w:tc>
        <w:tc>
          <w:tcPr>
            <w:tcW w:w="1140" w:type="dxa"/>
            <w:vAlign w:val="bottom"/>
          </w:tcPr>
          <w:p>
            <w:pPr>
              <w:spacing w:after="0"/>
              <w:rPr>
                <w:sz w:val="18"/>
                <w:szCs w:val="18"/>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w:t>
            </w:r>
          </w:p>
        </w:tc>
        <w:tc>
          <w:tcPr>
            <w:tcW w:w="1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1140" w:type="dxa"/>
            <w:vAlign w:val="bottom"/>
            <w:shd w:val="clear" w:color="auto" w:fill="CFF0FC"/>
          </w:tcPr>
          <w:p>
            <w:pPr>
              <w:spacing w:after="0"/>
              <w:rPr>
                <w:sz w:val="19"/>
                <w:szCs w:val="19"/>
                <w:color w:val="auto"/>
              </w:rPr>
            </w:pPr>
          </w:p>
        </w:tc>
      </w:tr>
      <w:tr>
        <w:trPr>
          <w:trHeight w:val="213"/>
        </w:trPr>
        <w:tc>
          <w:tcPr>
            <w:tcW w:w="382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180</w:t>
            </w: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w:t>
            </w:r>
          </w:p>
        </w:tc>
        <w:tc>
          <w:tcPr>
            <w:tcW w:w="1140" w:type="dxa"/>
            <w:vAlign w:val="bottom"/>
          </w:tcPr>
          <w:p>
            <w:pPr>
              <w:spacing w:after="0"/>
              <w:rPr>
                <w:sz w:val="18"/>
                <w:szCs w:val="18"/>
                <w:color w:val="auto"/>
              </w:rPr>
            </w:pPr>
          </w:p>
        </w:tc>
      </w:tr>
      <w:tr>
        <w:trPr>
          <w:trHeight w:val="219"/>
        </w:trPr>
        <w:tc>
          <w:tcPr>
            <w:tcW w:w="3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Specialty</w:t>
            </w:r>
          </w:p>
        </w:tc>
        <w:tc>
          <w:tcPr>
            <w:tcW w:w="18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3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1140" w:type="dxa"/>
            <w:vAlign w:val="bottom"/>
            <w:shd w:val="clear" w:color="auto" w:fill="CFF0FC"/>
          </w:tcPr>
          <w:p>
            <w:pPr>
              <w:spacing w:after="0"/>
              <w:rPr>
                <w:sz w:val="19"/>
                <w:szCs w:val="19"/>
                <w:color w:val="auto"/>
              </w:rPr>
            </w:pPr>
          </w:p>
        </w:tc>
      </w:tr>
      <w:tr>
        <w:trPr>
          <w:trHeight w:val="246"/>
        </w:trPr>
        <w:tc>
          <w:tcPr>
            <w:tcW w:w="38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182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w:t>
            </w:r>
          </w:p>
        </w:tc>
        <w:tc>
          <w:tcPr>
            <w:tcW w:w="132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1140" w:type="dxa"/>
            <w:vAlign w:val="bottom"/>
            <w:tcBorders>
              <w:bottom w:val="single" w:sz="8" w:color="CFF0FC"/>
            </w:tcBorders>
          </w:tcPr>
          <w:p>
            <w:pPr>
              <w:spacing w:after="0"/>
              <w:rPr>
                <w:sz w:val="21"/>
                <w:szCs w:val="21"/>
                <w:color w:val="auto"/>
              </w:rPr>
            </w:pPr>
          </w:p>
        </w:tc>
      </w:tr>
      <w:tr>
        <w:trPr>
          <w:trHeight w:val="20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8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3"/>
        </w:trPr>
        <w:tc>
          <w:tcPr>
            <w:tcW w:w="382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4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12,575</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97%</w:t>
            </w: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11,767</w:t>
            </w:r>
          </w:p>
        </w:tc>
        <w:tc>
          <w:tcPr>
            <w:tcW w:w="11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9"/>
        </w:trPr>
        <w:tc>
          <w:tcPr>
            <w:tcW w:w="3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8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3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w:t>
            </w: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3820" w:type="dxa"/>
            <w:vAlign w:val="bottom"/>
            <w:tcBorders>
              <w:bottom w:val="single" w:sz="8" w:color="CFF0FC"/>
            </w:tcBorders>
          </w:tcPr>
          <w:p>
            <w:pPr>
              <w:spacing w:after="0"/>
              <w:rPr>
                <w:sz w:val="17"/>
                <w:szCs w:val="17"/>
                <w:color w:val="auto"/>
              </w:rPr>
            </w:pPr>
          </w:p>
        </w:tc>
        <w:tc>
          <w:tcPr>
            <w:tcW w:w="182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12,935</w:t>
            </w:r>
          </w:p>
        </w:tc>
        <w:tc>
          <w:tcPr>
            <w:tcW w:w="1320" w:type="dxa"/>
            <w:vAlign w:val="bottom"/>
            <w:tcBorders>
              <w:bottom w:val="single" w:sz="8" w:color="CFF0FC"/>
            </w:tcBorders>
          </w:tcPr>
          <w:p>
            <w:pPr>
              <w:jc w:val="right"/>
              <w:ind w:right="119"/>
              <w:spacing w:after="0"/>
              <w:rPr>
                <w:sz w:val="20"/>
                <w:szCs w:val="20"/>
                <w:color w:val="auto"/>
              </w:rPr>
            </w:pPr>
            <w:r>
              <w:rPr>
                <w:rFonts w:ascii="Arial" w:cs="Arial" w:eastAsia="Arial" w:hAnsi="Arial"/>
                <w:sz w:val="16"/>
                <w:szCs w:val="16"/>
                <w:color w:val="auto"/>
              </w:rPr>
              <w:t>100%</w:t>
            </w: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12,187</w:t>
            </w:r>
          </w:p>
        </w:tc>
        <w:tc>
          <w:tcPr>
            <w:tcW w:w="1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18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3"/>
        </w:trPr>
        <w:tc>
          <w:tcPr>
            <w:tcW w:w="382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5,208</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3,811</w:t>
            </w: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3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18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w:t>
            </w:r>
          </w:p>
        </w:tc>
        <w:tc>
          <w:tcPr>
            <w:tcW w:w="13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1,246</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382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1,066</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414</w:t>
            </w: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3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18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w:t>
            </w:r>
          </w:p>
        </w:tc>
        <w:tc>
          <w:tcPr>
            <w:tcW w:w="13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382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559</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665</w:t>
            </w: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3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8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1,144</w:t>
            </w:r>
          </w:p>
        </w:tc>
        <w:tc>
          <w:tcPr>
            <w:tcW w:w="13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9%</w:t>
            </w: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683</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r>
      <w:tr>
        <w:trPr>
          <w:trHeight w:val="206"/>
        </w:trPr>
        <w:tc>
          <w:tcPr>
            <w:tcW w:w="3820" w:type="dxa"/>
            <w:vAlign w:val="bottom"/>
            <w:tcBorders>
              <w:bottom w:val="single" w:sz="8" w:color="CFF0FC"/>
            </w:tcBorders>
          </w:tcPr>
          <w:p>
            <w:pPr>
              <w:spacing w:after="0"/>
              <w:rPr>
                <w:sz w:val="17"/>
                <w:szCs w:val="17"/>
                <w:color w:val="auto"/>
              </w:rPr>
            </w:pPr>
          </w:p>
        </w:tc>
        <w:tc>
          <w:tcPr>
            <w:tcW w:w="182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9,582</w:t>
            </w:r>
          </w:p>
        </w:tc>
        <w:tc>
          <w:tcPr>
            <w:tcW w:w="1320" w:type="dxa"/>
            <w:vAlign w:val="bottom"/>
            <w:tcBorders>
              <w:bottom w:val="single" w:sz="8" w:color="CFF0FC"/>
            </w:tcBorders>
          </w:tcPr>
          <w:p>
            <w:pPr>
              <w:jc w:val="right"/>
              <w:ind w:right="119"/>
              <w:spacing w:after="0"/>
              <w:rPr>
                <w:sz w:val="20"/>
                <w:szCs w:val="20"/>
                <w:color w:val="auto"/>
              </w:rPr>
            </w:pPr>
            <w:r>
              <w:rPr>
                <w:rFonts w:ascii="Arial" w:cs="Arial" w:eastAsia="Arial" w:hAnsi="Arial"/>
                <w:sz w:val="16"/>
                <w:szCs w:val="16"/>
                <w:color w:val="auto"/>
              </w:rPr>
              <w:t>74%</w:t>
            </w: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7,158</w:t>
            </w:r>
          </w:p>
        </w:tc>
        <w:tc>
          <w:tcPr>
            <w:tcW w:w="1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59%</w:t>
            </w:r>
          </w:p>
        </w:tc>
      </w:tr>
      <w:tr>
        <w:trPr>
          <w:trHeight w:val="210"/>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2420" w:type="dxa"/>
            <w:vAlign w:val="bottom"/>
            <w:gridSpan w:val="2"/>
            <w:shd w:val="clear" w:color="auto" w:fill="CFF0FC"/>
          </w:tcPr>
          <w:p>
            <w:pPr>
              <w:jc w:val="right"/>
              <w:ind w:right="5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3,353</w:t>
            </w:r>
          </w:p>
        </w:tc>
        <w:tc>
          <w:tcPr>
            <w:tcW w:w="13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26%</w:t>
            </w:r>
          </w:p>
        </w:tc>
        <w:tc>
          <w:tcPr>
            <w:tcW w:w="60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5,029</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18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$0.8 million higher in the Current Year Quarter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Year Quarter. Charter revenues were $1.1 million higher due to net fleet additions, and $0.3 million lower for the core fleet primarily due to reduced average day rates. As of March 31, 2021, the Company had two of 20 owned and leased-in vessels (one FSV and one Supply) cold-stacked in this region.</w:t>
      </w:r>
    </w:p>
    <w:p>
      <w:pPr>
        <w:spacing w:after="0" w:line="144"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$2.4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Direct operating expenses were $1.3 million higher for the core fleet, primarily due to the timing of drydockings, and $1.1 million higher due to net fleet additions.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4" w:name="page35"/>
    <w:bookmarkEnd w:id="34"/>
    <w:p>
      <w:pPr>
        <w:ind w:left="760"/>
        <w:spacing w:after="0"/>
        <w:rPr>
          <w:sz w:val="20"/>
          <w:szCs w:val="20"/>
          <w:color w:val="auto"/>
        </w:rPr>
      </w:pPr>
      <w:r>
        <w:rPr>
          <w:rFonts w:ascii="Arial" w:cs="Arial" w:eastAsia="Arial" w:hAnsi="Arial"/>
          <w:sz w:val="19"/>
          <w:szCs w:val="19"/>
          <w:b w:val="1"/>
          <w:bCs w:val="1"/>
          <w:i w:val="1"/>
          <w:iCs w:val="1"/>
          <w:color w:val="auto"/>
        </w:rPr>
        <w:t xml:space="preserve">Latin America (Brazil, Mexico, Central and South America). </w:t>
      </w:r>
      <w:r>
        <w:rPr>
          <w:rFonts w:ascii="Arial" w:cs="Arial" w:eastAsia="Arial" w:hAnsi="Arial"/>
          <w:sz w:val="19"/>
          <w:szCs w:val="19"/>
          <w:color w:val="auto"/>
        </w:rPr>
        <w:t>For the three months ended March 31, 2021 and 2020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Company’s time charter statistics and direct vessel profit in Latin America was as follows (in thousands, except statistics):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6"/>
                <w:szCs w:val="16"/>
                <w:b w:val="1"/>
                <w:bCs w:val="1"/>
                <w:color w:val="auto"/>
              </w:rPr>
              <w:t>For the Three Months Ended March 31,</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780" w:type="dxa"/>
            <w:vAlign w:val="bottom"/>
            <w:tcBorders>
              <w:bottom w:val="single" w:sz="8" w:color="CFF0FC"/>
            </w:tcBorders>
          </w:tcPr>
          <w:p>
            <w:pPr>
              <w:spacing w:after="0"/>
              <w:rPr>
                <w:sz w:val="18"/>
                <w:szCs w:val="18"/>
                <w:color w:val="auto"/>
              </w:rPr>
            </w:pPr>
          </w:p>
        </w:tc>
        <w:tc>
          <w:tcPr>
            <w:tcW w:w="17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r>
      <w:tr>
        <w:trPr>
          <w:trHeight w:val="212"/>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7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3"/>
        </w:trPr>
        <w:tc>
          <w:tcPr>
            <w:tcW w:w="378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3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2380" w:type="dxa"/>
            <w:vAlign w:val="bottom"/>
            <w:gridSpan w:val="2"/>
            <w:shd w:val="clear" w:color="auto" w:fill="CFF0FC"/>
          </w:tcPr>
          <w:p>
            <w:pPr>
              <w:jc w:val="right"/>
              <w:ind w:right="5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7,576</w:t>
            </w:r>
          </w:p>
        </w:tc>
        <w:tc>
          <w:tcPr>
            <w:tcW w:w="4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7,204</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3780" w:type="dxa"/>
            <w:vAlign w:val="bottom"/>
          </w:tcPr>
          <w:p>
            <w:pPr>
              <w:ind w:left="500"/>
              <w:spacing w:after="0"/>
              <w:rPr>
                <w:sz w:val="20"/>
                <w:szCs w:val="20"/>
                <w:color w:val="auto"/>
              </w:rPr>
            </w:pPr>
            <w:r>
              <w:rPr>
                <w:rFonts w:ascii="Arial" w:cs="Arial" w:eastAsia="Arial" w:hAnsi="Arial"/>
                <w:sz w:val="16"/>
                <w:szCs w:val="16"/>
                <w:color w:val="auto"/>
              </w:rPr>
              <w:t>Supply</w:t>
            </w: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15,600</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3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17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41,957</w:t>
            </w:r>
          </w:p>
        </w:tc>
        <w:tc>
          <w:tcPr>
            <w:tcW w:w="4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15,913</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3780" w:type="dxa"/>
            <w:vAlign w:val="bottom"/>
          </w:tcPr>
          <w:p>
            <w:pPr>
              <w:ind w:left="500"/>
              <w:spacing w:after="0"/>
              <w:rPr>
                <w:sz w:val="20"/>
                <w:szCs w:val="20"/>
                <w:color w:val="auto"/>
              </w:rPr>
            </w:pPr>
            <w:r>
              <w:rPr>
                <w:rFonts w:ascii="Arial" w:cs="Arial" w:eastAsia="Arial" w:hAnsi="Arial"/>
                <w:sz w:val="16"/>
                <w:szCs w:val="16"/>
                <w:color w:val="auto"/>
              </w:rPr>
              <w:t>Overall</w:t>
            </w: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14,751</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9,397</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3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17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3780" w:type="dxa"/>
            <w:vAlign w:val="bottom"/>
          </w:tcPr>
          <w:p>
            <w:pPr>
              <w:ind w:left="500"/>
              <w:spacing w:after="0"/>
              <w:rPr>
                <w:sz w:val="20"/>
                <w:szCs w:val="20"/>
                <w:color w:val="auto"/>
              </w:rPr>
            </w:pPr>
            <w:r>
              <w:rPr>
                <w:rFonts w:ascii="Arial" w:cs="Arial" w:eastAsia="Arial" w:hAnsi="Arial"/>
                <w:sz w:val="16"/>
                <w:szCs w:val="16"/>
                <w:color w:val="auto"/>
              </w:rPr>
              <w:t>FSV</w:t>
            </w: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100%</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r>
      <w:tr>
        <w:trPr>
          <w:trHeight w:val="219"/>
        </w:trPr>
        <w:tc>
          <w:tcPr>
            <w:tcW w:w="3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7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83%</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w:t>
            </w:r>
          </w:p>
        </w:tc>
      </w:tr>
      <w:tr>
        <w:trPr>
          <w:trHeight w:val="213"/>
        </w:trPr>
        <w:tc>
          <w:tcPr>
            <w:tcW w:w="378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57%</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93%</w:t>
            </w:r>
          </w:p>
        </w:tc>
      </w:tr>
      <w:tr>
        <w:trPr>
          <w:trHeight w:val="219"/>
        </w:trPr>
        <w:tc>
          <w:tcPr>
            <w:tcW w:w="3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7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85%</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378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3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17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4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3"/>
        </w:trPr>
        <w:tc>
          <w:tcPr>
            <w:tcW w:w="3780" w:type="dxa"/>
            <w:vAlign w:val="bottom"/>
          </w:tcPr>
          <w:p>
            <w:pPr>
              <w:ind w:left="500"/>
              <w:spacing w:after="0"/>
              <w:rPr>
                <w:sz w:val="20"/>
                <w:szCs w:val="20"/>
                <w:color w:val="auto"/>
              </w:rPr>
            </w:pPr>
            <w:r>
              <w:rPr>
                <w:rFonts w:ascii="Arial" w:cs="Arial" w:eastAsia="Arial" w:hAnsi="Arial"/>
                <w:sz w:val="16"/>
                <w:szCs w:val="16"/>
                <w:color w:val="auto"/>
              </w:rPr>
              <w:t>Supply</w:t>
            </w: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540</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3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17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4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46"/>
        </w:trPr>
        <w:tc>
          <w:tcPr>
            <w:tcW w:w="37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178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400" w:type="dxa"/>
            <w:vAlign w:val="bottom"/>
            <w:tcBorders>
              <w:bottom w:val="single" w:sz="8" w:color="CFF0FC"/>
            </w:tcBorders>
          </w:tcPr>
          <w:p>
            <w:pPr>
              <w:spacing w:after="0"/>
              <w:rPr>
                <w:sz w:val="21"/>
                <w:szCs w:val="21"/>
                <w:color w:val="auto"/>
              </w:rPr>
            </w:pPr>
          </w:p>
        </w:tc>
        <w:tc>
          <w:tcPr>
            <w:tcW w:w="58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380" w:type="dxa"/>
            <w:vAlign w:val="bottom"/>
            <w:tcBorders>
              <w:bottom w:val="single" w:sz="8" w:color="CFF0FC"/>
            </w:tcBorders>
          </w:tcPr>
          <w:p>
            <w:pPr>
              <w:spacing w:after="0"/>
              <w:rPr>
                <w:sz w:val="21"/>
                <w:szCs w:val="21"/>
                <w:color w:val="auto"/>
              </w:rPr>
            </w:pPr>
          </w:p>
        </w:tc>
        <w:tc>
          <w:tcPr>
            <w:tcW w:w="60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r>
      <w:tr>
        <w:trPr>
          <w:trHeight w:val="200"/>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7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13"/>
        </w:trPr>
        <w:tc>
          <w:tcPr>
            <w:tcW w:w="378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3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9,724</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92%</w:t>
            </w: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3,396</w:t>
            </w:r>
          </w:p>
        </w:tc>
        <w:tc>
          <w:tcPr>
            <w:tcW w:w="3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96%</w:t>
            </w:r>
          </w:p>
        </w:tc>
      </w:tr>
      <w:tr>
        <w:trPr>
          <w:trHeight w:val="219"/>
        </w:trPr>
        <w:tc>
          <w:tcPr>
            <w:tcW w:w="3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7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w:t>
            </w: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r>
      <w:tr>
        <w:trPr>
          <w:trHeight w:val="207"/>
        </w:trPr>
        <w:tc>
          <w:tcPr>
            <w:tcW w:w="3780" w:type="dxa"/>
            <w:vAlign w:val="bottom"/>
            <w:tcBorders>
              <w:bottom w:val="single" w:sz="8" w:color="CFF0FC"/>
            </w:tcBorders>
          </w:tcPr>
          <w:p>
            <w:pPr>
              <w:spacing w:after="0"/>
              <w:rPr>
                <w:sz w:val="17"/>
                <w:szCs w:val="17"/>
                <w:color w:val="auto"/>
              </w:rPr>
            </w:pPr>
          </w:p>
        </w:tc>
        <w:tc>
          <w:tcPr>
            <w:tcW w:w="178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10,580</w:t>
            </w:r>
          </w:p>
        </w:tc>
        <w:tc>
          <w:tcPr>
            <w:tcW w:w="40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6"/>
                <w:szCs w:val="16"/>
                <w:color w:val="auto"/>
              </w:rPr>
              <w:t>100%</w:t>
            </w: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w:t>
            </w:r>
          </w:p>
        </w:tc>
        <w:tc>
          <w:tcPr>
            <w:tcW w:w="3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100%</w:t>
            </w:r>
          </w:p>
        </w:tc>
      </w:tr>
      <w:tr>
        <w:trPr>
          <w:trHeight w:val="213"/>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17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3"/>
        </w:trPr>
        <w:tc>
          <w:tcPr>
            <w:tcW w:w="378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3,246</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31%</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1,215</w:t>
            </w:r>
          </w:p>
        </w:tc>
        <w:tc>
          <w:tcPr>
            <w:tcW w:w="3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r>
      <w:tr>
        <w:trPr>
          <w:trHeight w:val="219"/>
        </w:trPr>
        <w:tc>
          <w:tcPr>
            <w:tcW w:w="3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17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1,092</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w:t>
            </w: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r>
      <w:tr>
        <w:trPr>
          <w:trHeight w:val="213"/>
        </w:trPr>
        <w:tc>
          <w:tcPr>
            <w:tcW w:w="378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(28)</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6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(114)</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r>
      <w:tr>
        <w:trPr>
          <w:trHeight w:val="219"/>
        </w:trPr>
        <w:tc>
          <w:tcPr>
            <w:tcW w:w="3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17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r>
      <w:tr>
        <w:trPr>
          <w:trHeight w:val="213"/>
        </w:trPr>
        <w:tc>
          <w:tcPr>
            <w:tcW w:w="378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872</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8%</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w:t>
            </w:r>
          </w:p>
        </w:tc>
        <w:tc>
          <w:tcPr>
            <w:tcW w:w="3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r>
      <w:tr>
        <w:trPr>
          <w:trHeight w:val="219"/>
        </w:trPr>
        <w:tc>
          <w:tcPr>
            <w:tcW w:w="3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7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872</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w:t>
            </w: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w:t>
            </w: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r>
      <w:tr>
        <w:trPr>
          <w:trHeight w:val="207"/>
        </w:trPr>
        <w:tc>
          <w:tcPr>
            <w:tcW w:w="3780" w:type="dxa"/>
            <w:vAlign w:val="bottom"/>
            <w:tcBorders>
              <w:bottom w:val="single" w:sz="8" w:color="CFF0FC"/>
            </w:tcBorders>
          </w:tcPr>
          <w:p>
            <w:pPr>
              <w:spacing w:after="0"/>
              <w:rPr>
                <w:sz w:val="17"/>
                <w:szCs w:val="17"/>
                <w:color w:val="auto"/>
              </w:rPr>
            </w:pPr>
          </w:p>
        </w:tc>
        <w:tc>
          <w:tcPr>
            <w:tcW w:w="178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6,350</w:t>
            </w:r>
          </w:p>
        </w:tc>
        <w:tc>
          <w:tcPr>
            <w:tcW w:w="40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6"/>
                <w:szCs w:val="16"/>
                <w:color w:val="auto"/>
              </w:rPr>
              <w:t>60%</w:t>
            </w: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w:t>
            </w:r>
          </w:p>
        </w:tc>
        <w:tc>
          <w:tcPr>
            <w:tcW w:w="380" w:type="dxa"/>
            <w:vAlign w:val="bottom"/>
            <w:tcBorders>
              <w:bottom w:val="single" w:sz="8" w:color="CFF0FC"/>
            </w:tcBorders>
          </w:tcPr>
          <w:p>
            <w:pPr>
              <w:spacing w:after="0"/>
              <w:rPr>
                <w:sz w:val="17"/>
                <w:szCs w:val="17"/>
                <w:color w:val="auto"/>
              </w:rPr>
            </w:pPr>
          </w:p>
        </w:tc>
        <w:tc>
          <w:tcPr>
            <w:tcW w:w="80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56%</w:t>
            </w:r>
          </w:p>
        </w:tc>
      </w:tr>
      <w:tr>
        <w:trPr>
          <w:trHeight w:val="20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2380" w:type="dxa"/>
            <w:vAlign w:val="bottom"/>
            <w:gridSpan w:val="2"/>
            <w:shd w:val="clear" w:color="auto" w:fill="CFF0FC"/>
          </w:tcPr>
          <w:p>
            <w:pPr>
              <w:jc w:val="right"/>
              <w:ind w:right="5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4,230</w:t>
            </w:r>
          </w:p>
        </w:tc>
        <w:tc>
          <w:tcPr>
            <w:tcW w:w="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40%</w:t>
            </w:r>
          </w:p>
        </w:tc>
        <w:tc>
          <w:tcPr>
            <w:tcW w:w="60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1,543</w:t>
            </w:r>
          </w:p>
        </w:tc>
        <w:tc>
          <w:tcPr>
            <w:tcW w:w="3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w:t>
            </w: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$6.3 million higher in the Current Year Quarter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Year Quarter. Charter revenues were $5.9 million higher due to net fleet additions and $0.4 million higher due to the repositioning of vessels between geographic regions.</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$4.4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primarily due to net fleet additions.</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Other Operating Expenses</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i w:val="1"/>
          <w:iCs w:val="1"/>
          <w:color w:val="auto"/>
        </w:rPr>
        <w:t xml:space="preserve">Leased Expense. </w:t>
      </w:r>
      <w:r>
        <w:rPr>
          <w:rFonts w:ascii="Arial" w:cs="Arial" w:eastAsia="Arial" w:hAnsi="Arial"/>
          <w:sz w:val="22"/>
          <w:szCs w:val="22"/>
          <w:color w:val="auto"/>
        </w:rPr>
        <w:t>Leased-in equipment expenses for the Current Year Quarter were $2.2 million lower compared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Prior Year Quarter primarily due to the impairment of one leased-in vessel and three leased-in vessels having been returned to the lessor in 2020 subsequent to March 31, 2020.</w:t>
      </w:r>
    </w:p>
    <w:p>
      <w:pPr>
        <w:spacing w:after="0" w:line="146" w:lineRule="exact"/>
        <w:rPr>
          <w:sz w:val="20"/>
          <w:szCs w:val="20"/>
          <w:color w:val="auto"/>
        </w:rPr>
      </w:pPr>
    </w:p>
    <w:p>
      <w:pPr>
        <w:jc w:val="both"/>
        <w:ind w:right="20" w:firstLine="749"/>
        <w:spacing w:after="0" w:line="328" w:lineRule="auto"/>
        <w:rPr>
          <w:sz w:val="20"/>
          <w:szCs w:val="20"/>
          <w:color w:val="auto"/>
        </w:rPr>
      </w:pPr>
      <w:r>
        <w:rPr>
          <w:rFonts w:ascii="Arial" w:cs="Arial" w:eastAsia="Arial" w:hAnsi="Arial"/>
          <w:sz w:val="19"/>
          <w:szCs w:val="19"/>
          <w:b w:val="1"/>
          <w:bCs w:val="1"/>
          <w:i w:val="1"/>
          <w:iCs w:val="1"/>
          <w:color w:val="auto"/>
        </w:rPr>
        <w:t xml:space="preserve">Administrative and general. </w:t>
      </w:r>
      <w:r>
        <w:rPr>
          <w:rFonts w:ascii="Arial" w:cs="Arial" w:eastAsia="Arial" w:hAnsi="Arial"/>
          <w:sz w:val="19"/>
          <w:szCs w:val="19"/>
          <w:color w:val="auto"/>
        </w:rPr>
        <w:t>Administrative and general expenses for the Current Year Quarter were $0.8 million lower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compared to the Prior Year Quarter primarily due to decreases in salaries and benefits expenses in the Current Year Quarter.</w:t>
      </w:r>
    </w:p>
    <w:p>
      <w:pPr>
        <w:spacing w:after="0" w:line="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Depreciation and amortization. </w:t>
      </w:r>
      <w:r>
        <w:rPr>
          <w:rFonts w:ascii="Arial" w:cs="Arial" w:eastAsia="Arial" w:hAnsi="Arial"/>
          <w:sz w:val="22"/>
          <w:szCs w:val="22"/>
          <w:color w:val="auto"/>
        </w:rPr>
        <w:t>Depreciation and amortization expense for the Current Year Quarter was $1.4 million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higher compared to the Prior Year Quarter primarily due to net fleet additions.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5" w:name="page36"/>
    <w:bookmarkEnd w:id="35"/>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Gains (Losses) on Asset Dispositions and Impairments, Net. </w:t>
      </w:r>
      <w:r>
        <w:rPr>
          <w:rFonts w:ascii="Arial" w:cs="Arial" w:eastAsia="Arial" w:hAnsi="Arial"/>
          <w:sz w:val="21"/>
          <w:szCs w:val="21"/>
          <w:color w:val="auto"/>
        </w:rPr>
        <w:t>During the Current Year Quarter, the Company sold one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PSV and two FSVs for $1.6 million in cash, resulting in losses of $2.4 million all of which was recognized currently. During the Prior Year Quarter, the Company sold two AHTS vessels and one specialty vessel previously removed from service, two FSVs, and other equipment for $3.1 million ($2.2 million cash and $0.9 million in previously received deposits), resulting in gains of $1.1 million all of which was recognized currently. In addition, in the Prior Year Quarter the Company recorded impairment charges of $9.2 million related to one owned liftboat and two leased-in liftboats and recognized net losses on asset dispositions of $4.5 million ($4.8 million loss due to the disposal of one vessel under construction, offset by a $0.3 million gain due to the redelivery of one leased-in AHTS vessel).</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(Expense), Net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the periods ended March 31, the Company’s other income (expense) was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7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986</w:t>
            </w:r>
          </w:p>
        </w:tc>
        <w:tc>
          <w:tcPr>
            <w:tcW w:w="280" w:type="dxa"/>
            <w:vAlign w:val="bottom"/>
          </w:tcPr>
          <w:p>
            <w:pPr>
              <w:spacing w:after="0"/>
              <w:rPr>
                <w:sz w:val="18"/>
                <w:szCs w:val="18"/>
                <w:color w:val="auto"/>
              </w:rPr>
            </w:pPr>
          </w:p>
        </w:tc>
        <w:tc>
          <w:tcPr>
            <w:tcW w:w="1040" w:type="dxa"/>
            <w:vAlign w:val="bottom"/>
          </w:tcPr>
          <w:p>
            <w:pPr>
              <w:jc w:val="right"/>
              <w:ind w:right="882"/>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(8,018)</w:t>
            </w:r>
          </w:p>
        </w:tc>
        <w:tc>
          <w:tcPr>
            <w:tcW w:w="10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(7,374)</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SEACOR Holdings guarantee fees</w:t>
            </w: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10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Derivative gains, net</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5,114</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Foreign currency (losses) gains, net</w:t>
            </w: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(466)</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(7,150)</w:t>
            </w: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(904)</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Interest income. </w:t>
      </w:r>
      <w:r>
        <w:rPr>
          <w:rFonts w:ascii="Arial" w:cs="Arial" w:eastAsia="Arial" w:hAnsi="Arial"/>
          <w:sz w:val="22"/>
          <w:szCs w:val="22"/>
          <w:color w:val="auto"/>
        </w:rPr>
        <w:t>Interest income for the Current Year Quarter compared with the Prior Year Quarter increased primarily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due to interest received from the IRS due to delays in the payment of the CARES Act refunds.</w:t>
      </w:r>
    </w:p>
    <w:p>
      <w:pPr>
        <w:spacing w:after="0" w:line="20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b w:val="1"/>
          <w:bCs w:val="1"/>
          <w:i w:val="1"/>
          <w:iCs w:val="1"/>
          <w:color w:val="auto"/>
        </w:rPr>
        <w:t xml:space="preserve">Interest expense. </w:t>
      </w:r>
      <w:r>
        <w:rPr>
          <w:rFonts w:ascii="Arial" w:cs="Arial" w:eastAsia="Arial" w:hAnsi="Arial"/>
          <w:sz w:val="21"/>
          <w:szCs w:val="21"/>
          <w:color w:val="auto"/>
        </w:rPr>
        <w:t>Interest expense in the Current Year Quarter compared with the Prior Year Quarter was higher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primarily due to incremental interest expense of $1.5 million related to the additional debt assumed as a result of the acquisition of the remaining equity interest in SEACOSCO and increases in interest associated with the SEACOR Alpine Shipyard Financing of $0.3 million following the delivery of two PSVs. These increases were offset by a decrease in the interest rate on variable rate debt and the impact of reduced principal balances on amortizing debt.</w:t>
      </w:r>
    </w:p>
    <w:p>
      <w:pPr>
        <w:spacing w:after="0" w:line="15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b w:val="1"/>
          <w:bCs w:val="1"/>
          <w:i w:val="1"/>
          <w:iCs w:val="1"/>
          <w:color w:val="auto"/>
        </w:rPr>
        <w:t xml:space="preserve">Derivative gains, net. </w:t>
      </w:r>
      <w:r>
        <w:rPr>
          <w:rFonts w:ascii="Arial" w:cs="Arial" w:eastAsia="Arial" w:hAnsi="Arial"/>
          <w:sz w:val="21"/>
          <w:szCs w:val="21"/>
          <w:color w:val="auto"/>
        </w:rPr>
        <w:t>Net derivative gains during the Current Year Quarter compared to the Prior Year Quarter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decreased due to the fair value of the conversion option liability decreasing from $5.2 million to approximately zero in the Prior Year Quarter; offset by gains realized on foreign currency forwards in the Current Year Quarter.</w:t>
      </w:r>
    </w:p>
    <w:p>
      <w:pPr>
        <w:spacing w:after="0" w:line="12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Foreign currency losses, net. </w:t>
      </w:r>
      <w:r>
        <w:rPr>
          <w:rFonts w:ascii="Arial" w:cs="Arial" w:eastAsia="Arial" w:hAnsi="Arial"/>
          <w:sz w:val="22"/>
          <w:szCs w:val="22"/>
          <w:color w:val="auto"/>
        </w:rPr>
        <w:t>Foreign currency losses for the Current Year Quarter compared to the Prior Year Quarter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were higher due to the effect of a stronger pound sterling relative to the U.S. dollar.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Income Tax Benefit</w:t>
      </w:r>
    </w:p>
    <w:p>
      <w:pPr>
        <w:spacing w:after="0" w:line="18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For the three months ended March 31, 2021, the Company’s effective income tax rate of 345.2% was in excess of applicable statutory rates primarily due to foreign sourced income not subject to U.S. income taxes, and foreign taxes not creditable against U.S. income taxes. For the three months ended March 31, 2020, the Company’s effective income tax rate of 27.1% was primarily due to taxes provided on income attributable to noncontrolling interests, foreign sourced income not subject to U.S. income taxes, foreign taxes not creditable against U.S. income taxes, and the annual return-to-accrual adjustment for the prior year.</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in Earnings (Losses) of 50% or Less Owned Companies</w:t>
      </w:r>
    </w:p>
    <w:p>
      <w:pPr>
        <w:spacing w:after="0" w:line="172" w:lineRule="exact"/>
        <w:rPr>
          <w:sz w:val="20"/>
          <w:szCs w:val="20"/>
          <w:color w:val="auto"/>
        </w:rPr>
      </w:pPr>
    </w:p>
    <w:p>
      <w:pPr>
        <w:jc w:val="both"/>
        <w:ind w:right="20" w:firstLine="749"/>
        <w:spacing w:after="0" w:line="274" w:lineRule="auto"/>
        <w:rPr>
          <w:sz w:val="20"/>
          <w:szCs w:val="20"/>
          <w:color w:val="auto"/>
        </w:rPr>
      </w:pPr>
      <w:r>
        <w:rPr>
          <w:rFonts w:ascii="Arial" w:cs="Arial" w:eastAsia="Arial" w:hAnsi="Arial"/>
          <w:sz w:val="21"/>
          <w:szCs w:val="21"/>
          <w:color w:val="auto"/>
        </w:rPr>
        <w:t>Equity in earnings (losses) of 50% or less owned companies for the Current Three Months compared with the Prior Three Months were $4.1 million higher due to the following changes in equity earnings (losses)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2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360" w:type="dxa"/>
            <w:vAlign w:val="bottom"/>
            <w:tcBorders>
              <w:bottom w:val="single" w:sz="8" w:color="CFF0FC"/>
            </w:tcBorders>
          </w:tcPr>
          <w:p>
            <w:pPr>
              <w:spacing w:after="0"/>
              <w:rPr>
                <w:sz w:val="18"/>
                <w:szCs w:val="18"/>
                <w:color w:val="auto"/>
              </w:rPr>
            </w:pPr>
          </w:p>
        </w:tc>
        <w:tc>
          <w:tcPr>
            <w:tcW w:w="236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2"/>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MexMar</w:t>
            </w:r>
          </w:p>
        </w:tc>
        <w:tc>
          <w:tcPr>
            <w:tcW w:w="3400" w:type="dxa"/>
            <w:vAlign w:val="bottom"/>
            <w:gridSpan w:val="2"/>
            <w:shd w:val="clear" w:color="auto" w:fill="CFF0FC"/>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4,019</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9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1,389</w:t>
            </w:r>
          </w:p>
        </w:tc>
        <w:tc>
          <w:tcPr>
            <w:tcW w:w="120" w:type="dxa"/>
            <w:vAlign w:val="bottom"/>
            <w:shd w:val="clear" w:color="auto" w:fill="CFF0FC"/>
          </w:tcPr>
          <w:p>
            <w:pPr>
              <w:spacing w:after="0"/>
              <w:rPr>
                <w:sz w:val="18"/>
                <w:szCs w:val="18"/>
                <w:color w:val="auto"/>
              </w:rPr>
            </w:pPr>
          </w:p>
        </w:tc>
      </w:tr>
      <w:tr>
        <w:trPr>
          <w:trHeight w:val="213"/>
        </w:trPr>
        <w:tc>
          <w:tcPr>
            <w:tcW w:w="5360" w:type="dxa"/>
            <w:vAlign w:val="bottom"/>
          </w:tcPr>
          <w:p>
            <w:pPr>
              <w:spacing w:after="0"/>
              <w:rPr>
                <w:sz w:val="20"/>
                <w:szCs w:val="20"/>
                <w:color w:val="auto"/>
              </w:rPr>
            </w:pPr>
            <w:r>
              <w:rPr>
                <w:rFonts w:ascii="Arial" w:cs="Arial" w:eastAsia="Arial" w:hAnsi="Arial"/>
                <w:sz w:val="16"/>
                <w:szCs w:val="16"/>
                <w:color w:val="auto"/>
              </w:rPr>
              <w:t>SEACOR Arabia</w:t>
            </w:r>
          </w:p>
        </w:tc>
        <w:tc>
          <w:tcPr>
            <w:tcW w:w="2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270</w:t>
            </w:r>
          </w:p>
        </w:tc>
        <w:tc>
          <w:tcPr>
            <w:tcW w:w="180" w:type="dxa"/>
            <w:vAlign w:val="bottom"/>
          </w:tcPr>
          <w:p>
            <w:pPr>
              <w:spacing w:after="0"/>
              <w:rPr>
                <w:sz w:val="18"/>
                <w:szCs w:val="18"/>
                <w:color w:val="auto"/>
              </w:rPr>
            </w:pPr>
          </w:p>
        </w:tc>
        <w:tc>
          <w:tcPr>
            <w:tcW w:w="1200" w:type="dxa"/>
            <w:vAlign w:val="bottom"/>
            <w:gridSpan w:val="2"/>
          </w:tcPr>
          <w:p>
            <w:pPr>
              <w:jc w:val="right"/>
              <w:ind w:right="91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r>
      <w:tr>
        <w:trPr>
          <w:trHeight w:val="219"/>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OSV Partners</w:t>
            </w:r>
          </w:p>
        </w:tc>
        <w:tc>
          <w:tcPr>
            <w:tcW w:w="23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(473)</w:t>
            </w:r>
          </w:p>
        </w:tc>
      </w:tr>
      <w:tr>
        <w:trPr>
          <w:trHeight w:val="213"/>
        </w:trPr>
        <w:tc>
          <w:tcPr>
            <w:tcW w:w="5360" w:type="dxa"/>
            <w:vAlign w:val="bottom"/>
          </w:tcPr>
          <w:p>
            <w:pPr>
              <w:spacing w:after="0"/>
              <w:rPr>
                <w:sz w:val="20"/>
                <w:szCs w:val="20"/>
                <w:color w:val="auto"/>
              </w:rPr>
            </w:pPr>
            <w:r>
              <w:rPr>
                <w:rFonts w:ascii="Arial" w:cs="Arial" w:eastAsia="Arial" w:hAnsi="Arial"/>
                <w:sz w:val="16"/>
                <w:szCs w:val="16"/>
                <w:color w:val="auto"/>
              </w:rPr>
              <w:t>SEACOR Offshore Delta (f/k/a SEACOSCO)</w:t>
            </w:r>
          </w:p>
        </w:tc>
        <w:tc>
          <w:tcPr>
            <w:tcW w:w="2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(675)</w:t>
            </w:r>
          </w:p>
        </w:tc>
      </w:tr>
      <w:tr>
        <w:trPr>
          <w:trHeight w:val="219"/>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Offshore Vessel Holdings</w:t>
            </w:r>
          </w:p>
        </w:tc>
        <w:tc>
          <w:tcPr>
            <w:tcW w:w="23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(313)</w:t>
            </w:r>
          </w:p>
        </w:tc>
      </w:tr>
      <w:tr>
        <w:trPr>
          <w:trHeight w:val="213"/>
        </w:trPr>
        <w:tc>
          <w:tcPr>
            <w:tcW w:w="5360" w:type="dxa"/>
            <w:vAlign w:val="bottom"/>
          </w:tcPr>
          <w:p>
            <w:pPr>
              <w:spacing w:after="0"/>
              <w:rPr>
                <w:sz w:val="20"/>
                <w:szCs w:val="20"/>
                <w:color w:val="auto"/>
              </w:rPr>
            </w:pPr>
            <w:r>
              <w:rPr>
                <w:rFonts w:ascii="Arial" w:cs="Arial" w:eastAsia="Arial" w:hAnsi="Arial"/>
                <w:sz w:val="16"/>
                <w:szCs w:val="16"/>
                <w:color w:val="auto"/>
              </w:rPr>
              <w:t>Other</w:t>
            </w:r>
          </w:p>
        </w:tc>
        <w:tc>
          <w:tcPr>
            <w:tcW w:w="2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r>
      <w:tr>
        <w:trPr>
          <w:trHeight w:val="20"/>
        </w:trPr>
        <w:tc>
          <w:tcPr>
            <w:tcW w:w="536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360" w:type="dxa"/>
            <w:vAlign w:val="bottom"/>
            <w:shd w:val="clear" w:color="auto" w:fill="CFF0FC"/>
          </w:tcPr>
          <w:p>
            <w:pPr>
              <w:spacing w:after="0"/>
              <w:rPr>
                <w:sz w:val="18"/>
                <w:szCs w:val="18"/>
                <w:color w:val="auto"/>
              </w:rPr>
            </w:pPr>
          </w:p>
        </w:tc>
        <w:tc>
          <w:tcPr>
            <w:tcW w:w="3400" w:type="dxa"/>
            <w:vAlign w:val="bottom"/>
            <w:gridSpan w:val="2"/>
            <w:shd w:val="clear" w:color="auto" w:fill="CFF0FC"/>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4,103</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9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8"/>
                <w:szCs w:val="18"/>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23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General</w:t>
      </w:r>
    </w:p>
    <w:p>
      <w:pPr>
        <w:spacing w:after="0" w:line="17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The Company’s ongoing liquidity requirements arise primarily from working capital needs, capital commitments and its obligations to service outstanding debt. The Company may use its liquidity to fund capital expenditures, make acquisitions or to make other investments. Sources of liquidity are cash balances, construction reserve funds and cash flows from operations. From time to time, the Company may secure additional liquidity through asset sales or the issuance of debt, shares of SEACOR Marine Common Stock or common stock of its subsidiaries, preferred stock or a combination thereof.</w:t>
      </w:r>
    </w:p>
    <w:p>
      <w:pPr>
        <w:spacing w:after="0" w:line="10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As of March 31, 2021, the Company had unfunded capital commitments of $10.1 million for one PSV and miscellaneous vessel equipment, $9.2 million of which is payable during the remainder of 2021 and $0.9 million is payable during 2022. The Company has indefinitely deferred an additional $9.5 million of orders with respect to one FSV that the Company had previously reported as unfunded capital commitments.</w:t>
      </w:r>
    </w:p>
    <w:p>
      <w:pPr>
        <w:spacing w:after="0" w:line="15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As of March 31, 2021, the Company had outstanding debt of $466.7 million, net of debt discount and issue costs. The Company’s contractual long-term debt maturities as of March 31, 2021,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Borders>
              <w:bottom w:val="single" w:sz="8" w:color="CFF0FC"/>
            </w:tcBorders>
          </w:tcPr>
          <w:p>
            <w:pPr>
              <w:spacing w:after="0"/>
              <w:rPr>
                <w:sz w:val="18"/>
                <w:szCs w:val="18"/>
                <w:color w:val="auto"/>
              </w:rPr>
            </w:pPr>
          </w:p>
        </w:tc>
        <w:tc>
          <w:tcPr>
            <w:tcW w:w="38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FF0FC"/>
            </w:tcBorders>
          </w:tcPr>
          <w:p>
            <w:pPr>
              <w:spacing w:after="0"/>
              <w:rPr>
                <w:sz w:val="18"/>
                <w:szCs w:val="18"/>
                <w:color w:val="auto"/>
              </w:rPr>
            </w:pPr>
          </w:p>
        </w:tc>
      </w:tr>
      <w:tr>
        <w:trPr>
          <w:trHeight w:val="213"/>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Remainder 2021</w:t>
            </w:r>
          </w:p>
        </w:tc>
        <w:tc>
          <w:tcPr>
            <w:tcW w:w="41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25,356</w:t>
            </w:r>
          </w:p>
        </w:tc>
        <w:tc>
          <w:tcPr>
            <w:tcW w:w="100" w:type="dxa"/>
            <w:vAlign w:val="bottom"/>
            <w:shd w:val="clear" w:color="auto" w:fill="CFF0FC"/>
          </w:tcPr>
          <w:p>
            <w:pPr>
              <w:spacing w:after="0"/>
              <w:rPr>
                <w:sz w:val="18"/>
                <w:szCs w:val="18"/>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2022</w:t>
            </w: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38,484</w:t>
            </w:r>
          </w:p>
        </w:tc>
        <w:tc>
          <w:tcPr>
            <w:tcW w:w="100" w:type="dxa"/>
            <w:vAlign w:val="bottom"/>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3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243,703</w:t>
            </w:r>
          </w:p>
        </w:tc>
        <w:tc>
          <w:tcPr>
            <w:tcW w:w="100" w:type="dxa"/>
            <w:vAlign w:val="bottom"/>
            <w:shd w:val="clear" w:color="auto" w:fill="CFF0FC"/>
          </w:tcPr>
          <w:p>
            <w:pPr>
              <w:spacing w:after="0"/>
              <w:rPr>
                <w:sz w:val="19"/>
                <w:szCs w:val="19"/>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2024</w:t>
            </w: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134,523</w:t>
            </w:r>
          </w:p>
        </w:tc>
        <w:tc>
          <w:tcPr>
            <w:tcW w:w="100" w:type="dxa"/>
            <w:vAlign w:val="bottom"/>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3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11,365</w:t>
            </w:r>
          </w:p>
        </w:tc>
        <w:tc>
          <w:tcPr>
            <w:tcW w:w="100" w:type="dxa"/>
            <w:vAlign w:val="bottom"/>
            <w:shd w:val="clear" w:color="auto" w:fill="CFF0FC"/>
          </w:tcPr>
          <w:p>
            <w:pPr>
              <w:spacing w:after="0"/>
              <w:rPr>
                <w:sz w:val="19"/>
                <w:szCs w:val="19"/>
                <w:color w:val="auto"/>
              </w:rPr>
            </w:pPr>
          </w:p>
        </w:tc>
      </w:tr>
      <w:tr>
        <w:trPr>
          <w:trHeight w:val="213"/>
        </w:trPr>
        <w:tc>
          <w:tcPr>
            <w:tcW w:w="5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Years subsequent to 2025</w:t>
            </w:r>
          </w:p>
        </w:tc>
        <w:tc>
          <w:tcPr>
            <w:tcW w:w="38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60,144</w:t>
            </w:r>
          </w:p>
        </w:tc>
        <w:tc>
          <w:tcPr>
            <w:tcW w:w="100" w:type="dxa"/>
            <w:vAlign w:val="bottom"/>
            <w:tcBorders>
              <w:bottom w:val="single" w:sz="8" w:color="CFF0FC"/>
            </w:tcBorders>
          </w:tcPr>
          <w:p>
            <w:pPr>
              <w:spacing w:after="0"/>
              <w:rPr>
                <w:sz w:val="18"/>
                <w:szCs w:val="18"/>
                <w:color w:val="auto"/>
              </w:rPr>
            </w:pPr>
          </w:p>
        </w:tc>
      </w:tr>
      <w:tr>
        <w:trPr>
          <w:trHeight w:val="210"/>
        </w:trPr>
        <w:tc>
          <w:tcPr>
            <w:tcW w:w="5460" w:type="dxa"/>
            <w:vAlign w:val="bottom"/>
            <w:shd w:val="clear" w:color="auto" w:fill="CFF0FC"/>
          </w:tcPr>
          <w:p>
            <w:pPr>
              <w:spacing w:after="0"/>
              <w:rPr>
                <w:sz w:val="18"/>
                <w:szCs w:val="18"/>
                <w:color w:val="auto"/>
              </w:rPr>
            </w:pPr>
          </w:p>
        </w:tc>
        <w:tc>
          <w:tcPr>
            <w:tcW w:w="41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513,575</w:t>
            </w:r>
          </w:p>
        </w:tc>
        <w:tc>
          <w:tcPr>
            <w:tcW w:w="100" w:type="dxa"/>
            <w:vAlign w:val="bottom"/>
            <w:shd w:val="clear" w:color="auto" w:fill="CFF0FC"/>
          </w:tcPr>
          <w:p>
            <w:pPr>
              <w:spacing w:after="0"/>
              <w:rPr>
                <w:sz w:val="18"/>
                <w:szCs w:val="18"/>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7" w:name="page38"/>
    <w:bookmarkEnd w:id="37"/>
    <w:p>
      <w:pPr>
        <w:jc w:val="both"/>
        <w:ind w:firstLine="749"/>
        <w:spacing w:after="0" w:line="238" w:lineRule="auto"/>
        <w:rPr>
          <w:sz w:val="20"/>
          <w:szCs w:val="20"/>
          <w:color w:val="auto"/>
        </w:rPr>
      </w:pPr>
      <w:r>
        <w:rPr>
          <w:rFonts w:ascii="Arial" w:cs="Arial" w:eastAsia="Arial" w:hAnsi="Arial"/>
          <w:sz w:val="22"/>
          <w:szCs w:val="22"/>
          <w:color w:val="auto"/>
        </w:rPr>
        <w:t>As of March 31, 2021, the Company held balances of cash, cash equivalents, restricted cash and construction reserve funds totaling $71.8 million, of which $4.2 million was construction reserve funds held as cash. Additionally, the Company had $0.5 million available borrowing capacity under subsidiary credit facilities. In addition, in April 2021 an additional aggregate amount of $19.8 million of tax refunds were received.</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Summary of Cash Flows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1"/>
          <w:szCs w:val="21"/>
          <w:color w:val="auto"/>
        </w:rPr>
        <w:t>For the three months ended March 31, the following is a summary of the Company’s cash flows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provided by or (used in):</w:t>
            </w:r>
          </w:p>
        </w:tc>
        <w:tc>
          <w:tcPr>
            <w:tcW w:w="7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Operating Activities</w:t>
            </w:r>
          </w:p>
        </w:tc>
        <w:tc>
          <w:tcPr>
            <w:tcW w:w="1780" w:type="dxa"/>
            <w:vAlign w:val="bottom"/>
            <w:gridSpan w:val="2"/>
          </w:tcPr>
          <w:p>
            <w:pPr>
              <w:jc w:val="right"/>
              <w:ind w:right="839"/>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(3,375)</w:t>
            </w:r>
          </w:p>
        </w:tc>
        <w:tc>
          <w:tcPr>
            <w:tcW w:w="112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(11,138)</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Investing Activities</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Financing Activities</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(8,292)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(5,069)</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Effects of Exchange Rate Changes on Cash, Restricted Cash and Cash Equivalents</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Net Increase in Cash, Restricted Cash and Cash Equivalents from Discontinued Operations</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Increase (Decrease) in Cash, Restricted Cash and Cash Equivalents</w:t>
            </w:r>
          </w:p>
        </w:tc>
        <w:tc>
          <w:tcPr>
            <w:tcW w:w="7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vMerge w:val="continue"/>
            <w:shd w:val="clear" w:color="auto" w:fill="CFF0FC"/>
          </w:tcPr>
          <w:p>
            <w:pPr>
              <w:spacing w:after="0"/>
              <w:rPr>
                <w:sz w:val="18"/>
                <w:szCs w:val="18"/>
                <w:color w:val="auto"/>
              </w:rPr>
            </w:pPr>
          </w:p>
        </w:tc>
        <w:tc>
          <w:tcPr>
            <w:tcW w:w="1780" w:type="dxa"/>
            <w:vAlign w:val="bottom"/>
            <w:gridSpan w:val="2"/>
            <w:shd w:val="clear" w:color="auto" w:fill="CFF0FC"/>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32,223</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9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(14,474)</w:t>
            </w: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Operating Activities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Cash flows used in continuing operating activities increased by $7.8 million in the Current Three Months compared with the Prior Three Months. The components of cash flows used in continuing operating activities during the Current Three Months and Prior Three Months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gridSpan w:val="6"/>
          </w:tcPr>
          <w:p>
            <w:pPr>
              <w:jc w:val="right"/>
              <w:ind w:right="72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04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12"/>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DVP:</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United States, primarily Gulf of Mexico</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(1,312)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Africa and Europe, Continuing Operations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7,959</w:t>
            </w:r>
          </w:p>
        </w:tc>
        <w:tc>
          <w:tcPr>
            <w:tcW w:w="12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Middle East and Asia</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5,029</w:t>
            </w:r>
          </w:p>
        </w:tc>
        <w:tc>
          <w:tcPr>
            <w:tcW w:w="12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Latin America</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1,543</w:t>
            </w:r>
          </w:p>
        </w:tc>
        <w:tc>
          <w:tcPr>
            <w:tcW w:w="120" w:type="dxa"/>
            <w:vAlign w:val="bottom"/>
            <w:shd w:val="clear" w:color="auto" w:fill="CFF0FC"/>
          </w:tcPr>
          <w:p>
            <w:pPr>
              <w:spacing w:after="0"/>
              <w:rPr>
                <w:sz w:val="19"/>
                <w:szCs w:val="19"/>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Operating, leased-in equipment</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(3,810)</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Administrative and general (excluding provisions for bad debts and amortization of share awards)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(7,476)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(8,405)</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SEACOR Holdings management and guarantee fees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r>
      <w:tr>
        <w:trPr>
          <w:trHeight w:val="216"/>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Other, net (excluding non-cash losses)</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0"/>
        </w:trPr>
        <w:tc>
          <w:tcPr>
            <w:tcW w:w="7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2,701</w:t>
            </w:r>
          </w:p>
        </w:tc>
        <w:tc>
          <w:tcPr>
            <w:tcW w:w="120" w:type="dxa"/>
            <w:vAlign w:val="bottom"/>
          </w:tcPr>
          <w:p>
            <w:pPr>
              <w:spacing w:after="0"/>
              <w:rPr>
                <w:sz w:val="18"/>
                <w:szCs w:val="18"/>
                <w:color w:val="auto"/>
              </w:rPr>
            </w:pP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 before interest and income taxes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(11,460)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(11,188)</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Restricted stock vested</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(175)</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Cash settlements on derivative transactions, net</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(919)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(199)</w:t>
            </w: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5"/>
                <w:szCs w:val="15"/>
                <w:color w:val="auto"/>
              </w:rPr>
              <w:t xml:space="preserve">Interest paid, excluding capitalized interest </w:t>
            </w:r>
            <w:r>
              <w:rPr>
                <w:rFonts w:ascii="Arial" w:cs="Arial" w:eastAsia="Arial" w:hAnsi="Arial"/>
                <w:sz w:val="25"/>
                <w:szCs w:val="25"/>
                <w:color w:val="auto"/>
                <w:vertAlign w:val="superscript"/>
              </w:rPr>
              <w:t>(1)</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(4,398)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(4,513)</w:t>
            </w:r>
          </w:p>
        </w:tc>
      </w:tr>
      <w:tr>
        <w:trPr>
          <w:trHeight w:val="216"/>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Interest received</w:t>
            </w: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FF0FC"/>
          </w:tcPr>
          <w:p>
            <w:pPr>
              <w:spacing w:after="0"/>
              <w:rPr>
                <w:sz w:val="18"/>
                <w:szCs w:val="18"/>
                <w:color w:val="auto"/>
              </w:rPr>
            </w:pPr>
          </w:p>
        </w:tc>
      </w:tr>
      <w:tr>
        <w:trPr>
          <w:trHeight w:val="213"/>
        </w:trPr>
        <w:tc>
          <w:tcPr>
            <w:tcW w:w="7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taxes refunded, net</w:t>
            </w:r>
          </w:p>
        </w:tc>
        <w:tc>
          <w:tcPr>
            <w:tcW w:w="6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w:t>
            </w:r>
          </w:p>
        </w:tc>
        <w:tc>
          <w:tcPr>
            <w:tcW w:w="120" w:type="dxa"/>
            <w:vAlign w:val="bottom"/>
            <w:tcBorders>
              <w:bottom w:val="single" w:sz="8" w:color="CFF0FC"/>
            </w:tcBorders>
          </w:tcPr>
          <w:p>
            <w:pPr>
              <w:spacing w:after="0"/>
              <w:rPr>
                <w:sz w:val="18"/>
                <w:szCs w:val="18"/>
                <w:color w:val="auto"/>
              </w:rPr>
            </w:pPr>
          </w:p>
        </w:tc>
      </w:tr>
      <w:tr>
        <w:trPr>
          <w:trHeight w:val="20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Total cash flows used in operating activities</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(3,375)</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(11,138)</w:t>
            </w:r>
          </w:p>
        </w:tc>
      </w:tr>
      <w:tr>
        <w:trPr>
          <w:trHeight w:val="20"/>
        </w:trPr>
        <w:tc>
          <w:tcPr>
            <w:tcW w:w="70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8890</wp:posOffset>
            </wp:positionV>
            <wp:extent cx="2160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ind w:left="380" w:hanging="372"/>
        <w:spacing w:after="0" w:line="293" w:lineRule="auto"/>
        <w:tabs>
          <w:tab w:leader="none" w:pos="380" w:val="left"/>
        </w:tabs>
        <w:numPr>
          <w:ilvl w:val="0"/>
          <w:numId w:val="26"/>
        </w:numPr>
        <w:rPr>
          <w:rFonts w:ascii="Arial" w:cs="Arial" w:eastAsia="Arial" w:hAnsi="Arial"/>
          <w:sz w:val="15"/>
          <w:szCs w:val="15"/>
          <w:color w:val="auto"/>
        </w:rPr>
      </w:pPr>
      <w:r>
        <w:rPr>
          <w:rFonts w:ascii="Arial" w:cs="Arial" w:eastAsia="Arial" w:hAnsi="Arial"/>
          <w:sz w:val="16"/>
          <w:szCs w:val="16"/>
          <w:color w:val="auto"/>
        </w:rPr>
        <w:t>During the Current Three Months and the Prior Three Months, capitalized interest paid and included in purchases of property and equipment for continuing operations was $0.2 million and $0.2 million, respectively.</w:t>
      </w:r>
    </w:p>
    <w:p>
      <w:pPr>
        <w:spacing w:after="0" w:line="133"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detailed discussion of the Company’s financial results for the reported periods, see “Consolidated Results of Operations” above. Changes in operating assets and liabilities before interest and income taxes are the result of the Company’s working capital requirements.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8" w:name="page39"/>
    <w:bookmarkEnd w:id="38"/>
    <w:p>
      <w:pPr>
        <w:ind w:left="760"/>
        <w:spacing w:after="0"/>
        <w:rPr>
          <w:sz w:val="20"/>
          <w:szCs w:val="20"/>
          <w:color w:val="auto"/>
        </w:rPr>
      </w:pPr>
      <w:r>
        <w:rPr>
          <w:rFonts w:ascii="Arial" w:cs="Arial" w:eastAsia="Arial" w:hAnsi="Arial"/>
          <w:sz w:val="22"/>
          <w:szCs w:val="22"/>
          <w:b w:val="1"/>
          <w:bCs w:val="1"/>
          <w:color w:val="auto"/>
        </w:rPr>
        <w:t>Investing Activities</w:t>
      </w:r>
    </w:p>
    <w:p>
      <w:pPr>
        <w:spacing w:after="0" w:line="18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During the Current Three Months, net cash provided by investing activities was $39.4 million, primarily as a result of the following:</w:t>
      </w:r>
    </w:p>
    <w:p>
      <w:pPr>
        <w:spacing w:after="0" w:line="67" w:lineRule="exact"/>
        <w:rPr>
          <w:sz w:val="20"/>
          <w:szCs w:val="20"/>
          <w:color w:val="auto"/>
        </w:rPr>
      </w:pPr>
    </w:p>
    <w:p>
      <w:pPr>
        <w:ind w:left="1260" w:hanging="510"/>
        <w:spacing w:after="0"/>
        <w:tabs>
          <w:tab w:leader="none" w:pos="12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capital expenditures were $2.7 million;</w:t>
      </w:r>
    </w:p>
    <w:p>
      <w:pPr>
        <w:spacing w:after="0" w:line="98" w:lineRule="exact"/>
        <w:rPr>
          <w:rFonts w:ascii="Arial" w:cs="Arial" w:eastAsia="Arial" w:hAnsi="Arial"/>
          <w:sz w:val="22"/>
          <w:szCs w:val="22"/>
          <w:color w:val="auto"/>
        </w:rPr>
      </w:pPr>
    </w:p>
    <w:p>
      <w:pPr>
        <w:ind w:left="1260" w:hanging="510"/>
        <w:spacing w:after="0" w:line="250" w:lineRule="auto"/>
        <w:tabs>
          <w:tab w:leader="none" w:pos="12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Company sold two FSVs, one PSV and other equipment for net proceeds of $1.6 million and received $1.7 million in deposits for the future sale of vessels;</w:t>
      </w:r>
    </w:p>
    <w:p>
      <w:pPr>
        <w:spacing w:after="0" w:line="66" w:lineRule="exact"/>
        <w:rPr>
          <w:rFonts w:ascii="Arial" w:cs="Arial" w:eastAsia="Arial" w:hAnsi="Arial"/>
          <w:sz w:val="22"/>
          <w:szCs w:val="22"/>
          <w:color w:val="auto"/>
        </w:rPr>
      </w:pPr>
    </w:p>
    <w:p>
      <w:pPr>
        <w:ind w:left="1260" w:right="20" w:hanging="510"/>
        <w:spacing w:after="0" w:line="326" w:lineRule="auto"/>
        <w:tabs>
          <w:tab w:leader="none" w:pos="12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Company completed the sale of Windcat Workboats for net proceeds of $38.7 million ($42.2 million cash, less $3.5 million cash held at Windcat Workboats that was included in the assets purchased by the Windcat Buyer);</w:t>
      </w:r>
    </w:p>
    <w:p>
      <w:pPr>
        <w:ind w:left="1260" w:hanging="510"/>
        <w:spacing w:after="0"/>
        <w:tabs>
          <w:tab w:leader="none" w:pos="126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Company made investments in, and advances to, its 50% or less owned companies of $0.7 million; and</w:t>
      </w:r>
    </w:p>
    <w:p>
      <w:pPr>
        <w:spacing w:after="0" w:line="109" w:lineRule="exact"/>
        <w:rPr>
          <w:rFonts w:ascii="Arial" w:cs="Arial" w:eastAsia="Arial" w:hAnsi="Arial"/>
          <w:sz w:val="21"/>
          <w:szCs w:val="21"/>
          <w:color w:val="auto"/>
        </w:rPr>
      </w:pPr>
    </w:p>
    <w:p>
      <w:pPr>
        <w:ind w:left="1260" w:hanging="510"/>
        <w:spacing w:after="0" w:line="250" w:lineRule="auto"/>
        <w:tabs>
          <w:tab w:leader="none" w:pos="12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Company received $0.9 million from investments in, and advances to, its 50% or less owned companies for principal payments on notes.</w:t>
      </w:r>
    </w:p>
    <w:p>
      <w:pPr>
        <w:spacing w:after="0" w:line="134"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During the Prior Three Months, net cash provided by investing activities was $3.6 million, primarily as a result of the following:</w:t>
      </w:r>
    </w:p>
    <w:p>
      <w:pPr>
        <w:spacing w:after="0" w:line="67" w:lineRule="exact"/>
        <w:rPr>
          <w:sz w:val="20"/>
          <w:szCs w:val="20"/>
          <w:color w:val="auto"/>
        </w:rPr>
      </w:pPr>
    </w:p>
    <w:p>
      <w:pPr>
        <w:ind w:left="1260" w:hanging="510"/>
        <w:spacing w:after="0"/>
        <w:tabs>
          <w:tab w:leader="none" w:pos="12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capital expenditures were $8.5 million;</w:t>
      </w:r>
    </w:p>
    <w:p>
      <w:pPr>
        <w:spacing w:after="0" w:line="98" w:lineRule="exact"/>
        <w:rPr>
          <w:rFonts w:ascii="Arial" w:cs="Arial" w:eastAsia="Arial" w:hAnsi="Arial"/>
          <w:sz w:val="22"/>
          <w:szCs w:val="22"/>
          <w:color w:val="auto"/>
        </w:rPr>
      </w:pPr>
    </w:p>
    <w:p>
      <w:pPr>
        <w:jc w:val="both"/>
        <w:ind w:left="1260" w:hanging="510"/>
        <w:spacing w:after="0"/>
        <w:tabs>
          <w:tab w:leader="none" w:pos="12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sold two AHTS vessels and one specialty vessel previously retired and removed from service, two FSVs, and other equipment for net proceeds of $3.1 million ($2.2 million cash and $0.9 million in previously received deposits);</w:t>
      </w:r>
    </w:p>
    <w:p>
      <w:pPr>
        <w:spacing w:after="0" w:line="78" w:lineRule="exact"/>
        <w:rPr>
          <w:rFonts w:ascii="Arial" w:cs="Arial" w:eastAsia="Arial" w:hAnsi="Arial"/>
          <w:sz w:val="22"/>
          <w:szCs w:val="22"/>
          <w:color w:val="auto"/>
        </w:rPr>
      </w:pPr>
    </w:p>
    <w:p>
      <w:pPr>
        <w:ind w:left="1260" w:hanging="510"/>
        <w:spacing w:after="0"/>
        <w:tabs>
          <w:tab w:leader="none" w:pos="12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construction reserve funds account transactions included withdrawals of $9.1 million; and</w:t>
      </w:r>
    </w:p>
    <w:p>
      <w:pPr>
        <w:spacing w:after="0" w:line="98" w:lineRule="exact"/>
        <w:rPr>
          <w:rFonts w:ascii="Arial" w:cs="Arial" w:eastAsia="Arial" w:hAnsi="Arial"/>
          <w:sz w:val="22"/>
          <w:szCs w:val="22"/>
          <w:color w:val="auto"/>
        </w:rPr>
      </w:pPr>
    </w:p>
    <w:p>
      <w:pPr>
        <w:ind w:left="1260" w:hanging="510"/>
        <w:spacing w:after="0"/>
        <w:tabs>
          <w:tab w:leader="none" w:pos="1260"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Company made investments in, and advances to, its 50% or less owned companies of $0.2 million.</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Financing Activities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During the Current Three Months, net cash used in financing activities was $8.3 million.</w:t>
      </w:r>
    </w:p>
    <w:p>
      <w:pPr>
        <w:spacing w:after="0" w:line="98" w:lineRule="exact"/>
        <w:rPr>
          <w:sz w:val="20"/>
          <w:szCs w:val="20"/>
          <w:color w:val="auto"/>
        </w:rPr>
      </w:pPr>
    </w:p>
    <w:p>
      <w:pPr>
        <w:ind w:left="1260" w:hanging="510"/>
        <w:spacing w:after="0"/>
        <w:tabs>
          <w:tab w:leader="none" w:pos="12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made scheduled payments on long-term debt and obligations of $8.3 million.</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During the Prior Three Months, net cash used in financing activities was $5.1 million.</w:t>
      </w:r>
    </w:p>
    <w:p>
      <w:pPr>
        <w:spacing w:after="0" w:line="98" w:lineRule="exact"/>
        <w:rPr>
          <w:sz w:val="20"/>
          <w:szCs w:val="20"/>
          <w:color w:val="auto"/>
        </w:rPr>
      </w:pPr>
    </w:p>
    <w:p>
      <w:pPr>
        <w:ind w:left="1260" w:hanging="510"/>
        <w:spacing w:after="0"/>
        <w:tabs>
          <w:tab w:leader="none" w:pos="12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Company made scheduled payments on long-term debt and obligations of $5.1 million.</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Short and Long-Term Liquidity Requirements</w:t>
      </w:r>
    </w:p>
    <w:p>
      <w:pPr>
        <w:spacing w:after="0" w:line="17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and debt service requirements.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Management will continue to closely monitor the Company’s liquidity and compliance with covenants in its credit facilities specifically as it relates to the COVID-19 pandemic. As noted above under “Overview”, there are a number of steps the Company has and can take to mitigate any further adverse effects to the Company’s liquidity stemming from the COVID-19 pandemic and the resulting depressed oil and natural gas price environment, including sales of assets, workforce reduction and other cost reduction measures. In addition, the Company has received a meaningful amount of tax refunds as a result of the changes in the current U.S. tax law included in the CARES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9" w:name="page40"/>
    <w:bookmarkEnd w:id="39"/>
    <w:p>
      <w:pPr>
        <w:jc w:val="both"/>
        <w:ind w:firstLine="749"/>
        <w:spacing w:after="0" w:line="273" w:lineRule="auto"/>
        <w:rPr>
          <w:sz w:val="20"/>
          <w:szCs w:val="20"/>
          <w:color w:val="auto"/>
        </w:rPr>
      </w:pPr>
      <w:r>
        <w:rPr>
          <w:rFonts w:ascii="Arial" w:cs="Arial" w:eastAsia="Arial" w:hAnsi="Arial"/>
          <w:sz w:val="19"/>
          <w:szCs w:val="19"/>
          <w:color w:val="auto"/>
        </w:rPr>
        <w:t>While the COVID-19 pandemic has reduced the demand for the Company’s products and services, the COVID-19 pandemic has not had a material impact on the Company’s liquidity or, except as noted in “Note 4. Long-Term Debt” in the unaudited consolidated financial statements included in Part I. Item 1. “Financial Statements” elsewhere in this Quarterly Report on Form 10-Q, on the Company’s ability to meet its financial maintenance covenants in its various credit facilities. The Company's primary credit facility requires the Company to maintain a minimum of $35 million of cash on hand (including restricted cash) at all times. As of March 31, 2021 the Company's cash balances used to test compliance with this covenant was $71.8 million, which the Company believes is sufficient to maintain compliance with this covenant for the foreseeable future. However, if the effect of the COVID-19 pandemic on the Company's business becomes more severe, for example by further reducing the demand for the Company’s products and services or causing customers not to make their payments on time, the Company may be required to seek amendments to the covenant to avoid a default under the facility.</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Off-Balance Sheet Arrangements</w:t>
      </w:r>
    </w:p>
    <w:p>
      <w:pPr>
        <w:spacing w:after="0" w:line="172"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For a discussion of the Company’s off-balance sheet arrangements, refer to “Management’s Discussion and Analysis of Financial Condition and Results of Operations - Liquidity and Capital Resources” in the Company’s 2020 Annual Report. There has been no material change in the Company’s off-balance sheet arrangements during the three months ended March 31, 2021.</w:t>
      </w:r>
    </w:p>
    <w:p>
      <w:pPr>
        <w:spacing w:after="0" w:line="8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Debt Securities and Credit Agreements</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a discussion of the Company’s debt securities and credit agreements, see “Note 4. Long-Term Debt” in the unaudited consolidated financial statements included in Part I. Item 1. “Financial Statements” elsewhere in this Quarterly Report on Form 10-Q and in “Note 8. Long-Term Debt” in the Company’s audited consolidated financial statements included in its 2020 Annual Report.</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Contractual Obligations and Commercial Commitments</w:t>
      </w:r>
    </w:p>
    <w:p>
      <w:pPr>
        <w:spacing w:after="0" w:line="172"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For a discussion of the Company’s contractual obligations and commercial commitments, refer to “Management’s Discussion and Analysis of Financial Condition and Results of Operations - Liquidity and Capital Resources” in the Company’s 2020 Annual Report. There has been no material change in the Company’s contractual obligations and commercial commitments.</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Contingencies</w:t>
      </w:r>
    </w:p>
    <w:p>
      <w:pPr>
        <w:spacing w:after="0" w:line="17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As of March 31, 2021, SEACOR Holdings has guaranteed $4.8 million on behalf of the Company for various obligations including: performance obligations under sale-leaseback arrangements and invoiced amounts for funding deficits under the Merchant Navy Officers Pension Fund. SEACOR Holdings charges the Company a fee of 0.5% per annum on outstanding guaranteed amounts, which declines as the obligations are settled by the Company.</w:t>
      </w:r>
    </w:p>
    <w:p>
      <w:pPr>
        <w:spacing w:after="0" w:line="13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3.QUANTITATIVE AND QUALITATIVE DISCLOSURES ABOUT MARKET RISK</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exposure to market risk, refer to “Quantitative and Qualitative Disclosures About Market Risk” included in the Company’s 2020 Annual Report. There has been no material change in the Company’s exposure to market risk during the three months ended March 31, 2021.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ITEM 4.CONTROLS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8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With the participation of the Company’s principal executive officer and principal financial officer, management evaluated the effectiveness of the Company’s disclosure controls and procedures (as defined in Rules 13a-15(e) and 15d-15(e) under the Securities Exchange Act of 1934, as amended (the “Exchange Act”)), as of March 31, 2021. Based on their evaluation, the Company’s principal executive officer and principal financial officer concluded that the Company’s disclosure controls and procedures were effective as of March 31, 2021 to provide reasonable assurance that information required to be disclosed by the Company in reports filed or submitted under the Exchange Act is (i) recorded, processed, summarized and reported within the time periods specified in the Securities and Exchange Commission's rules and forms and (ii) accumulated and communicated to the Company's management, including its Chief Executive Officer and Chief Financial Officer, as appropriate to allow timely decisions regarding required disclosure.</w:t>
      </w:r>
    </w:p>
    <w:p>
      <w:pPr>
        <w:spacing w:after="0" w:line="11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There have been no changes in the Company’s internal control over financial reporting (as defined in Rules 13a-15(f) and 15d-15(f) under the Exchange Act) that occurred during the three months ended March 31,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auto"/>
        </w:rPr>
        <w:t>PART II—OTHER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1.LEGAL PROCEEDINGS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description of developments with respect to pending legal proceedings described in the Company’s 2020 Annual Report, see “Note 9. Commitments and Contingencies” included in Part I. Item 1. “Financial Statements” elsewhere in this Quarterly Report on Form 10-Q.</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1A.RISK FACTORS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risk factors, refer to “Risk Factors” included in the Company’s 2020 Annual Report. Other than as set forth below, there have been no material changes in the Company’s risk factors during the Current Three Months.</w:t>
      </w:r>
    </w:p>
    <w:p>
      <w:pPr>
        <w:spacing w:after="0" w:line="146"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b w:val="1"/>
          <w:bCs w:val="1"/>
          <w:i w:val="1"/>
          <w:iCs w:val="1"/>
          <w:color w:val="auto"/>
        </w:rPr>
        <w:t>The Company is subject to hazards inherent in the operation of offshore support and related vessels and has experienced accidents that have resulted in the loss of life, disrupted operations and caused reputational harm.</w:t>
      </w:r>
    </w:p>
    <w:p>
      <w:pPr>
        <w:spacing w:after="0" w:line="6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operation of offshore support and related vessels is highly dangerous and is inherently subject to various risks including, but not limited to, adverse sea conditions, capsizing, navigation errors, each of which could result in the loss of life, injury to personnel, damage to equipment and the environment. Our vessels have been involved in accidents in the past, some of which included loss of life, personal injury and property damage, and we, or third parties operating our vessels, may experience accidents in the future.</w:t>
      </w:r>
    </w:p>
    <w:p>
      <w:pPr>
        <w:spacing w:after="0" w:line="16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On April 13, 2021, the SEACOR Power, a liftboat owned by a subsidiary of the Company with nineteen individuals on board, capsized off the coast of Port Fourchon, Louisiana. The incident resulted in the death of several crew members, including the captain of the vessel, and several crew members remain missing. The accident also resulted in the constructive total loss of the SEACOR Power. The Company is responsible for the salvage operations related to the vessel and must coordinate with the U.S. Coast Guard in connection with the removal of the vessel, including the safe removal of fuel and oil, from the water, which the Company expects to take a number of months and to be costly. Although the Company does not expect the incident to result in a significant impact on the environment, if there is environmental damage the Company may be responsible for any required clean-up activities and could be subject to related fines and other penalties.</w:t>
      </w:r>
    </w:p>
    <w:p>
      <w:pPr>
        <w:spacing w:after="0" w:line="11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The capsizing of the SEACOR Power has garnered significant attention from the media as well as local, state and federal politicians. The National Transportation Safety Board (“NTSB”) and the U.S. Coast Guard are currently investigating the incident to determine the cause of the accident and the Company is fully cooperating with the investigation in all respects and continues to gather information about the incident. It is expected that the joint NTSB and U.S. Coast Guard investigation will take a significant period of time to complete, possibly as long as two years or longer. It is also possible that other state and federal legislatures and/or agencies or other regulators will initiate investigations of the incident. Depending on the outcome of these investigations, the Company may be subject to fines and other penalties including being restricted or prohibited from operating vessels in the Gulf of Mexico for a period of time. In addition, adverse findings in any investigation could harm the Company’s reputation and, in turn, the Company’s competitiveness, or impact the Company’s ability to market and operate liftboats.</w:t>
      </w:r>
    </w:p>
    <w:p>
      <w:pPr>
        <w:spacing w:after="0" w:line="11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Several civil lawsuits have been filed against the Company and other third parties by the family members of deceased crew members employed by the Company or by the third parties, claiming among other things that the Company and/or the third parties failed to properly to assess weather conditions, failed to provide adequate equipment for the job, failed to maintain the vessel or perform adequate safety meetings, among other claims and allegations. Additional lawsuits may be filed in the future. The Company cannot predict the outcome of any such legal proceedings but if it is found liable, any related losses could be significant. Furthermore, the costs incurred in litigation can be substantial, regardless of the outcome.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2" w:name="page43"/>
    <w:bookmarkEnd w:id="42"/>
    <w:p>
      <w:pPr>
        <w:jc w:val="both"/>
        <w:ind w:firstLine="749"/>
        <w:spacing w:after="0" w:line="238" w:lineRule="auto"/>
        <w:rPr>
          <w:sz w:val="20"/>
          <w:szCs w:val="20"/>
          <w:color w:val="auto"/>
        </w:rPr>
      </w:pPr>
      <w:r>
        <w:rPr>
          <w:rFonts w:ascii="Arial" w:cs="Arial" w:eastAsia="Arial" w:hAnsi="Arial"/>
          <w:sz w:val="22"/>
          <w:szCs w:val="22"/>
          <w:color w:val="auto"/>
        </w:rPr>
        <w:t>Management has been devoting a significant amount of time and resources to the accident response, including providing assistance to the affected crewmen and their families. We expect that, at least for the near-term, management will continue to devote significant time and attention to matters related to the incident while also attending to other business concerns, which could have adverse effects on the Company and its operations.</w:t>
      </w:r>
    </w:p>
    <w:p>
      <w:pPr>
        <w:spacing w:after="0" w:line="15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There is significant uncertainty in the amount and timing of costs and potential liabilities relating to the accident involving the SEACOR Power, the impact the incident will have on the Company’s reputation and the resulting possible impact on the Company’s business. These uncertainties are likely to continue for a significant period. In addition, while the Company believes its existing insurance policies will adequately cover certain losses, the ultimate amount of losses, potential fines and penalties, and insurance proceeds cannot be determined at this time and may depend on the outcome of any investigation. See “</w:t>
      </w:r>
      <w:r>
        <w:rPr>
          <w:rFonts w:ascii="Arial" w:cs="Arial" w:eastAsia="Arial" w:hAnsi="Arial"/>
          <w:sz w:val="19"/>
          <w:szCs w:val="19"/>
          <w:i w:val="1"/>
          <w:iCs w:val="1"/>
          <w:color w:val="auto"/>
        </w:rPr>
        <w:t>Risk Factors –The Company’s insurance coverage may be inadequate to protect it from the liabilities that could arise in its</w:t>
      </w:r>
      <w:r>
        <w:rPr>
          <w:rFonts w:ascii="Arial" w:cs="Arial" w:eastAsia="Arial" w:hAnsi="Arial"/>
          <w:sz w:val="19"/>
          <w:szCs w:val="19"/>
          <w:color w:val="auto"/>
        </w:rPr>
        <w:t xml:space="preserve"> </w:t>
      </w:r>
      <w:r>
        <w:rPr>
          <w:rFonts w:ascii="Arial" w:cs="Arial" w:eastAsia="Arial" w:hAnsi="Arial"/>
          <w:sz w:val="19"/>
          <w:szCs w:val="19"/>
          <w:i w:val="1"/>
          <w:iCs w:val="1"/>
          <w:color w:val="auto"/>
        </w:rPr>
        <w:t>business</w:t>
      </w:r>
      <w:r>
        <w:rPr>
          <w:rFonts w:ascii="Arial" w:cs="Arial" w:eastAsia="Arial" w:hAnsi="Arial"/>
          <w:sz w:val="19"/>
          <w:szCs w:val="19"/>
          <w:color w:val="auto"/>
        </w:rPr>
        <w:t>” in the Company’s Annual Report on Form 10-K for the year ended December 31, 2020.</w:t>
      </w:r>
    </w:p>
    <w:p>
      <w:pPr>
        <w:spacing w:after="0" w:line="11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As a result of the foregoing factors, the SEACOR Power incident has had, and could continue to have, a material adverse impact on the Company’s business, competitive position, financial performance, cash flows, prospects and liquidity. The risks associated with the accident could also heighten the impact of the other risks to which the group is exposed as further described in the Company’s Annual Report on Form 10-K for the year ended December 31, 2020.</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2.UNREGISTERED SALES OF EQUITY SECURITIES AND USE OF PROCEEDS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 (b) None.</w:t>
      </w:r>
    </w:p>
    <w:p>
      <w:pPr>
        <w:spacing w:after="0" w:line="112" w:lineRule="exact"/>
        <w:rPr>
          <w:sz w:val="20"/>
          <w:szCs w:val="20"/>
          <w:color w:val="auto"/>
        </w:rPr>
      </w:pPr>
    </w:p>
    <w:p>
      <w:pPr>
        <w:ind w:left="1260" w:hanging="510"/>
        <w:spacing w:after="0" w:line="250" w:lineRule="auto"/>
        <w:tabs>
          <w:tab w:leader="none" w:pos="12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This table provides information with respect to purchases by the Company of shares of its Common Stock during the Current Quarter: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Total Number of</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Maximum Number</w:t>
            </w:r>
          </w:p>
        </w:tc>
      </w:tr>
      <w:tr>
        <w:trPr>
          <w:trHeight w:val="203"/>
        </w:trPr>
        <w:tc>
          <w:tcPr>
            <w:tcW w:w="3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Shares Purchased</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of Shares that may</w:t>
            </w:r>
          </w:p>
        </w:tc>
      </w:tr>
      <w:tr>
        <w:trPr>
          <w:trHeight w:val="203"/>
        </w:trPr>
        <w:tc>
          <w:tcPr>
            <w:tcW w:w="3660" w:type="dxa"/>
            <w:vAlign w:val="bottom"/>
          </w:tcPr>
          <w:p>
            <w:pPr>
              <w:spacing w:after="0"/>
              <w:rPr>
                <w:sz w:val="17"/>
                <w:szCs w:val="17"/>
                <w:color w:val="auto"/>
              </w:rPr>
            </w:pPr>
          </w:p>
        </w:tc>
        <w:tc>
          <w:tcPr>
            <w:tcW w:w="19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 Number of</w:t>
            </w:r>
          </w:p>
        </w:tc>
        <w:tc>
          <w:tcPr>
            <w:tcW w:w="14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b w:val="1"/>
                <w:bCs w:val="1"/>
                <w:color w:val="auto"/>
              </w:rPr>
              <w:t>Average Price per</w:t>
            </w: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as Part of a Publicly</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be Purchased Under</w:t>
            </w:r>
          </w:p>
        </w:tc>
      </w:tr>
      <w:tr>
        <w:trPr>
          <w:trHeight w:val="213"/>
        </w:trPr>
        <w:tc>
          <w:tcPr>
            <w:tcW w:w="366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Shares Withheld</w:t>
            </w: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Share</w:t>
            </w:r>
          </w:p>
        </w:tc>
        <w:tc>
          <w:tcPr>
            <w:tcW w:w="280" w:type="dxa"/>
            <w:vAlign w:val="bottom"/>
            <w:tcBorders>
              <w:bottom w:val="single" w:sz="8" w:color="CFF0FC"/>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Announced Plan</w:t>
            </w:r>
          </w:p>
        </w:tc>
        <w:tc>
          <w:tcPr>
            <w:tcW w:w="30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the Plan</w:t>
            </w:r>
          </w:p>
        </w:tc>
        <w:tc>
          <w:tcPr>
            <w:tcW w:w="120" w:type="dxa"/>
            <w:vAlign w:val="bottom"/>
            <w:tcBorders>
              <w:bottom w:val="single" w:sz="8" w:color="CFF0FC"/>
            </w:tcBorders>
          </w:tcPr>
          <w:p>
            <w:pPr>
              <w:spacing w:after="0"/>
              <w:rPr>
                <w:sz w:val="18"/>
                <w:szCs w:val="18"/>
                <w:color w:val="auto"/>
              </w:rPr>
            </w:pPr>
          </w:p>
        </w:tc>
      </w:tr>
      <w:tr>
        <w:trPr>
          <w:trHeight w:val="20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January 1, 2021 to January 31, 2021</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14,199</w:t>
            </w:r>
          </w:p>
        </w:tc>
        <w:tc>
          <w:tcPr>
            <w:tcW w:w="3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280" w:type="dxa"/>
            <w:vAlign w:val="bottom"/>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ind w:left="148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8"/>
                <w:szCs w:val="18"/>
                <w:color w:val="auto"/>
              </w:rPr>
            </w:pPr>
          </w:p>
        </w:tc>
      </w:tr>
      <w:tr>
        <w:trPr>
          <w:trHeight w:val="237"/>
        </w:trPr>
        <w:tc>
          <w:tcPr>
            <w:tcW w:w="3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February 1, 2021 to February 28, 2021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20"/>
                <w:szCs w:val="20"/>
                <w:color w:val="auto"/>
              </w:rPr>
            </w:pPr>
          </w:p>
        </w:tc>
        <w:tc>
          <w:tcPr>
            <w:tcW w:w="1660" w:type="dxa"/>
            <w:vAlign w:val="bottom"/>
            <w:tcBorders>
              <w:bottom w:val="single" w:sz="8" w:color="auto"/>
            </w:tcBorders>
          </w:tcPr>
          <w:p>
            <w:pPr>
              <w:ind w:left="1480"/>
              <w:spacing w:after="0"/>
              <w:rPr>
                <w:sz w:val="20"/>
                <w:szCs w:val="20"/>
                <w:color w:val="auto"/>
              </w:rPr>
            </w:pPr>
            <w:r>
              <w:rPr>
                <w:rFonts w:ascii="Arial" w:cs="Arial" w:eastAsia="Arial" w:hAnsi="Arial"/>
                <w:sz w:val="16"/>
                <w:szCs w:val="16"/>
                <w:color w:val="auto"/>
                <w:w w:val="99"/>
              </w:rPr>
              <w:t>—</w:t>
            </w:r>
          </w:p>
        </w:tc>
        <w:tc>
          <w:tcPr>
            <w:tcW w:w="300" w:type="dxa"/>
            <w:vAlign w:val="bottom"/>
            <w:tcBorders>
              <w:bottom w:val="single" w:sz="8" w:color="CFF0FC"/>
            </w:tcBorders>
          </w:tcPr>
          <w:p>
            <w:pPr>
              <w:spacing w:after="0"/>
              <w:rPr>
                <w:sz w:val="20"/>
                <w:szCs w:val="20"/>
                <w:color w:val="auto"/>
              </w:rPr>
            </w:pPr>
          </w:p>
        </w:tc>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FF0FC"/>
            </w:tcBorders>
          </w:tcPr>
          <w:p>
            <w:pPr>
              <w:spacing w:after="0"/>
              <w:rPr>
                <w:sz w:val="20"/>
                <w:szCs w:val="20"/>
                <w:color w:val="auto"/>
              </w:rPr>
            </w:pPr>
          </w:p>
        </w:tc>
      </w:tr>
      <w:tr>
        <w:trPr>
          <w:trHeight w:val="240"/>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March 1, 2021 to March 31, 2021</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37,734</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28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ind w:left="1480"/>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FF0FC"/>
          </w:tcPr>
          <w:p>
            <w:pPr>
              <w:ind w:left="1460"/>
              <w:spacing w:after="0"/>
              <w:rPr>
                <w:sz w:val="20"/>
                <w:szCs w:val="20"/>
                <w:color w:val="auto"/>
              </w:rPr>
            </w:pPr>
            <w:r>
              <w:rPr>
                <w:rFonts w:ascii="Arial" w:cs="Arial" w:eastAsia="Arial" w:hAnsi="Arial"/>
                <w:sz w:val="16"/>
                <w:szCs w:val="16"/>
                <w:color w:val="auto"/>
              </w:rPr>
              <w:t>—</w:t>
            </w:r>
          </w:p>
        </w:tc>
      </w:tr>
    </w:tbl>
    <w:p>
      <w:pPr>
        <w:spacing w:after="0" w:line="19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the three months ended March 31, 2021, the Company acquired for treasury 51,933 shares of Common Stock for an aggregate purchase price of $261,433 from its employees to cover their tax withholding obligations upon the lapsing of restrictions on share awards. These shares were purchased in accordance with the terms of the Company’s 2017 Equity Incentive Plan or 2020 Equity Incentive Plan, as applicable.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3.DEFAULT UPON SENIOR SECURITIES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4.MINE SAFETY DISCLOSURES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5.OTHER INFORMATION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ITEM 6.EXHIBITS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10.01</w:t>
            </w:r>
          </w:p>
        </w:tc>
        <w:tc>
          <w:tcPr>
            <w:tcW w:w="10060" w:type="dxa"/>
            <w:vAlign w:val="bottom"/>
            <w:gridSpan w:val="7"/>
          </w:tcPr>
          <w:p>
            <w:pPr>
              <w:spacing w:after="0"/>
              <w:rPr>
                <w:rFonts w:ascii="Arial" w:cs="Arial" w:eastAsia="Arial" w:hAnsi="Arial"/>
                <w:sz w:val="18"/>
                <w:szCs w:val="18"/>
                <w:color w:val="0000EE"/>
                <w:w w:val="90"/>
              </w:rPr>
            </w:pPr>
            <w:hyperlink r:id="rId63">
              <w:r>
                <w:rPr>
                  <w:rFonts w:ascii="Arial" w:cs="Arial" w:eastAsia="Arial" w:hAnsi="Arial"/>
                  <w:sz w:val="18"/>
                  <w:szCs w:val="18"/>
                  <w:color w:val="0000EE"/>
                  <w:w w:val="90"/>
                </w:rPr>
                <w:t>Seventh Consent, Agreement and Omnibus Amendments, dated February 24, 2021, by and among Falcon Global USA LLC, the other loan</w:t>
              </w:r>
            </w:hyperlink>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parties, SEACOR Marine Holdings Inc., JP Morgan Chase Bank, N.A., as administrative agent for the lenders, and the lenders party thereto</w:t>
              </w:r>
            </w:hyperlink>
          </w:p>
        </w:tc>
      </w:tr>
      <w:tr>
        <w:trPr>
          <w:trHeight w:val="196"/>
        </w:trPr>
        <w:tc>
          <w:tcPr>
            <w:tcW w:w="1160" w:type="dxa"/>
            <w:vAlign w:val="bottom"/>
          </w:tcPr>
          <w:p>
            <w:pPr>
              <w:spacing w:after="0"/>
              <w:rPr>
                <w:sz w:val="17"/>
                <w:szCs w:val="17"/>
                <w:color w:val="auto"/>
              </w:rPr>
            </w:pPr>
          </w:p>
        </w:tc>
        <w:tc>
          <w:tcPr>
            <w:tcW w:w="98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63">
              <w:r>
                <w:rPr>
                  <w:rFonts w:ascii="Arial" w:cs="Arial" w:eastAsia="Arial" w:hAnsi="Arial"/>
                  <w:sz w:val="18"/>
                  <w:szCs w:val="18"/>
                  <w:color w:val="0000EE"/>
                  <w:w w:val="93"/>
                </w:rPr>
                <w:t>(incorporated by reference to Exhibit 10.1 of SEACOR Marine Holdings Inc. Periodic Filing on Form 8-K filed with the Commission on</w:t>
              </w:r>
            </w:hyperlink>
          </w:p>
        </w:tc>
        <w:tc>
          <w:tcPr>
            <w:tcW w:w="20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7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March 1, 2021 (File No. 001-37966)).</w:t>
              </w:r>
            </w:hyperlink>
          </w:p>
        </w:tc>
        <w:tc>
          <w:tcPr>
            <w:tcW w:w="7320" w:type="dxa"/>
            <w:vAlign w:val="bottom"/>
            <w:gridSpan w:val="5"/>
          </w:tcPr>
          <w:p>
            <w:pPr>
              <w:spacing w:after="0"/>
              <w:rPr>
                <w:sz w:val="17"/>
                <w:szCs w:val="17"/>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3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Certification by the Principal Executive Officer pursuant to Rule 13a-14(a) and Rule 15d-14(a) of the Securities Exchange Act, as</w:t>
              </w:r>
            </w:hyperlink>
          </w:p>
        </w:tc>
        <w:tc>
          <w:tcPr>
            <w:tcW w:w="70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6">
              <w:r>
                <w:rPr>
                  <w:rFonts w:ascii="Arial" w:cs="Arial" w:eastAsia="Arial" w:hAnsi="Arial"/>
                  <w:sz w:val="18"/>
                  <w:szCs w:val="18"/>
                  <w:color w:val="0000EE"/>
                  <w:w w:val="84"/>
                </w:rPr>
                <w:t>amended.</w:t>
              </w:r>
            </w:hyperlink>
          </w:p>
        </w:tc>
        <w:tc>
          <w:tcPr>
            <w:tcW w:w="9360" w:type="dxa"/>
            <w:vAlign w:val="bottom"/>
            <w:gridSpan w:val="6"/>
          </w:tcPr>
          <w:p>
            <w:pPr>
              <w:spacing w:after="0"/>
              <w:rPr>
                <w:sz w:val="17"/>
                <w:szCs w:val="17"/>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Certification by the Principal Financial Officer pursuant to Rule 13a-14(a) and Rule 15d-14(a) of the Securities Exchange Act, as amended.</w:t>
              </w:r>
            </w:hyperlink>
          </w:p>
        </w:tc>
        <w:tc>
          <w:tcPr>
            <w:tcW w:w="20" w:type="dxa"/>
            <w:vAlign w:val="bottom"/>
          </w:tcPr>
          <w:p>
            <w:pPr>
              <w:spacing w:after="0"/>
              <w:rPr>
                <w:sz w:val="24"/>
                <w:szCs w:val="24"/>
                <w:color w:val="auto"/>
              </w:rPr>
            </w:pPr>
          </w:p>
        </w:tc>
      </w:tr>
    </w:tbl>
    <w:p>
      <w:pPr>
        <w:spacing w:after="0" w:line="161" w:lineRule="exact"/>
        <w:rPr>
          <w:sz w:val="20"/>
          <w:szCs w:val="20"/>
          <w:color w:val="auto"/>
        </w:rPr>
      </w:pPr>
    </w:p>
    <w:p>
      <w:pPr>
        <w:ind w:left="1160" w:right="340" w:hanging="1152"/>
        <w:spacing w:after="0" w:line="277" w:lineRule="auto"/>
        <w:tabs>
          <w:tab w:leader="none" w:pos="1160" w:val="left"/>
        </w:tabs>
        <w:numPr>
          <w:ilvl w:val="0"/>
          <w:numId w:val="32"/>
        </w:numPr>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Certification by the Principal Executive Officer and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48">
        <w:r>
          <w:rPr>
            <w:rFonts w:ascii="Arial" w:cs="Arial" w:eastAsia="Arial" w:hAnsi="Arial"/>
            <w:sz w:val="18"/>
            <w:szCs w:val="18"/>
            <w:u w:val="single" w:color="auto"/>
            <w:color w:val="0000EE"/>
          </w:rPr>
          <w:t>Section 906 of the Sarbanes-Oxley Act of 2002.</w:t>
        </w:r>
      </w:hyperlink>
    </w:p>
    <w:p>
      <w:pPr>
        <w:sectPr>
          <w:pgSz w:w="11900" w:h="16838" w:orient="portrait"/>
          <w:cols w:equalWidth="0" w:num="1">
            <w:col w:w="11240"/>
          </w:cols>
          <w:pgMar w:left="320" w:top="342" w:right="339" w:bottom="1440" w:gutter="0" w:footer="0" w:header="0"/>
        </w:sectPr>
      </w:pPr>
    </w:p>
    <w:p>
      <w:pPr>
        <w:spacing w:after="0" w:line="10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101.INS**</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83" w:lineRule="exact"/>
        <w:rPr>
          <w:rFonts w:ascii="Arial" w:cs="Arial" w:eastAsia="Arial" w:hAnsi="Arial"/>
          <w:sz w:val="18"/>
          <w:szCs w:val="18"/>
          <w:color w:val="auto"/>
        </w:rPr>
      </w:pPr>
    </w:p>
    <w:p>
      <w:pPr>
        <w:ind w:right="20"/>
        <w:spacing w:after="0" w:line="277"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103" w:lineRule="exact"/>
        <w:rPr>
          <w:rFonts w:ascii="Arial" w:cs="Arial" w:eastAsia="Arial" w:hAnsi="Arial"/>
          <w:sz w:val="18"/>
          <w:szCs w:val="18"/>
          <w:color w:val="auto"/>
        </w:rPr>
      </w:pPr>
    </w:p>
    <w:p>
      <w:pPr>
        <w:sectPr>
          <w:pgSz w:w="11900" w:h="16838" w:orient="portrait"/>
          <w:cols w:equalWidth="0" w:num="2">
            <w:col w:w="800" w:space="360"/>
            <w:col w:w="10080"/>
          </w:cols>
          <w:pgMar w:left="320" w:top="342"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Schema</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80"/>
          </w:cols>
          <w:pgMar w:left="320" w:top="342" w:right="339" w:bottom="1440" w:gutter="0" w:footer="0" w:header="0"/>
          <w:type w:val="continuous"/>
        </w:sectPr>
      </w:pPr>
    </w:p>
    <w:p>
      <w:pPr>
        <w:spacing w:after="0"/>
        <w:rPr>
          <w:sz w:val="20"/>
          <w:szCs w:val="20"/>
          <w:color w:val="auto"/>
        </w:rPr>
      </w:pPr>
      <w:r>
        <w:rPr>
          <w:rFonts w:ascii="Arial" w:cs="Arial" w:eastAsia="Arial" w:hAnsi="Arial"/>
          <w:sz w:val="18"/>
          <w:szCs w:val="18"/>
          <w:color w:val="auto"/>
        </w:rPr>
        <w:t>101.CAL**</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Calculation Linkbase</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80"/>
          </w:cols>
          <w:pgMar w:left="320" w:top="342"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Definition Linkbase</w:t>
      </w:r>
    </w:p>
    <w:p>
      <w:pPr>
        <w:spacing w:after="0" w:line="180" w:lineRule="exact"/>
        <w:rPr>
          <w:rFonts w:ascii="Arial" w:cs="Arial" w:eastAsia="Arial" w:hAnsi="Arial"/>
          <w:sz w:val="18"/>
          <w:szCs w:val="18"/>
          <w:color w:val="auto"/>
        </w:rPr>
      </w:pPr>
    </w:p>
    <w:p>
      <w:pPr>
        <w:sectPr>
          <w:pgSz w:w="11900" w:h="16838" w:orient="portrait"/>
          <w:cols w:equalWidth="0" w:num="2">
            <w:col w:w="840" w:space="320"/>
            <w:col w:w="10080"/>
          </w:cols>
          <w:pgMar w:left="320" w:top="342" w:right="33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Label Linkbase</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80"/>
          </w:cols>
          <w:pgMar w:left="320" w:top="342"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101.PRE**</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Presentation Linkbase</w:t>
      </w:r>
    </w:p>
    <w:p>
      <w:pPr>
        <w:spacing w:after="0" w:line="180" w:lineRule="exact"/>
        <w:rPr>
          <w:rFonts w:ascii="Arial" w:cs="Arial" w:eastAsia="Arial" w:hAnsi="Arial"/>
          <w:sz w:val="18"/>
          <w:szCs w:val="18"/>
          <w:color w:val="auto"/>
        </w:rPr>
      </w:pPr>
    </w:p>
    <w:p>
      <w:pPr>
        <w:sectPr>
          <w:pgSz w:w="11900" w:h="16838" w:orient="portrait"/>
          <w:cols w:equalWidth="0" w:num="2">
            <w:col w:w="840" w:space="320"/>
            <w:col w:w="10080"/>
          </w:cols>
          <w:pgMar w:left="320" w:top="342" w:right="339" w:bottom="1440" w:gutter="0" w:footer="0" w:header="0"/>
          <w:type w:val="continuous"/>
        </w:sectPr>
      </w:pPr>
    </w:p>
    <w:p>
      <w:pPr>
        <w:ind w:left="1160" w:right="400" w:hanging="115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cover page for the Company’s Quarterly Report on Form 10-Q for the quarter ended March 31, 2021, has been formatted in Inline XBRL.</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9030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23" w:lineRule="exact"/>
        <w:rPr>
          <w:rFonts w:ascii="Arial" w:cs="Arial" w:eastAsia="Arial" w:hAnsi="Arial"/>
          <w:sz w:val="18"/>
          <w:szCs w:val="18"/>
          <w:color w:val="auto"/>
        </w:rPr>
      </w:pPr>
    </w:p>
    <w:p>
      <w:pPr>
        <w:ind w:left="380" w:right="20" w:hanging="372"/>
        <w:spacing w:after="0" w:line="273"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601(a)(5) of Regulation S-K. A copy of any omitted schedule will be furnished to the SEC upon request.</w:t>
      </w:r>
    </w:p>
    <w:p>
      <w:pPr>
        <w:spacing w:after="0" w:line="2" w:lineRule="exact"/>
        <w:rPr>
          <w:rFonts w:ascii="Arial" w:cs="Arial" w:eastAsia="Arial" w:hAnsi="Arial"/>
          <w:sz w:val="18"/>
          <w:szCs w:val="18"/>
          <w:color w:val="auto"/>
        </w:rPr>
      </w:pPr>
    </w:p>
    <w:p>
      <w:pPr>
        <w:ind w:left="380" w:hanging="372"/>
        <w:spacing w:after="0" w:line="342"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11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36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SEACOR Marine Holdings Inc.</w:t>
            </w:r>
          </w:p>
        </w:tc>
      </w:tr>
      <w:tr>
        <w:trPr>
          <w:trHeight w:val="274"/>
        </w:trPr>
        <w:tc>
          <w:tcPr>
            <w:tcW w:w="36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(Registrant)</w:t>
            </w:r>
          </w:p>
        </w:tc>
      </w:tr>
      <w:tr>
        <w:trPr>
          <w:trHeight w:val="476"/>
        </w:trPr>
        <w:tc>
          <w:tcPr>
            <w:tcW w:w="3620" w:type="dxa"/>
            <w:vAlign w:val="bottom"/>
          </w:tcPr>
          <w:p>
            <w:pPr>
              <w:spacing w:after="0"/>
              <w:rPr>
                <w:sz w:val="20"/>
                <w:szCs w:val="20"/>
                <w:color w:val="auto"/>
              </w:rPr>
            </w:pPr>
            <w:r>
              <w:rPr>
                <w:rFonts w:ascii="Arial" w:cs="Arial" w:eastAsia="Arial" w:hAnsi="Arial"/>
                <w:sz w:val="22"/>
                <w:szCs w:val="22"/>
                <w:color w:val="auto"/>
              </w:rPr>
              <w:t>DATE: May 6, 2021</w:t>
            </w:r>
          </w:p>
        </w:tc>
        <w:tc>
          <w:tcPr>
            <w:tcW w:w="4140" w:type="dxa"/>
            <w:vAlign w:val="bottom"/>
          </w:tcPr>
          <w:p>
            <w:pPr>
              <w:ind w:left="34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John Gellert</w:t>
            </w:r>
          </w:p>
        </w:tc>
      </w:tr>
      <w:tr>
        <w:trPr>
          <w:trHeight w:val="215"/>
        </w:trPr>
        <w:tc>
          <w:tcPr>
            <w:tcW w:w="36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rPr>
              <w:t xml:space="preserve">John Gellert, </w:t>
            </w:r>
            <w:r>
              <w:rPr>
                <w:rFonts w:ascii="Arial" w:cs="Arial" w:eastAsia="Arial" w:hAnsi="Arial"/>
                <w:sz w:val="22"/>
                <w:szCs w:val="22"/>
                <w:i w:val="1"/>
                <w:iCs w:val="1"/>
                <w:color w:val="auto"/>
              </w:rPr>
              <w:t>President,</w:t>
            </w:r>
          </w:p>
        </w:tc>
      </w:tr>
      <w:tr>
        <w:trPr>
          <w:trHeight w:val="243"/>
        </w:trPr>
        <w:tc>
          <w:tcPr>
            <w:tcW w:w="36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Chief Executive Officer</w:t>
            </w:r>
          </w:p>
        </w:tc>
      </w:tr>
      <w:tr>
        <w:trPr>
          <w:trHeight w:val="274"/>
        </w:trPr>
        <w:tc>
          <w:tcPr>
            <w:tcW w:w="36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Executive Officer)</w:t>
            </w:r>
          </w:p>
        </w:tc>
      </w:tr>
      <w:tr>
        <w:trPr>
          <w:trHeight w:val="476"/>
        </w:trPr>
        <w:tc>
          <w:tcPr>
            <w:tcW w:w="3620" w:type="dxa"/>
            <w:vAlign w:val="bottom"/>
          </w:tcPr>
          <w:p>
            <w:pPr>
              <w:spacing w:after="0"/>
              <w:rPr>
                <w:sz w:val="20"/>
                <w:szCs w:val="20"/>
                <w:color w:val="auto"/>
              </w:rPr>
            </w:pPr>
            <w:r>
              <w:rPr>
                <w:rFonts w:ascii="Arial" w:cs="Arial" w:eastAsia="Arial" w:hAnsi="Arial"/>
                <w:sz w:val="22"/>
                <w:szCs w:val="22"/>
                <w:color w:val="auto"/>
              </w:rPr>
              <w:t>DATE: May 6, 2021</w:t>
            </w:r>
          </w:p>
        </w:tc>
        <w:tc>
          <w:tcPr>
            <w:tcW w:w="4140" w:type="dxa"/>
            <w:vAlign w:val="bottom"/>
          </w:tcPr>
          <w:p>
            <w:pPr>
              <w:ind w:left="34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Jesús Llorca</w:t>
            </w:r>
          </w:p>
        </w:tc>
      </w:tr>
      <w:tr>
        <w:trPr>
          <w:trHeight w:val="215"/>
        </w:trPr>
        <w:tc>
          <w:tcPr>
            <w:tcW w:w="36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w w:val="89"/>
              </w:rPr>
              <w:t xml:space="preserve">Jesús Llorca, </w:t>
            </w:r>
            <w:r>
              <w:rPr>
                <w:rFonts w:ascii="Arial" w:cs="Arial" w:eastAsia="Arial" w:hAnsi="Arial"/>
                <w:sz w:val="22"/>
                <w:szCs w:val="22"/>
                <w:i w:val="1"/>
                <w:iCs w:val="1"/>
                <w:color w:val="auto"/>
                <w:w w:val="89"/>
              </w:rPr>
              <w:t>Executive Vice President</w:t>
            </w:r>
          </w:p>
        </w:tc>
      </w:tr>
      <w:tr>
        <w:trPr>
          <w:trHeight w:val="243"/>
        </w:trPr>
        <w:tc>
          <w:tcPr>
            <w:tcW w:w="36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Financial Officer</w:t>
            </w:r>
          </w:p>
        </w:tc>
      </w:tr>
      <w:tr>
        <w:trPr>
          <w:trHeight w:val="274"/>
        </w:trPr>
        <w:tc>
          <w:tcPr>
            <w:tcW w:w="36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Financial Officer)</w:t>
            </w:r>
          </w:p>
        </w:tc>
      </w:tr>
      <w:tr>
        <w:trPr>
          <w:trHeight w:val="476"/>
        </w:trPr>
        <w:tc>
          <w:tcPr>
            <w:tcW w:w="3620" w:type="dxa"/>
            <w:vAlign w:val="bottom"/>
          </w:tcPr>
          <w:p>
            <w:pPr>
              <w:spacing w:after="0"/>
              <w:rPr>
                <w:sz w:val="20"/>
                <w:szCs w:val="20"/>
                <w:color w:val="auto"/>
              </w:rPr>
            </w:pPr>
            <w:r>
              <w:rPr>
                <w:rFonts w:ascii="Arial" w:cs="Arial" w:eastAsia="Arial" w:hAnsi="Arial"/>
                <w:sz w:val="22"/>
                <w:szCs w:val="22"/>
                <w:color w:val="auto"/>
              </w:rPr>
              <w:t>DATE: May 6, 2021</w:t>
            </w:r>
          </w:p>
        </w:tc>
        <w:tc>
          <w:tcPr>
            <w:tcW w:w="4140" w:type="dxa"/>
            <w:vAlign w:val="bottom"/>
          </w:tcPr>
          <w:p>
            <w:pPr>
              <w:ind w:left="34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Gregory S. Rossmiller</w:t>
            </w:r>
          </w:p>
        </w:tc>
      </w:tr>
      <w:tr>
        <w:trPr>
          <w:trHeight w:val="215"/>
        </w:trPr>
        <w:tc>
          <w:tcPr>
            <w:tcW w:w="36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rPr>
              <w:t>Gregory S. Rossmiller,</w:t>
            </w:r>
          </w:p>
        </w:tc>
      </w:tr>
      <w:tr>
        <w:trPr>
          <w:trHeight w:val="243"/>
        </w:trPr>
        <w:tc>
          <w:tcPr>
            <w:tcW w:w="36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Senior Vice President</w:t>
            </w:r>
          </w:p>
        </w:tc>
      </w:tr>
      <w:tr>
        <w:trPr>
          <w:trHeight w:val="243"/>
        </w:trPr>
        <w:tc>
          <w:tcPr>
            <w:tcW w:w="36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Accounting Officer</w:t>
            </w:r>
          </w:p>
        </w:tc>
      </w:tr>
      <w:tr>
        <w:trPr>
          <w:trHeight w:val="274"/>
        </w:trPr>
        <w:tc>
          <w:tcPr>
            <w:tcW w:w="36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Accounting Officer)</w:t>
            </w:r>
          </w:p>
        </w:tc>
      </w:tr>
      <w:tr>
        <w:trPr>
          <w:trHeight w:val="918"/>
        </w:trPr>
        <w:tc>
          <w:tcPr>
            <w:tcW w:w="3620" w:type="dxa"/>
            <w:vAlign w:val="bottom"/>
          </w:tcPr>
          <w:p>
            <w:pPr>
              <w:spacing w:after="0"/>
              <w:rPr>
                <w:sz w:val="24"/>
                <w:szCs w:val="24"/>
                <w:color w:val="auto"/>
              </w:rPr>
            </w:pPr>
          </w:p>
        </w:tc>
        <w:tc>
          <w:tcPr>
            <w:tcW w:w="4140" w:type="dxa"/>
            <w:vAlign w:val="bottom"/>
          </w:tcPr>
          <w:p>
            <w:pPr>
              <w:jc w:val="right"/>
              <w:ind w:right="1992"/>
              <w:spacing w:after="0"/>
              <w:rPr>
                <w:sz w:val="20"/>
                <w:szCs w:val="20"/>
                <w:color w:val="auto"/>
              </w:rPr>
            </w:pPr>
            <w:r>
              <w:rPr>
                <w:rFonts w:ascii="Arial" w:cs="Arial" w:eastAsia="Arial" w:hAnsi="Arial"/>
                <w:sz w:val="22"/>
                <w:szCs w:val="22"/>
                <w:color w:val="auto"/>
              </w:rPr>
              <w:t>43</w:t>
            </w:r>
          </w:p>
        </w:tc>
        <w:tc>
          <w:tcPr>
            <w:tcW w:w="3400" w:type="dxa"/>
            <w:vAlign w:val="bottom"/>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225" w:lineRule="exact"/>
        <w:rPr>
          <w:sz w:val="20"/>
          <w:szCs w:val="20"/>
          <w:color w:val="auto"/>
        </w:rPr>
      </w:pPr>
    </w:p>
    <w:p>
      <w:pPr>
        <w:ind w:left="780" w:hanging="772"/>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780" w:right="60" w:hanging="772"/>
        <w:spacing w:after="0" w:line="263"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hanging="772"/>
        <w:spacing w:after="0" w:line="308" w:lineRule="auto"/>
        <w:tabs>
          <w:tab w:leader="none" w:pos="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772"/>
        <w:spacing w:after="0" w:line="277"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40" w:right="40" w:hanging="763"/>
        <w:spacing w:after="0" w:line="286" w:lineRule="auto"/>
        <w:tabs>
          <w:tab w:leader="none" w:pos="15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160" w:hanging="763"/>
        <w:spacing w:after="0" w:line="263"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80" w:right="100" w:hanging="772"/>
        <w:spacing w:after="0" w:line="342"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220" w:hanging="763"/>
        <w:spacing w:after="0" w:line="342" w:lineRule="auto"/>
        <w:tabs>
          <w:tab w:leader="none" w:pos="15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460" w:hanging="763"/>
        <w:spacing w:after="0" w:line="277"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120"/>
              <w:spacing w:after="0"/>
              <w:rPr>
                <w:sz w:val="20"/>
                <w:szCs w:val="20"/>
                <w:color w:val="auto"/>
              </w:rPr>
            </w:pPr>
            <w:r>
              <w:rPr>
                <w:rFonts w:ascii="Arial" w:cs="Arial" w:eastAsia="Arial" w:hAnsi="Arial"/>
                <w:sz w:val="18"/>
                <w:szCs w:val="18"/>
                <w:color w:val="auto"/>
              </w:rPr>
              <w:t>May 6, 2021</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ind w:left="12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2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Jesús Llorca, certify that:</w:t>
      </w:r>
    </w:p>
    <w:p>
      <w:pPr>
        <w:spacing w:after="0" w:line="225" w:lineRule="exact"/>
        <w:rPr>
          <w:sz w:val="20"/>
          <w:szCs w:val="20"/>
          <w:color w:val="auto"/>
        </w:rPr>
      </w:pPr>
    </w:p>
    <w:p>
      <w:pPr>
        <w:ind w:left="780" w:hanging="772"/>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780" w:right="60" w:hanging="772"/>
        <w:spacing w:after="0" w:line="263"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hanging="772"/>
        <w:spacing w:after="0" w:line="308" w:lineRule="auto"/>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772"/>
        <w:spacing w:after="0" w:line="277"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40" w:right="40" w:hanging="763"/>
        <w:spacing w:after="0" w:line="286" w:lineRule="auto"/>
        <w:tabs>
          <w:tab w:leader="none" w:pos="15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160" w:hanging="763"/>
        <w:spacing w:after="0" w:line="263"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80" w:right="100" w:hanging="772"/>
        <w:spacing w:after="0" w:line="342"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220" w:hanging="763"/>
        <w:spacing w:after="0" w:line="342" w:lineRule="auto"/>
        <w:tabs>
          <w:tab w:leader="none" w:pos="15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460" w:hanging="763"/>
        <w:spacing w:after="0" w:line="277"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080" w:type="dxa"/>
            <w:vAlign w:val="bottom"/>
          </w:tcPr>
          <w:p>
            <w:pPr>
              <w:ind w:left="160"/>
              <w:spacing w:after="0"/>
              <w:rPr>
                <w:sz w:val="20"/>
                <w:szCs w:val="20"/>
                <w:color w:val="auto"/>
              </w:rPr>
            </w:pPr>
            <w:r>
              <w:rPr>
                <w:rFonts w:ascii="Arial" w:cs="Arial" w:eastAsia="Arial" w:hAnsi="Arial"/>
                <w:sz w:val="18"/>
                <w:szCs w:val="18"/>
                <w:color w:val="auto"/>
                <w:w w:val="90"/>
              </w:rPr>
              <w:t>May 6, 2021</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Name:</w:t>
        <w:tab/>
        <w:t>Jesús Llorca</w:t>
      </w:r>
    </w:p>
    <w:p>
      <w:pPr>
        <w:spacing w:after="0" w:line="2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BY SECTION 906 OF THE SARBANES-OXLEY ACT OF 2002</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her/his knowledge and belief, that the Form 10-Q of the Company for the quarterly period ended March 31, 2021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200" w:lineRule="exact"/>
        <w:rPr>
          <w:sz w:val="20"/>
          <w:szCs w:val="20"/>
          <w:color w:val="auto"/>
        </w:rPr>
      </w:pPr>
    </w:p>
    <w:p>
      <w:pPr>
        <w:spacing w:after="0" w:line="23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tcPr>
          <w:p>
            <w:pPr>
              <w:ind w:left="200"/>
              <w:spacing w:after="0"/>
              <w:rPr>
                <w:sz w:val="20"/>
                <w:szCs w:val="20"/>
                <w:color w:val="auto"/>
              </w:rPr>
            </w:pPr>
            <w:r>
              <w:rPr>
                <w:rFonts w:ascii="Arial" w:cs="Arial" w:eastAsia="Arial" w:hAnsi="Arial"/>
                <w:sz w:val="18"/>
                <w:szCs w:val="18"/>
                <w:color w:val="auto"/>
              </w:rPr>
              <w:t>May 6, 2021</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20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2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60" w:type="dxa"/>
            <w:vAlign w:val="bottom"/>
          </w:tcPr>
          <w:p>
            <w:pPr>
              <w:spacing w:after="0"/>
              <w:rPr>
                <w:sz w:val="20"/>
                <w:szCs w:val="20"/>
                <w:color w:val="auto"/>
              </w:rPr>
            </w:pPr>
          </w:p>
        </w:tc>
        <w:tc>
          <w:tcPr>
            <w:tcW w:w="4960" w:type="dxa"/>
            <w:vAlign w:val="bottom"/>
          </w:tcPr>
          <w:p>
            <w:pPr>
              <w:ind w:left="200"/>
              <w:spacing w:after="0"/>
              <w:rPr>
                <w:sz w:val="20"/>
                <w:szCs w:val="20"/>
                <w:color w:val="auto"/>
              </w:rPr>
            </w:pPr>
            <w:r>
              <w:rPr>
                <w:rFonts w:ascii="Arial" w:cs="Arial" w:eastAsia="Arial" w:hAnsi="Arial"/>
                <w:sz w:val="18"/>
                <w:szCs w:val="18"/>
                <w:i w:val="1"/>
                <w:iCs w:val="1"/>
                <w:color w:val="auto"/>
              </w:rPr>
              <w:t>(Principal Executive Officer)</w:t>
            </w:r>
          </w:p>
        </w:tc>
      </w:tr>
      <w:tr>
        <w:trPr>
          <w:trHeight w:val="675"/>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tcPr>
          <w:p>
            <w:pPr>
              <w:ind w:left="200"/>
              <w:spacing w:after="0"/>
              <w:rPr>
                <w:sz w:val="20"/>
                <w:szCs w:val="20"/>
                <w:color w:val="auto"/>
              </w:rPr>
            </w:pPr>
            <w:r>
              <w:rPr>
                <w:rFonts w:ascii="Arial" w:cs="Arial" w:eastAsia="Arial" w:hAnsi="Arial"/>
                <w:sz w:val="18"/>
                <w:szCs w:val="18"/>
                <w:color w:val="auto"/>
              </w:rPr>
              <w:t>May 6, 2021</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Jesús Llorca</w:t>
      </w:r>
    </w:p>
    <w:p>
      <w:pPr>
        <w:spacing w:after="0" w:line="23" w:lineRule="exact"/>
        <w:rPr>
          <w:sz w:val="20"/>
          <w:szCs w:val="20"/>
          <w:color w:val="auto"/>
        </w:rPr>
      </w:pPr>
    </w:p>
    <w:p>
      <w:pPr>
        <w:ind w:left="56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2"/>
    </w:lvl>
  </w:abstractNum>
  <w:abstractNum w:abstractNumId="5">
    <w:nsid w:val="333AB105"/>
    <w:multiLevelType w:val="hybridMultilevel"/>
    <w:lvl w:ilvl="0">
      <w:lvlJc w:val="left"/>
      <w:lvlText w:val="%1."/>
      <w:numFmt w:val="decimal"/>
      <w:start w:val="3"/>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4"/>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5"/>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6"/>
    </w:lvl>
  </w:abstractNum>
  <w:abstractNum w:abstractNumId="12">
    <w:nsid w:val="79838CB2"/>
    <w:multiLevelType w:val="hybridMultilevel"/>
    <w:lvl w:ilvl="0">
      <w:lvlJc w:val="left"/>
      <w:lvlText w:val="%1."/>
      <w:numFmt w:val="decimal"/>
      <w:start w:val="7"/>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8"/>
    </w:lvl>
  </w:abstractNum>
  <w:abstractNum w:abstractNumId="15">
    <w:nsid w:val="189A769B"/>
    <w:multiLevelType w:val="hybridMultilevel"/>
    <w:lvl w:ilvl="0">
      <w:lvlJc w:val="left"/>
      <w:lvlText w:val="%1."/>
      <w:numFmt w:val="decimal"/>
      <w:start w:val="9"/>
    </w:lvl>
  </w:abstractNum>
  <w:abstractNum w:abstractNumId="16">
    <w:nsid w:val="54E49EB4"/>
    <w:multiLevelType w:val="hybridMultilevel"/>
    <w:lvl w:ilvl="0">
      <w:lvlJc w:val="left"/>
      <w:lvlText w:val="%1."/>
      <w:numFmt w:val="decimal"/>
      <w:start w:val="10"/>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2"/>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lowerLetter"/>
      <w:start w:val="3"/>
    </w:lvl>
  </w:abstractNum>
  <w:abstractNum w:abstractNumId="31">
    <w:nsid w:val="419AC241"/>
    <w:multiLevelType w:val="hybridMultilevel"/>
    <w:lvl w:ilvl="0">
      <w:lvlJc w:val="left"/>
      <w:lvlText w:val="%1"/>
      <w:numFmt w:val="decimal"/>
      <w:start w:val="32"/>
    </w:lvl>
  </w:abstractNum>
  <w:abstractNum w:abstractNumId="32">
    <w:nsid w:val="5577F8E1"/>
    <w:multiLevelType w:val="hybridMultilevel"/>
    <w:lvl w:ilvl="0">
      <w:lvlJc w:val="left"/>
      <w:lvlText w:val="%1"/>
      <w:numFmt w:val="decimal"/>
      <w:start w:val="104"/>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3" Type="http://schemas.openxmlformats.org/officeDocument/2006/relationships/hyperlink" Target="http://www.sec.gov/Archives/edgar/data/1690334/000119312521063864/d34061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2021-05-06T05:58:16Z</dcterms:created>
  <dcterms:modified xsi:type="dcterms:W3CDTF">2021-05-06T05:58:16Z</dcterms:modified>
</cp:coreProperties>
</file>