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112395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12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18"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4" w:lineRule="exact"/>
        <w:rPr>
          <w:sz w:val="24"/>
          <w:szCs w:val="24"/>
          <w:color w:val="auto"/>
        </w:rPr>
      </w:pPr>
    </w:p>
    <w:p>
      <w:pPr>
        <w:jc w:val="center"/>
        <w:ind w:right="-19"/>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1-37966</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SEACOR Marine Holdings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8"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5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47-2564547</w:t>
            </w:r>
          </w:p>
        </w:tc>
      </w:tr>
      <w:tr>
        <w:trPr>
          <w:trHeight w:val="216"/>
        </w:trPr>
        <w:tc>
          <w:tcPr>
            <w:tcW w:w="55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2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6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2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338"/>
        </w:trPr>
        <w:tc>
          <w:tcPr>
            <w:tcW w:w="55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12121 Wickchester Lane, Suite 500, Houston, TX</w:t>
            </w:r>
          </w:p>
        </w:tc>
        <w:tc>
          <w:tcPr>
            <w:tcW w:w="3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77079</w:t>
            </w:r>
          </w:p>
        </w:tc>
      </w:tr>
      <w:tr>
        <w:trPr>
          <w:trHeight w:val="297"/>
        </w:trPr>
        <w:tc>
          <w:tcPr>
            <w:tcW w:w="55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(346) 980-1700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7"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7"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0" w:type="dxa"/>
            <w:vAlign w:val="bottom"/>
          </w:tcPr>
          <w:p>
            <w:pPr>
              <w:spacing w:after="0"/>
              <w:rPr>
                <w:sz w:val="18"/>
                <w:szCs w:val="18"/>
                <w:color w:val="auto"/>
              </w:rPr>
            </w:pPr>
          </w:p>
        </w:tc>
        <w:tc>
          <w:tcPr>
            <w:tcW w:w="29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5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580" w:type="dxa"/>
            <w:vAlign w:val="bottom"/>
          </w:tcPr>
          <w:p>
            <w:pPr>
              <w:spacing w:after="0"/>
              <w:rPr>
                <w:sz w:val="20"/>
                <w:szCs w:val="20"/>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SMHI</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03" w:lineRule="exact"/>
        <w:rPr>
          <w:sz w:val="24"/>
          <w:szCs w:val="24"/>
          <w:color w:val="auto"/>
        </w:rPr>
      </w:pPr>
    </w:p>
    <w:p>
      <w:pPr>
        <w:jc w:val="both"/>
        <w:ind w:firstLine="74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firstLine="74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547" w:right="339" w:bottom="1440" w:gutter="0" w:footer="0" w:header="0"/>
        </w:sectPr>
      </w:pP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spacing w:after="0"/>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Emerging growth</w:t>
      </w:r>
    </w:p>
    <w:p>
      <w:pPr>
        <w:spacing w:after="0" w:line="5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400"/>
        <w:spacing w:after="0" w:line="161" w:lineRule="exact"/>
        <w:rPr>
          <w:sz w:val="20"/>
          <w:szCs w:val="20"/>
          <w:color w:val="auto"/>
        </w:rPr>
      </w:pPr>
      <w:r>
        <w:rPr>
          <w:rFonts w:ascii="MS PGothic" w:cs="MS PGothic" w:eastAsia="MS PGothic" w:hAnsi="MS PGothic"/>
          <w:sz w:val="16"/>
          <w:szCs w:val="16"/>
          <w:color w:val="auto"/>
        </w:rPr>
        <w:t>☒</w:t>
      </w:r>
    </w:p>
    <w:p>
      <w:pPr>
        <w:spacing w:after="0" w:line="421" w:lineRule="exact"/>
        <w:rPr>
          <w:sz w:val="24"/>
          <w:szCs w:val="24"/>
          <w:color w:val="auto"/>
        </w:rPr>
      </w:pPr>
    </w:p>
    <w:p>
      <w:pPr>
        <w:sectPr>
          <w:pgSz w:w="11900" w:h="16838" w:orient="portrait"/>
          <w:cols w:equalWidth="0" w:num="9">
            <w:col w:w="1620" w:space="80"/>
            <w:col w:w="160" w:space="400"/>
            <w:col w:w="1200" w:space="500"/>
            <w:col w:w="160" w:space="400"/>
            <w:col w:w="1520" w:space="160"/>
            <w:col w:w="160" w:space="420"/>
            <w:col w:w="1260" w:space="420"/>
            <w:col w:w="1820" w:space="400"/>
            <w:col w:w="560"/>
          </w:cols>
          <w:pgMar w:left="320" w:top="547" w:right="339" w:bottom="1440" w:gutter="0" w:footer="0" w:header="0"/>
          <w:type w:val="continuous"/>
        </w:sectPr>
      </w:pPr>
    </w:p>
    <w:p>
      <w:pPr>
        <w:ind w:right="20" w:firstLine="74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760"/>
        <w:spacing w:after="0" w:line="207" w:lineRule="exact"/>
        <w:tabs>
          <w:tab w:leader="none" w:pos="96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6" w:lineRule="exact"/>
        <w:rPr>
          <w:sz w:val="24"/>
          <w:szCs w:val="24"/>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total number of shares of common stock, par value $.01 per share (“Common Stock”), outstanding as of July 29, 2022 was 26,705,661.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20" w:type="dxa"/>
            <w:vAlign w:val="bottom"/>
            <w:gridSpan w:val="12"/>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SEACOR MARINE HOLDINGS INC.</w:t>
            </w:r>
          </w:p>
        </w:tc>
        <w:tc>
          <w:tcPr>
            <w:tcW w:w="560" w:type="dxa"/>
            <w:vAlign w:val="bottom"/>
          </w:tcPr>
          <w:p>
            <w:pPr>
              <w:spacing w:after="0"/>
              <w:rPr>
                <w:sz w:val="20"/>
                <w:szCs w:val="20"/>
                <w:color w:val="auto"/>
              </w:rPr>
            </w:pPr>
          </w:p>
        </w:tc>
      </w:tr>
      <w:tr>
        <w:trPr>
          <w:trHeight w:val="392"/>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gridSpan w:val="10"/>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1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Financial Information</w:t>
            </w:r>
          </w:p>
        </w:tc>
        <w:tc>
          <w:tcPr>
            <w:tcW w:w="818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636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1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June 30, 2022 and December 31, 2021</w:t>
            </w:r>
          </w:p>
        </w:tc>
        <w:tc>
          <w:tcPr>
            <w:tcW w:w="264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(Loss) for the Three and Six Months Ended June 30, 2022 and 2021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(Loss) for the Three and Six Months Ended June 30,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2022 and 2021</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Equity for the Three and Six Months Ended June 30, 2022 and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17"/>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2022 and 2021</w:t>
            </w:r>
          </w:p>
        </w:tc>
        <w:tc>
          <w:tcPr>
            <w:tcW w:w="140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7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7"/>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32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42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844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44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2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Default Upon Senior Securities</w:t>
            </w:r>
          </w:p>
        </w:tc>
        <w:tc>
          <w:tcPr>
            <w:tcW w:w="2080" w:type="dxa"/>
            <w:vAlign w:val="bottom"/>
            <w:tcBorders>
              <w:top w:val="single" w:sz="8" w:color="0000EE"/>
            </w:tcBorders>
            <w:gridSpan w:val="3"/>
          </w:tcPr>
          <w:p>
            <w:pPr>
              <w:spacing w:after="0"/>
              <w:rPr>
                <w:sz w:val="24"/>
                <w:szCs w:val="24"/>
                <w:color w:val="auto"/>
              </w:rPr>
            </w:pPr>
          </w:p>
        </w:tc>
        <w:tc>
          <w:tcPr>
            <w:tcW w:w="444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24"/>
                <w:szCs w:val="24"/>
                <w:color w:val="auto"/>
              </w:rPr>
            </w:pPr>
          </w:p>
        </w:tc>
        <w:tc>
          <w:tcPr>
            <w:tcW w:w="702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818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PART I—FINANCIAL INFORMATION</w:t>
      </w:r>
    </w:p>
    <w:p>
      <w:pPr>
        <w:spacing w:after="0" w:line="1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FINANCIAL STATEMENTS</w:t>
      </w:r>
    </w:p>
    <w:p>
      <w:pPr>
        <w:spacing w:after="0" w:line="5" w:lineRule="exact"/>
        <w:rPr>
          <w:sz w:val="20"/>
          <w:szCs w:val="20"/>
          <w:color w:val="auto"/>
        </w:rPr>
      </w:pPr>
    </w:p>
    <w:p>
      <w:pPr>
        <w:jc w:val="center"/>
        <w:spacing w:after="0" w:line="245" w:lineRule="auto"/>
        <w:rPr>
          <w:sz w:val="20"/>
          <w:szCs w:val="20"/>
          <w:color w:val="auto"/>
        </w:rPr>
      </w:pPr>
      <w:r>
        <w:rPr>
          <w:rFonts w:ascii="Times New Roman" w:cs="Times New Roman" w:eastAsia="Times New Roman" w:hAnsi="Times New Roman"/>
          <w:sz w:val="22"/>
          <w:szCs w:val="22"/>
          <w:b w:val="1"/>
          <w:bCs w:val="1"/>
          <w:color w:val="auto"/>
        </w:rPr>
        <w:t>SEACOR MARINE HOLDINGS INC. UNAUDITED CONDENSED CONSOLIDATED BALANCE SHEETS (in thousands, except share data)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42"/>
        </w:trPr>
        <w:tc>
          <w:tcPr>
            <w:tcW w:w="7820" w:type="dxa"/>
            <w:vAlign w:val="bottom"/>
            <w:tcBorders>
              <w:top w:val="single" w:sz="8" w:color="CFF0FC"/>
            </w:tcBorders>
            <w:shd w:val="clear" w:color="auto" w:fill="CFF0FC"/>
          </w:tcPr>
          <w:p>
            <w:pPr>
              <w:ind w:left="3580"/>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782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22,608</w:t>
            </w:r>
          </w:p>
        </w:tc>
        <w:tc>
          <w:tcPr>
            <w:tcW w:w="1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37,619</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Restricted cash</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3,601</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Receivables: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Trade, net of allowance for credit loss accounts of $1,842 and $1,312 in 2022 and 2021, respectively</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55,544</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7,437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6,118</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Tax receivable</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928</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3"/>
                <w:szCs w:val="13"/>
                <w:color w:val="auto"/>
              </w:rPr>
              <w:t>Prepaid expenses and other</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5,391</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ind w:left="500"/>
              <w:spacing w:after="0" w:line="142" w:lineRule="exact"/>
              <w:rPr>
                <w:sz w:val="20"/>
                <w:szCs w:val="20"/>
                <w:color w:val="auto"/>
              </w:rPr>
            </w:pPr>
            <w:r>
              <w:rPr>
                <w:rFonts w:ascii="Times New Roman" w:cs="Times New Roman" w:eastAsia="Times New Roman" w:hAnsi="Times New Roman"/>
                <w:sz w:val="13"/>
                <w:szCs w:val="13"/>
                <w:color w:val="auto"/>
              </w:rPr>
              <w:t>Total current assets</w:t>
            </w: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95,810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108,778</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Property and Equipment:</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Historical cost</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1,000,147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1,025,284</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Accumulated depreciation</w:t>
            </w:r>
          </w:p>
        </w:tc>
        <w:tc>
          <w:tcPr>
            <w:tcW w:w="22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(325,091)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(317,297)</w:t>
            </w:r>
          </w:p>
        </w:tc>
      </w:tr>
      <w:tr>
        <w:trPr>
          <w:trHeight w:val="142"/>
        </w:trPr>
        <w:tc>
          <w:tcPr>
            <w:tcW w:w="78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675,056</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707,987</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7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3"/>
                <w:szCs w:val="13"/>
                <w:color w:val="auto"/>
              </w:rPr>
              <w:t>Construction in progress</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15,576</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15,531</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3"/>
                <w:szCs w:val="13"/>
                <w:color w:val="auto"/>
              </w:rPr>
              <w:t>Net property and equipment</w:t>
            </w: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690,632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723,518</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Right-of-use asset - operating leases</w:t>
            </w:r>
          </w:p>
        </w:tc>
        <w:tc>
          <w:tcPr>
            <w:tcW w:w="22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5,686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6,608</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Right-of-use asset - finance leases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7,131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equity, and advances to 50% or less owned companies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71,727</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120" w:type="dxa"/>
            <w:vAlign w:val="bottom"/>
            <w:shd w:val="clear" w:color="auto" w:fill="CFF0FC"/>
          </w:tcPr>
          <w:p>
            <w:pPr>
              <w:spacing w:after="0"/>
              <w:rPr>
                <w:sz w:val="12"/>
                <w:szCs w:val="12"/>
                <w:color w:val="auto"/>
              </w:rPr>
            </w:pPr>
          </w:p>
        </w:tc>
      </w:tr>
      <w:tr>
        <w:trPr>
          <w:trHeight w:val="182"/>
        </w:trPr>
        <w:tc>
          <w:tcPr>
            <w:tcW w:w="7820" w:type="dxa"/>
            <w:vAlign w:val="bottom"/>
            <w:tcBorders>
              <w:bottom w:val="single" w:sz="8" w:color="CFF0FC"/>
            </w:tcBorders>
          </w:tcPr>
          <w:p>
            <w:pPr>
              <w:ind w:left="500"/>
              <w:spacing w:after="0" w:line="142" w:lineRule="exact"/>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877,114</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912,502</w:t>
            </w:r>
          </w:p>
        </w:tc>
        <w:tc>
          <w:tcPr>
            <w:tcW w:w="120" w:type="dxa"/>
            <w:vAlign w:val="bottom"/>
            <w:tcBorders>
              <w:bottom w:val="single" w:sz="8" w:color="CFF0FC"/>
            </w:tcBorders>
          </w:tcPr>
          <w:p>
            <w:pPr>
              <w:spacing w:after="0"/>
              <w:rPr>
                <w:sz w:val="15"/>
                <w:szCs w:val="15"/>
                <w:color w:val="auto"/>
              </w:rPr>
            </w:pPr>
          </w:p>
        </w:tc>
      </w:tr>
      <w:tr>
        <w:trPr>
          <w:trHeight w:val="129"/>
        </w:trPr>
        <w:tc>
          <w:tcPr>
            <w:tcW w:w="7820" w:type="dxa"/>
            <w:vAlign w:val="bottom"/>
            <w:shd w:val="clear" w:color="auto" w:fill="CFF0FC"/>
          </w:tcPr>
          <w:p>
            <w:pPr>
              <w:ind w:left="3020"/>
              <w:spacing w:after="0" w:line="129"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2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782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2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1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1,986</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Current portion of financing lease liabilities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Recourse</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31,602</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39,262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28,419</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Due to SEACOR Holdings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Accrued wages and benefits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3,711</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interest</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Deferred revenue and unearned revenue</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1,606</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capital, repair, and maintenance expenditures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2,438</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Accrued insurance deductibles and premiums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2,720</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professional fees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Derivatives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4,148</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6,558</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ind w:left="500"/>
              <w:spacing w:after="0" w:line="142" w:lineRule="exact"/>
              <w:rPr>
                <w:sz w:val="20"/>
                <w:szCs w:val="20"/>
                <w:color w:val="auto"/>
              </w:rPr>
            </w:pPr>
            <w:r>
              <w:rPr>
                <w:rFonts w:ascii="Times New Roman" w:cs="Times New Roman" w:eastAsia="Times New Roman" w:hAnsi="Times New Roman"/>
                <w:sz w:val="13"/>
                <w:szCs w:val="13"/>
                <w:color w:val="auto"/>
              </w:rPr>
              <w:t>Total current liabilities</w:t>
            </w: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97,387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84,665</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Long-term operating lease liabilities</w:t>
            </w:r>
          </w:p>
        </w:tc>
        <w:tc>
          <w:tcPr>
            <w:tcW w:w="22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4,026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4,885</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Long-term financing lease liabilities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7,050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Recourse</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313,224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327,300</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Non-recourse</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5,462</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Conversion option liability on convertible senior notes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820" w:type="dxa"/>
            <w:vAlign w:val="bottom"/>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40,682</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gains and other liabilities</w:t>
            </w: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Borders>
              <w:bottom w:val="single" w:sz="8" w:color="CFF0FC"/>
            </w:tcBorders>
          </w:tcPr>
          <w:p>
            <w:pPr>
              <w:ind w:left="500"/>
              <w:spacing w:after="0" w:line="142" w:lineRule="exact"/>
              <w:rPr>
                <w:sz w:val="20"/>
                <w:szCs w:val="20"/>
                <w:color w:val="auto"/>
              </w:rPr>
            </w:pPr>
            <w:r>
              <w:rPr>
                <w:rFonts w:ascii="Times New Roman" w:cs="Times New Roman" w:eastAsia="Times New Roman" w:hAnsi="Times New Roman"/>
                <w:sz w:val="13"/>
                <w:szCs w:val="13"/>
                <w:color w:val="auto"/>
              </w:rPr>
              <w:t>Total liabilities</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463,607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465,961</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Equity:</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SEACOR Marine Holdings Inc. stockholders’ equity:</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Common stock, $.01 par value, 60,000,000 shares authorized; 26,954,299 and 26,120,124 shares issued in 2022 and 2021, respectively</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464,222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461,931</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Accumulated deficit</w:t>
            </w:r>
          </w:p>
        </w:tc>
        <w:tc>
          <w:tcPr>
            <w:tcW w:w="2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(55,418)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(22,907)</w:t>
            </w:r>
          </w:p>
        </w:tc>
      </w:tr>
      <w:tr>
        <w:trPr>
          <w:trHeight w:val="148"/>
        </w:trPr>
        <w:tc>
          <w:tcPr>
            <w:tcW w:w="7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Shares held in treasury of 248,638 and 127,887, respectively, at cost</w:t>
            </w:r>
          </w:p>
        </w:tc>
        <w:tc>
          <w:tcPr>
            <w:tcW w:w="22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(1,852)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(1,120)</w:t>
            </w:r>
          </w:p>
        </w:tc>
      </w:tr>
      <w:tr>
        <w:trPr>
          <w:trHeight w:val="148"/>
        </w:trPr>
        <w:tc>
          <w:tcPr>
            <w:tcW w:w="7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Accumulated other comprehensive income, net of tax</w:t>
            </w: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5,960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8,055</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413,184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446,221</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Noncontrolling interests in subsidiaries</w:t>
            </w: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Borders>
              <w:bottom w:val="single" w:sz="8" w:color="CFF0FC"/>
            </w:tcBorders>
          </w:tcPr>
          <w:p>
            <w:pPr>
              <w:ind w:left="500"/>
              <w:spacing w:after="0" w:line="142" w:lineRule="exact"/>
              <w:rPr>
                <w:sz w:val="20"/>
                <w:szCs w:val="20"/>
                <w:color w:val="auto"/>
              </w:rPr>
            </w:pPr>
            <w:r>
              <w:rPr>
                <w:rFonts w:ascii="Times New Roman" w:cs="Times New Roman" w:eastAsia="Times New Roman" w:hAnsi="Times New Roman"/>
                <w:sz w:val="13"/>
                <w:szCs w:val="13"/>
                <w:color w:val="auto"/>
              </w:rPr>
              <w:t>Total equity</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413,507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446,541</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tcBorders>
              <w:bottom w:val="single" w:sz="8" w:color="CFF0FC"/>
            </w:tcBorders>
            <w:shd w:val="clear" w:color="auto" w:fill="CFF0FC"/>
          </w:tcPr>
          <w:p>
            <w:pPr>
              <w:ind w:left="500"/>
              <w:spacing w:after="0" w:line="142"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877,114</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912,502</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SEACOR MARINE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INCOME (LOSS)</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Pr>
          <w:p>
            <w:pPr>
              <w:spacing w:after="0"/>
              <w:rPr>
                <w:sz w:val="18"/>
                <w:szCs w:val="18"/>
                <w:color w:val="auto"/>
              </w:rPr>
            </w:pPr>
          </w:p>
        </w:tc>
        <w:tc>
          <w:tcPr>
            <w:tcW w:w="2340" w:type="dxa"/>
            <w:vAlign w:val="bottom"/>
            <w:gridSpan w:val="6"/>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54,017</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42,799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99,608</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44,145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32,615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83,641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14,208</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14,093</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69,571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57,094</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134,422</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Gains on Asset Dispositions and Impairments, Net</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22,653</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Income</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(15,529)</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8,358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(32,650)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(8,197)</w:t>
            </w:r>
          </w:p>
        </w:tc>
        <w:tc>
          <w:tcPr>
            <w:tcW w:w="0" w:type="dxa"/>
            <w:vAlign w:val="bottom"/>
          </w:tcPr>
          <w:p>
            <w:pPr>
              <w:spacing w:after="0"/>
              <w:rPr>
                <w:sz w:val="1"/>
                <w:szCs w:val="1"/>
                <w:color w:val="auto"/>
              </w:rPr>
            </w:pPr>
          </w:p>
        </w:tc>
      </w:tr>
      <w:tr>
        <w:trPr>
          <w:trHeight w:val="204"/>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(6,989)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(7,310)</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(15,328)</w:t>
            </w: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SEACOR Holdings guarantee fees</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Gain on debt extinguishment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61,994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Derivative gains (losses), net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Foreign currency gains (losses), net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(657)</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(1,123)</w:t>
            </w:r>
          </w:p>
        </w:tc>
        <w:tc>
          <w:tcPr>
            <w:tcW w:w="0" w:type="dxa"/>
            <w:vAlign w:val="bottom"/>
          </w:tcPr>
          <w:p>
            <w:pPr>
              <w:spacing w:after="0"/>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(5,637)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(11,448)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Income from Continuing Operations Before Income Tax Expense (Benefit) and</w:t>
            </w: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Earnings of 50% or Less Owned Companies</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(21,166)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62,549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(44,098)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Income from Continuing Operations Before Equity in Earnings of 50% or Less</w:t>
            </w: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Owned Companies</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(19,532)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46,634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(40,043)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 in Earnings Gains of 50% or Less Owned Companies</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6,089</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Income from Continuing Operations</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(19,117)</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48,801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(33,954)</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Income on Discontinued Operations, Net of Tax (see Note 12)</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(19,117)</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48,801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(33,954)</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 in Subsidiaries</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 Attributable to SEACOR Marine Holdings Inc.</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(19,120)</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(33,957)</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 Per Common Share from Continuing Operations:</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(0.72)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(0.72)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from Discontinued Operations: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Earnings per Share:</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8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(0.72)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(0.72)</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Weighted Average Common Stock and Warrants Outstanding:</w:t>
            </w: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26,664,745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25,435,362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26,522,808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25,370,372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26,664,745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28,345,155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26,522,808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25,371,185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SEACOR MARINE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COMPREHENSIVE INCOME (LOSS)</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58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r>
      <w:tr>
        <w:trPr>
          <w:trHeight w:val="211"/>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(19,117)</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48,801</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(33,954)</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54,812</w:t>
            </w:r>
          </w:p>
        </w:tc>
        <w:tc>
          <w:tcPr>
            <w:tcW w:w="120" w:type="dxa"/>
            <w:vAlign w:val="bottom"/>
            <w:shd w:val="clear" w:color="auto" w:fill="CFF0FC"/>
          </w:tcPr>
          <w:p>
            <w:pPr>
              <w:spacing w:after="0"/>
              <w:rPr>
                <w:sz w:val="18"/>
                <w:szCs w:val="18"/>
                <w:color w:val="auto"/>
              </w:rPr>
            </w:pPr>
          </w:p>
        </w:tc>
      </w:tr>
      <w:tr>
        <w:trPr>
          <w:trHeight w:val="20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Foreign currency translation (losses) gains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(3,849)</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(4,563)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120" w:type="dxa"/>
            <w:vAlign w:val="bottom"/>
            <w:shd w:val="clear" w:color="auto" w:fill="CFF0FC"/>
          </w:tcPr>
          <w:p>
            <w:pPr>
              <w:spacing w:after="0"/>
              <w:rPr>
                <w:sz w:val="19"/>
                <w:szCs w:val="19"/>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Derivative gains (losses) on cash flow hedges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Reclassification of derivative losses on cash flow hedges to interest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shd w:val="clear" w:color="auto" w:fill="CFF0FC"/>
          </w:tcPr>
          <w:p>
            <w:pPr>
              <w:spacing w:after="0"/>
              <w:rPr>
                <w:sz w:val="19"/>
                <w:szCs w:val="19"/>
                <w:color w:val="auto"/>
              </w:rPr>
            </w:pPr>
          </w:p>
        </w:tc>
      </w:tr>
      <w:tr>
        <w:trPr>
          <w:trHeight w:val="202"/>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Reclassification of derivative gains (losses) on cash flow hedges to equity in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earnings of 50% or less owned companies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(867)</w:t>
            </w:r>
          </w:p>
        </w:tc>
      </w:tr>
      <w:tr>
        <w:trPr>
          <w:trHeight w:val="212"/>
        </w:trPr>
        <w:tc>
          <w:tcPr>
            <w:tcW w:w="58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Comprehensive (Loss) Income</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(22,010)</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48,462</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(36,049)</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59,129</w:t>
            </w:r>
          </w:p>
        </w:tc>
        <w:tc>
          <w:tcPr>
            <w:tcW w:w="120" w:type="dxa"/>
            <w:vAlign w:val="bottom"/>
            <w:tcBorders>
              <w:bottom w:val="single" w:sz="8" w:color="CFF0FC"/>
            </w:tcBorders>
          </w:tcPr>
          <w:p>
            <w:pPr>
              <w:spacing w:after="0"/>
              <w:rPr>
                <w:sz w:val="17"/>
                <w:szCs w:val="17"/>
                <w:color w:val="auto"/>
              </w:rPr>
            </w:pPr>
          </w:p>
        </w:tc>
      </w:tr>
      <w:tr>
        <w:trPr>
          <w:trHeight w:val="212"/>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 in Subsidiaries</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8"/>
                <w:szCs w:val="18"/>
                <w:color w:val="auto"/>
              </w:rPr>
            </w:pPr>
          </w:p>
        </w:tc>
      </w:tr>
      <w:tr>
        <w:trPr>
          <w:trHeight w:val="20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 Income attributable to SEACOR Marine Holdings Inc.</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(22,013)</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48,461</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(36,052)</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59,128</w:t>
            </w:r>
          </w:p>
        </w:tc>
        <w:tc>
          <w:tcPr>
            <w:tcW w:w="120" w:type="dxa"/>
            <w:vAlign w:val="bottom"/>
          </w:tcPr>
          <w:p>
            <w:pPr>
              <w:spacing w:after="0"/>
              <w:rPr>
                <w:sz w:val="17"/>
                <w:szCs w:val="17"/>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SEACOR MARINE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CHANGES IN EQUITY</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7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92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in</w:t>
            </w:r>
          </w:p>
        </w:tc>
        <w:tc>
          <w:tcPr>
            <w:tcW w:w="920" w:type="dxa"/>
            <w:vAlign w:val="bottom"/>
            <w:gridSpan w:val="3"/>
            <w:vMerge w:val="continue"/>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5"/>
                <w:szCs w:val="15"/>
                <w:color w:val="auto"/>
              </w:rPr>
            </w:pPr>
          </w:p>
        </w:tc>
        <w:tc>
          <w:tcPr>
            <w:tcW w:w="7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244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8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25,992,237</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461,931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127,887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(1,120)</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(22,907)</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Restricted stock grants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738,896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share awards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Exercise of options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Restricted stock vesting</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(114,251)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114,251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Director share awards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 restricted stock</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vesting</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(33,957)</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(33,954)</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09"/>
        </w:trPr>
        <w:tc>
          <w:tcPr>
            <w:tcW w:w="2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26,705,661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464,222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248,638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(1,852</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(55,418</w:t>
            </w:r>
          </w:p>
        </w:tc>
        <w:tc>
          <w:tcPr>
            <w:tcW w:w="22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413,507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26,643,873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463,138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242,138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(1,792)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(37,744)</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8,853</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Restricted stock grants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share awards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Exercise of options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 share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Director restricted stock</w:t>
            </w: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vesting</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(6,500)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(19,120)</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(19,117)</w:t>
            </w: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(2,893)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(1,447)</w:t>
            </w:r>
          </w:p>
        </w:tc>
        <w:tc>
          <w:tcPr>
            <w:tcW w:w="0" w:type="dxa"/>
            <w:vAlign w:val="bottom"/>
          </w:tcPr>
          <w:p>
            <w:pPr>
              <w:spacing w:after="0"/>
              <w:rPr>
                <w:sz w:val="1"/>
                <w:szCs w:val="1"/>
                <w:color w:val="auto"/>
              </w:rPr>
            </w:pPr>
          </w:p>
        </w:tc>
      </w:tr>
      <w:tr>
        <w:trPr>
          <w:trHeight w:val="207"/>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26,705,661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464,222</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248,638</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(1,852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(55,418</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92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in</w:t>
            </w:r>
          </w:p>
        </w:tc>
        <w:tc>
          <w:tcPr>
            <w:tcW w:w="920" w:type="dxa"/>
            <w:vAlign w:val="bottom"/>
            <w:gridSpan w:val="3"/>
            <w:vMerge w:val="continue"/>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5"/>
                <w:szCs w:val="15"/>
                <w:color w:val="auto"/>
              </w:rPr>
            </w:pPr>
          </w:p>
        </w:tc>
        <w:tc>
          <w:tcPr>
            <w:tcW w:w="7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244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8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23,430,766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451,179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73,284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(51,839)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Restricted stock grants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815,550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share awards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Restricted stock vesting</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(54,454)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54,454</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 share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Sale of Windcat Workboats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(4,202)</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(4,202)</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24,380,892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454,079</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127,738</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(1,120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459,401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24,194,383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452,290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125,217</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(1,110)</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(50,029)</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share awards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Restricted stock vesting</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(2,521)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 share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Sale of Windcat Workboats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(339)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07"/>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24,380,892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454,079</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127,738</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(1,120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459,401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SEACOR MARINE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CASH FLOWS</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3"/>
                <w:szCs w:val="13"/>
                <w:b w:val="1"/>
                <w:bCs w:val="1"/>
                <w:color w:val="auto"/>
                <w:w w:val="98"/>
              </w:rPr>
              <w:t>Six Months Ended June 30,</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4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Flows from Continuing Operating Activities:</w:t>
            </w:r>
          </w:p>
        </w:tc>
        <w:tc>
          <w:tcPr>
            <w:tcW w:w="9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Net (Loss) Income</w:t>
            </w:r>
          </w:p>
        </w:tc>
        <w:tc>
          <w:tcPr>
            <w:tcW w:w="960" w:type="dxa"/>
            <w:vAlign w:val="bottom"/>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(33,954)</w:t>
            </w:r>
          </w:p>
        </w:tc>
        <w:tc>
          <w:tcPr>
            <w:tcW w:w="58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provided by operating activities: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28,579</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Deferred financing costs amortization</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4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Debt discount amortization</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3,427</w:t>
            </w:r>
          </w:p>
        </w:tc>
        <w:tc>
          <w:tcPr>
            <w:tcW w:w="4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Gain from equipment sales, retirements or impairments</w:t>
            </w:r>
          </w:p>
        </w:tc>
        <w:tc>
          <w:tcPr>
            <w:tcW w:w="9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(2,164)</w:t>
            </w:r>
          </w:p>
        </w:tc>
        <w:tc>
          <w:tcPr>
            <w:tcW w:w="5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(20,380)</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Gain on the sale of Windcat Workboats</w:t>
            </w:r>
          </w:p>
        </w:tc>
        <w:tc>
          <w:tcPr>
            <w:tcW w:w="9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(22,756)</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Gain on debt extinguishment</w:t>
            </w:r>
          </w:p>
        </w:tc>
        <w:tc>
          <w:tcPr>
            <w:tcW w:w="9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(62,749)</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Derivative losses (gains)</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(385)</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Interest on finance leases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4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settlement payments on derivative transactions, net</w:t>
            </w:r>
          </w:p>
        </w:tc>
        <w:tc>
          <w:tcPr>
            <w:tcW w:w="9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(651)</w:t>
            </w:r>
          </w:p>
        </w:tc>
        <w:tc>
          <w:tcPr>
            <w:tcW w:w="5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(1,333)</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Currency (gains) losses</w:t>
            </w:r>
          </w:p>
        </w:tc>
        <w:tc>
          <w:tcPr>
            <w:tcW w:w="9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(1,991)</w:t>
            </w:r>
          </w:p>
        </w:tc>
        <w:tc>
          <w:tcPr>
            <w:tcW w:w="5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9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(6,939)</w:t>
            </w: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Equity earnings</w:t>
            </w:r>
          </w:p>
        </w:tc>
        <w:tc>
          <w:tcPr>
            <w:tcW w:w="9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(6,089)</w:t>
            </w:r>
          </w:p>
        </w:tc>
        <w:tc>
          <w:tcPr>
            <w:tcW w:w="5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(6,270)</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Dividends received from equity investees</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receivables</w:t>
            </w:r>
          </w:p>
        </w:tc>
        <w:tc>
          <w:tcPr>
            <w:tcW w:w="9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(571)</w:t>
            </w: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Other assets</w:t>
            </w:r>
          </w:p>
        </w:tc>
        <w:tc>
          <w:tcPr>
            <w:tcW w:w="9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(1,703)</w:t>
            </w:r>
          </w:p>
        </w:tc>
        <w:tc>
          <w:tcPr>
            <w:tcW w:w="5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11,632</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(6,028)</w:t>
            </w:r>
          </w:p>
        </w:tc>
        <w:tc>
          <w:tcPr>
            <w:tcW w:w="0" w:type="dxa"/>
            <w:vAlign w:val="bottom"/>
          </w:tcPr>
          <w:p>
            <w:pPr>
              <w:spacing w:after="0"/>
              <w:rPr>
                <w:sz w:val="1"/>
                <w:szCs w:val="1"/>
                <w:color w:val="auto"/>
              </w:rPr>
            </w:pPr>
          </w:p>
        </w:tc>
      </w:tr>
      <w:tr>
        <w:trPr>
          <w:trHeight w:val="20"/>
        </w:trPr>
        <w:tc>
          <w:tcPr>
            <w:tcW w:w="764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Net cash (used in) provided by operating activities</w:t>
            </w: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vMerge w:val="continue"/>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(5,845)</w:t>
            </w:r>
          </w:p>
        </w:tc>
        <w:tc>
          <w:tcPr>
            <w:tcW w:w="5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Continuing Investing Activities:</w:t>
            </w:r>
          </w:p>
        </w:tc>
        <w:tc>
          <w:tcPr>
            <w:tcW w:w="9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9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(37)</w:t>
            </w:r>
          </w:p>
        </w:tc>
        <w:tc>
          <w:tcPr>
            <w:tcW w:w="5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(3,650)</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disposition of property and equipment</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6,681</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 xml:space="preserve">Proceeds from sale of Windcat Workboats, net of transaction costs and cash sold </w:t>
            </w:r>
            <w:r>
              <w:rPr>
                <w:rFonts w:ascii="Times New Roman" w:cs="Times New Roman" w:eastAsia="Times New Roman" w:hAnsi="Times New Roman"/>
                <w:sz w:val="11"/>
                <w:szCs w:val="11"/>
                <w:color w:val="auto"/>
              </w:rPr>
              <w:t>(1)</w:t>
            </w:r>
          </w:p>
        </w:tc>
        <w:tc>
          <w:tcPr>
            <w:tcW w:w="9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Investments in and advances to 50% or less owned companies</w:t>
            </w:r>
          </w:p>
        </w:tc>
        <w:tc>
          <w:tcPr>
            <w:tcW w:w="9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(736)</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Principal payments on notes due from equity investees</w:t>
            </w:r>
          </w:p>
        </w:tc>
        <w:tc>
          <w:tcPr>
            <w:tcW w:w="9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420" w:type="dxa"/>
            <w:vAlign w:val="bottom"/>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3"/>
                <w:szCs w:val="13"/>
                <w:color w:val="auto"/>
              </w:rPr>
              <w:t>Net cash provided by investing activities</w:t>
            </w: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6,995</w:t>
            </w:r>
          </w:p>
        </w:tc>
        <w:tc>
          <w:tcPr>
            <w:tcW w:w="4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68,262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Flows from Continuing Financing Activities:</w:t>
            </w:r>
          </w:p>
        </w:tc>
        <w:tc>
          <w:tcPr>
            <w:tcW w:w="9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Payments on long-term debt</w:t>
            </w:r>
          </w:p>
        </w:tc>
        <w:tc>
          <w:tcPr>
            <w:tcW w:w="9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(16,500)</w:t>
            </w:r>
          </w:p>
        </w:tc>
        <w:tc>
          <w:tcPr>
            <w:tcW w:w="5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(65,089)</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Payments on debt extinguishment cost</w:t>
            </w:r>
          </w:p>
        </w:tc>
        <w:tc>
          <w:tcPr>
            <w:tcW w:w="9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(755)</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Payments on finance leases</w:t>
            </w:r>
          </w:p>
        </w:tc>
        <w:tc>
          <w:tcPr>
            <w:tcW w:w="9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(123)</w:t>
            </w:r>
          </w:p>
        </w:tc>
        <w:tc>
          <w:tcPr>
            <w:tcW w:w="5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4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3"/>
                <w:szCs w:val="13"/>
                <w:color w:val="auto"/>
              </w:rPr>
              <w:t>Issuance of stock</w:t>
            </w: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2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9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(16,462)</w:t>
            </w:r>
          </w:p>
        </w:tc>
        <w:tc>
          <w:tcPr>
            <w:tcW w:w="5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(65,846)</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Effects of Exchange Rate Changes on Cash and Cash Equivalents</w:t>
            </w: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(4)</w:t>
            </w:r>
          </w:p>
        </w:tc>
        <w:tc>
          <w:tcPr>
            <w:tcW w:w="58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
        </w:trPr>
        <w:tc>
          <w:tcPr>
            <w:tcW w:w="76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(Decrease) Increase in Cash, Restricted Cash and Cash Equivalents</w:t>
            </w: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vMerge w:val="continue"/>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(15,316)</w:t>
            </w:r>
          </w:p>
        </w:tc>
        <w:tc>
          <w:tcPr>
            <w:tcW w:w="5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11,934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Discontinued Operations:</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Operating Activities</w:t>
            </w:r>
          </w:p>
        </w:tc>
        <w:tc>
          <w:tcPr>
            <w:tcW w:w="9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Investing Activities</w:t>
            </w:r>
          </w:p>
        </w:tc>
        <w:tc>
          <w:tcPr>
            <w:tcW w:w="9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Financing Activities</w:t>
            </w:r>
          </w:p>
        </w:tc>
        <w:tc>
          <w:tcPr>
            <w:tcW w:w="9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Decrease in Cash, Restricted Cash and Cash Equivalents on Discontinued Operations</w:t>
            </w:r>
          </w:p>
        </w:tc>
        <w:tc>
          <w:tcPr>
            <w:tcW w:w="9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20"/>
        </w:trPr>
        <w:tc>
          <w:tcPr>
            <w:tcW w:w="76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(Decrease) Increase in Cash, Restricted Cash and Cash Equivalents</w:t>
            </w: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vMerge w:val="continue"/>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(15,316)</w:t>
            </w:r>
          </w:p>
        </w:tc>
        <w:tc>
          <w:tcPr>
            <w:tcW w:w="5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11,763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Cash, Restricted Cash and Cash Equivalents, Beginning of Period</w:t>
            </w: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41,220</w:t>
            </w:r>
          </w:p>
        </w:tc>
        <w:tc>
          <w:tcPr>
            <w:tcW w:w="42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39,538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Restricted Cash and Cash Equivalents, End of Period</w:t>
            </w:r>
          </w:p>
        </w:tc>
        <w:tc>
          <w:tcPr>
            <w:tcW w:w="960" w:type="dxa"/>
            <w:vAlign w:val="bottom"/>
            <w:tcBorders>
              <w:bottom w:val="single" w:sz="8" w:color="auto"/>
            </w:tcBorders>
            <w:shd w:val="clear" w:color="auto" w:fill="CFF0FC"/>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25,904</w:t>
            </w:r>
          </w:p>
        </w:tc>
        <w:tc>
          <w:tcPr>
            <w:tcW w:w="42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51,301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Supplemental disclosures:</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Cash paid for interest, excluding capitalized interest</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10,341</w:t>
            </w:r>
          </w:p>
        </w:tc>
        <w:tc>
          <w:tcPr>
            <w:tcW w:w="4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 refunded, net</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Noncash Investing and Financing Activities: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Decrease in debt related to debt settlement</w:t>
            </w:r>
          </w:p>
        </w:tc>
        <w:tc>
          <w:tcPr>
            <w:tcW w:w="9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Decrease in capital expenditures in accounts payable and accrued liabilities</w:t>
            </w:r>
          </w:p>
        </w:tc>
        <w:tc>
          <w:tcPr>
            <w:tcW w:w="9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Recognition of a new right-of-use asset - operating leases</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Recognition of a new right-of-use asset - financing leases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7,248</w:t>
            </w:r>
          </w:p>
        </w:tc>
        <w:tc>
          <w:tcPr>
            <w:tcW w:w="4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40" w:hanging="368"/>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Refer to Note 2. Equipment Acquisitions and Dispositions for a reconciliation of the cash received from the sale of Windcat Workboats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 w:name="page9"/>
    <w:bookmarkEnd w:id="8"/>
    <w:p>
      <w:pPr>
        <w:jc w:val="center"/>
        <w:spacing w:after="0" w:line="248" w:lineRule="auto"/>
        <w:rPr>
          <w:sz w:val="20"/>
          <w:szCs w:val="20"/>
          <w:color w:val="auto"/>
        </w:rPr>
      </w:pPr>
      <w:r>
        <w:rPr>
          <w:rFonts w:ascii="Times New Roman" w:cs="Times New Roman" w:eastAsia="Times New Roman" w:hAnsi="Times New Roman"/>
          <w:sz w:val="22"/>
          <w:szCs w:val="22"/>
          <w:b w:val="1"/>
          <w:bCs w:val="1"/>
          <w:color w:val="auto"/>
        </w:rPr>
        <w:t>SEACOR MARINE HOLDINGS INC. NOTES TO CONDENSED CONSOLIDATED FINANCIAL STATEMENTS (unaudited)</w:t>
      </w:r>
    </w:p>
    <w:p>
      <w:pPr>
        <w:spacing w:after="0" w:line="382"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BASIS OF PRESENTATION AND ACCOUNTING POLICIES</w:t>
      </w:r>
    </w:p>
    <w:p>
      <w:pPr>
        <w:spacing w:after="0" w:line="17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5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Certain information and footnote disclosures normally included in financial statements prepared in accordance with generally accepted accounting principles in the United States (“GAAP”) have been condensed or omitted. These condensed consolidated financial statements should be read in conjunction with the Company’s financial statements and related notes thereto included in the Company’s Annual Report on Form 10-K for the year ended December 31, 2021 (the “2021 Annual Report”).</w:t>
      </w:r>
    </w:p>
    <w:p>
      <w:pPr>
        <w:spacing w:after="0" w:line="12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Recently Adopted Accounting Standards.</w:t>
      </w:r>
    </w:p>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On October 29, 2020, the FASB issued ASU 2020-10, Codification Improvements: Amendments that improve the consistency of the Codification by including all disclosure guidance in the appropriate Disclosure section. The guidance was effective for annual periods beginning after December 15, 2020, and interim periods within the annual periods beginning after December 15, 2022. The adoption of the standard did not have a material effect on the disclosures included herein.</w:t>
      </w:r>
    </w:p>
    <w:p>
      <w:pPr>
        <w:spacing w:after="0" w:line="14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On August 5, 2020, the FASB issued ASU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contracts on an entity’s own equity. The guidance is effective for fiscal years, and interim periods within those fiscal years, beginning after December 15, 2021. The Company adopted the new standard on January 1, 2022. The adoption of the standard by the Company did not have a material impact on its consolidated financial position or on its results of operations, cash flows and disclosures.</w:t>
      </w:r>
    </w:p>
    <w:p>
      <w:pPr>
        <w:spacing w:after="0" w:line="14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On December 18, 2019, the FASB issued ASU 2019-12, Income Taxes (Topic 740): Simplifying the Accounting for Income Taxes. The guidance is effective for fiscal years, and interim periods within those fiscal years, beginning after December 15, 2020. The adoption of the standard by the Company did not have a material impact on its consolidated financial position or on its results of operations and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Recently Issued Accounting Standards</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On March 12, 2020, the FASB issued ASU 2020-04, Reference Rate Reform (Topic 848): Facilitation of the Effects of Reference Rate Reform on Financial Reporting, which provides temporary optional guidance to ease the potential burden in accounting for reference rate reform. The new guidance provides optional expedients and exceptions for applying generally accepted accounting principles to contract modifications and hedging relationships, subject to meeting certain criteria, that reference LIBOR or another reference rate expected to be discontinued. The ASU is intended to help stakeholders during the global market-wide reference rate transition period. Therefore, it will be in effect for a limited time through December 31, 2022. As of June 30, 2022, the reference rates for the Company’s existing debt and interest rate swaps have not changed as a</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22"/>
          <w:szCs w:val="22"/>
          <w:color w:val="auto"/>
        </w:rPr>
        <w:t>result of any such amendment. The Company will continue to monitor changes to reference rates in applicable agreements and adopt the standard as needed.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Critical Accounting Policies.</w:t>
      </w:r>
    </w:p>
    <w:p>
      <w:pPr>
        <w:spacing w:after="0" w:line="16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Basis of Consolidation. </w:t>
      </w:r>
      <w:r>
        <w:rPr>
          <w:rFonts w:ascii="Times New Roman" w:cs="Times New Roman" w:eastAsia="Times New Roman" w:hAnsi="Times New Roman"/>
          <w:sz w:val="22"/>
          <w:szCs w:val="22"/>
          <w:color w:val="auto"/>
        </w:rPr>
        <w:t>The consolidated financial statements include the accounts of SEACOR Marine and its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controlled subsidiaries. Control is generally deemed to exist if the Company has greater than 50% of the voting rights of a subsidiary. All significant intercompany accounts and transactions are eliminated in the combination and consolidation.</w:t>
      </w:r>
    </w:p>
    <w:p>
      <w:pPr>
        <w:spacing w:after="0" w:line="12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business acquisition of controlling interests by the Company, any previous noncontrolled equity investment in the subsidiary is measured at fair value and a gain or loss is recognized in net income (loss) based on such fair value.</w:t>
      </w:r>
    </w:p>
    <w:p>
      <w:pPr>
        <w:spacing w:after="0" w:line="15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income (loss) as equity in earnings of 50% or less owned companies, net of tax.</w:t>
      </w:r>
    </w:p>
    <w:p>
      <w:pPr>
        <w:spacing w:after="0" w:line="13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Certain reclassifications were made to previously reported amounts in the consolidated financial statements and notes thereto to make them consistent with the current period presentation.</w:t>
      </w:r>
    </w:p>
    <w:p>
      <w:pPr>
        <w:spacing w:after="0" w:line="11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Use of Estimates. </w:t>
      </w:r>
      <w:r>
        <w:rPr>
          <w:rFonts w:ascii="Times New Roman" w:cs="Times New Roman" w:eastAsia="Times New Roman" w:hAnsi="Times New Roman"/>
          <w:sz w:val="22"/>
          <w:szCs w:val="22"/>
          <w:color w:val="auto"/>
        </w:rPr>
        <w:t>The preparation of financial statements in conformity with accounting principles generally accepted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 accounts, useful lives of property and equipment, impairments, income tax provisions and certain accrued liabilities. Actual results could differ from estimates and those differences may be material.</w:t>
      </w:r>
    </w:p>
    <w:p>
      <w:pPr>
        <w:spacing w:after="0" w:line="14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Revenue Recognition</w:t>
      </w:r>
      <w:r>
        <w:rPr>
          <w:rFonts w:ascii="Times New Roman" w:cs="Times New Roman" w:eastAsia="Times New Roman" w:hAnsi="Times New Roman"/>
          <w:sz w:val="22"/>
          <w:szCs w:val="22"/>
          <w:color w:val="auto"/>
        </w:rPr>
        <w:t>. Revenue is recognized when (or as) the Company transfers promised goods or services to its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customers in amounts that reflect the consideration to which the Company expects to be entitled to in exchange for those goods or services, which occurs when (or as) the Company satisfies its contractual obligations and transfers over control of the promised goods or services to its customers. The Company recognizes revenue net of sales taxes based on its estimates of the consideration the Company expects to receive. Costs to obtain or fulfill a contract are expensed as incurred.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0" w:name="page11"/>
    <w:bookmarkEnd w:id="10"/>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 From time to time, the Company may also participate in pooling arrangements. In a pooling arrangement, the time charter revenues of certain of the Company’s vessels are shared with the time charter revenues of certain vessels of similar type owned by non-affiliated vessel owners based upon an agreed formula.</w:t>
      </w:r>
    </w:p>
    <w:p>
      <w:pPr>
        <w:spacing w:after="0" w:line="15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Contract or charter durations may range from several days to several years. Charters vary in length from short-term to multi-year periods, many with cancellation clauses and without early termination penalties. As a result of options and frequent renewals, the stated duration of charters may have little correlation with the length of time the vessel is contracted to provide services to a particular customer.</w:t>
      </w:r>
    </w:p>
    <w:p>
      <w:pPr>
        <w:spacing w:after="0" w:line="14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Company also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efforts to provide the agreed management services as agents for and on behalf of the owners in accordance with sound ship management practice and to protect and promote the interest of the owners in all matters relating to the provision of services thereunder. The Company also contracts with various customers to carry out management services regarding engineering for vessel construction and vessel conversions.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spacing w:after="0" w:line="13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Revenue that does not meet these criteria is deferred until the criteria is met and is considered a contract liability and is recognized as such. Contract liabilities, which are included in deferred revenue and unearned revenue in the accompanying consolidated balance sheets, for the six months ended June 30, 2022 and six months ended June 30, 2021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Revenues deferred during the period</w:t>
            </w:r>
          </w:p>
        </w:tc>
        <w:tc>
          <w:tcPr>
            <w:tcW w:w="1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Revenues recognized and reclassifications during the period</w:t>
            </w:r>
          </w:p>
        </w:tc>
        <w:tc>
          <w:tcPr>
            <w:tcW w:w="1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(321)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(1,374)</w:t>
            </w:r>
          </w:p>
        </w:tc>
      </w:tr>
      <w:tr>
        <w:trPr>
          <w:trHeight w:val="207"/>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2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of June 30, 2022, the Company had no deferred revenues. As of June 30, 2022 and December 31, 2021, the Company had unearned revenue $1.4 million and $1.3 million, respectively, primarily related to mobilizations of vessels. The Company recorded $1.1 million of unearned revenue related to new contract agreements and recognized previously recorded unearned revenue of $1.0 million during the six months ended June 30, 2022.</w:t>
      </w:r>
    </w:p>
    <w:p>
      <w:pPr>
        <w:spacing w:after="0" w:line="147"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Cash and Cash Equivalents. </w:t>
      </w:r>
      <w:r>
        <w:rPr>
          <w:rFonts w:ascii="Times New Roman" w:cs="Times New Roman" w:eastAsia="Times New Roman" w:hAnsi="Times New Roman"/>
          <w:sz w:val="22"/>
          <w:szCs w:val="22"/>
          <w:color w:val="auto"/>
        </w:rPr>
        <w:t>The Company considers all highly liquid investments, with an original maturity of three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months or less from the date purchased, to be cash equivalents.</w:t>
      </w:r>
    </w:p>
    <w:p>
      <w:pPr>
        <w:spacing w:after="0" w:line="1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Restricted Cash. </w:t>
      </w:r>
      <w:r>
        <w:rPr>
          <w:rFonts w:ascii="Times New Roman" w:cs="Times New Roman" w:eastAsia="Times New Roman" w:hAnsi="Times New Roman"/>
          <w:sz w:val="22"/>
          <w:szCs w:val="22"/>
          <w:color w:val="auto"/>
        </w:rPr>
        <w:t>Restricted cash primarily relates to banking facility requirements.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Trade and Other Receivables. </w:t>
      </w:r>
      <w:r>
        <w:rPr>
          <w:rFonts w:ascii="Times New Roman" w:cs="Times New Roman" w:eastAsia="Times New Roman" w:hAnsi="Times New Roman"/>
          <w:sz w:val="22"/>
          <w:szCs w:val="22"/>
          <w:color w:val="auto"/>
        </w:rPr>
        <w:t>Customers are primarily major integrated national and international oil companies and</w:t>
      </w:r>
    </w:p>
    <w:p>
      <w:pPr>
        <w:spacing w:after="0" w:line="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large independent oil and natural gas exploration and production companies. Customers are granted credit on a short-term basis and the related credit risks are minimal. Other receivables consist primarily of operating expenses the Company incurs in relation to vessels it manages for other entities, as well as insurance and income tax receivables. The Company routinely reviews its receivables and makes provisions for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1" w:name="page12"/>
    <w:bookmarkEnd w:id="11"/>
    <w:p>
      <w:pPr>
        <w:jc w:val="both"/>
        <w:spacing w:after="0" w:line="238" w:lineRule="auto"/>
        <w:rPr>
          <w:sz w:val="20"/>
          <w:szCs w:val="20"/>
          <w:color w:val="auto"/>
        </w:rPr>
      </w:pPr>
      <w:r>
        <w:rPr>
          <w:rFonts w:ascii="Times New Roman" w:cs="Times New Roman" w:eastAsia="Times New Roman" w:hAnsi="Times New Roman"/>
          <w:sz w:val="22"/>
          <w:szCs w:val="22"/>
          <w:color w:val="auto"/>
        </w:rPr>
        <w:t>the credit losses utilizing the Current Expected Credit Losses model (“CECL”). The CECL model utilizes a lifetime expected credit loss measurement objective for the recognition of credit losses for loans and other receivables at the time the financial asset is originated or acquired. However, those provisions are estimates and actual results may materially differ from those estimates. Trade receivables are deemed uncollectible and are removed from accounts receivable and the allowance for credit losses when collection efforts have been exhausted.</w:t>
      </w:r>
    </w:p>
    <w:p>
      <w:pPr>
        <w:spacing w:after="0" w:line="14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Property and Equipment. </w:t>
      </w:r>
      <w:r>
        <w:rPr>
          <w:rFonts w:ascii="Times New Roman" w:cs="Times New Roman" w:eastAsia="Times New Roman" w:hAnsi="Times New Roman"/>
          <w:sz w:val="22"/>
          <w:szCs w:val="22"/>
          <w:color w:val="auto"/>
        </w:rPr>
        <w:t>Equipment, stated at cost, is depreciated using the straight-line method over the estimated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useful 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vessels that have already exceeded the Company’s useful life policy, in which case the Company depreciates such assets based on its best estimate of remaining useful life, typically the next survey or certification date. As of June 30, 2022, the estimated useful life (in years) of the Company’s new Offshore Support Vessels was 20 years.</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Certain interest costs incurred during the construction of equipment are capitalized as part of the assets’ carrying values and are amortized over such assets estimated useful lives. There was no capitalized interest recognized during the six months ended June 30, 2022. During the six months ended June 30, 2021 capitalized interest totaled $0.3 million.</w:t>
      </w:r>
    </w:p>
    <w:p>
      <w:pPr>
        <w:spacing w:after="0" w:line="16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Impairment of Long-Lived Assets. </w:t>
      </w:r>
      <w:r>
        <w:rPr>
          <w:rFonts w:ascii="Times New Roman" w:cs="Times New Roman" w:eastAsia="Times New Roman" w:hAnsi="Times New Roman"/>
          <w:sz w:val="22"/>
          <w:szCs w:val="22"/>
          <w:color w:val="auto"/>
        </w:rPr>
        <w:t>The Company performs an impairment analysis of long-lived assets used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operations, including 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21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For the six months ended June 30, 2022, the Company recorded impairment charges of $0.9 million for one fast support vessel (“FSV”) classified as held for sale during the first quarter of 2022 and sold during the second quarter of 2022. There were no impairments of other owned or leased-in vessels. For the six months ended June 30, 2021, the Company did not record an impairment on any owned or leased-in vessels. Estimated fair values for the Company owned vessels were established by independent appraisers based on researched market information, replacement cost information and other data.</w:t>
      </w:r>
    </w:p>
    <w:p>
      <w:pPr>
        <w:spacing w:after="0" w:line="13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For vessel classes and individual vessels with indicators of impairment as of June 30, 2022, the Company estimated that their future undiscounted cash flows exceeded their current carrying values. However, the Company’s estimates of future undiscounted cash flows are highly subjective as utilization and rates per day worked are uncertain, especially in light of the continued volatility in commodity prices, as well as the timing and cost of reactivating cold-stacked vessels. If market conditions continue to decline, changes in the Company’s expectations on future cash flows may result in recognizing additional impairment charges related to its long-lived assets in future periods. For any vessel or vessel class that has indicators of impairment and is deemed not recoverable through future operations, the Company determines the fair value of the vessel or vessel class. If the fair value determination is less than the carrying value of the vessel or vessel class, an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22"/>
          <w:szCs w:val="22"/>
          <w:color w:val="auto"/>
        </w:rPr>
        <w:t>impairment is recognized to reduce the carrying value to fair value. Fair value determination is primarily accomplished by obtaining independent valuations of vessel or vessel classes from qualified third-party appraisers.</w:t>
      </w:r>
    </w:p>
    <w:p>
      <w:pPr>
        <w:spacing w:after="0" w:line="12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Impairment of </w:t>
      </w:r>
      <w:r>
        <w:rPr>
          <w:rFonts w:ascii="Times New Roman" w:cs="Times New Roman" w:eastAsia="Times New Roman" w:hAnsi="Times New Roman"/>
          <w:sz w:val="22"/>
          <w:szCs w:val="22"/>
          <w:b w:val="1"/>
          <w:bCs w:val="1"/>
          <w:color w:val="auto"/>
        </w:rPr>
        <w:t>50%</w:t>
      </w:r>
      <w:r>
        <w:rPr>
          <w:rFonts w:ascii="Times New Roman" w:cs="Times New Roman" w:eastAsia="Times New Roman" w:hAnsi="Times New Roman"/>
          <w:sz w:val="22"/>
          <w:szCs w:val="22"/>
          <w:b w:val="1"/>
          <w:bCs w:val="1"/>
          <w:i w:val="1"/>
          <w:iCs w:val="1"/>
          <w:color w:val="auto"/>
        </w:rPr>
        <w:t xml:space="preserve"> or Less Owned Companies. </w:t>
      </w:r>
      <w:r>
        <w:rPr>
          <w:rFonts w:ascii="Times New Roman" w:cs="Times New Roman" w:eastAsia="Times New Roman" w:hAnsi="Times New Roman"/>
          <w:sz w:val="22"/>
          <w:szCs w:val="22"/>
          <w:color w:val="auto"/>
        </w:rPr>
        <w:t>Investments in 50% or less owned companies are reviewed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periodically 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six months ended June 30, 2022 and 2021, the Company did not recognize any impairment charges related to its 50% or less owned companies.</w:t>
      </w:r>
    </w:p>
    <w:p>
      <w:pPr>
        <w:spacing w:after="0" w:line="135" w:lineRule="exact"/>
        <w:rPr>
          <w:sz w:val="20"/>
          <w:szCs w:val="20"/>
          <w:color w:val="auto"/>
        </w:rPr>
      </w:pPr>
    </w:p>
    <w:p>
      <w:pPr>
        <w:jc w:val="both"/>
        <w:ind w:firstLine="749"/>
        <w:spacing w:after="0" w:line="2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Income Taxes. </w:t>
      </w:r>
      <w:r>
        <w:rPr>
          <w:rFonts w:ascii="Times New Roman" w:cs="Times New Roman" w:eastAsia="Times New Roman" w:hAnsi="Times New Roman"/>
          <w:sz w:val="21"/>
          <w:szCs w:val="21"/>
          <w:color w:val="auto"/>
        </w:rPr>
        <w:t>During the six months ended June 30, 2022, the Company’s effective income tax rate of 9.20% was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primarily due to foreign taxes not creditable against U.S. income taxes and foreign losses for which there is no benefit in the U.S.</w:t>
      </w:r>
    </w:p>
    <w:p>
      <w:pPr>
        <w:spacing w:after="0" w:line="82"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Accumulated Other Comprehensive Income (Loss). </w:t>
      </w:r>
      <w:r>
        <w:rPr>
          <w:rFonts w:ascii="Times New Roman" w:cs="Times New Roman" w:eastAsia="Times New Roman" w:hAnsi="Times New Roman"/>
          <w:sz w:val="22"/>
          <w:szCs w:val="22"/>
          <w:color w:val="auto"/>
        </w:rPr>
        <w:t>The components of accumulated other comprehensive loss were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SEACOR Marine Holdings Inc.</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5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7"/>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Gains (Losses) on</w:t>
            </w:r>
          </w:p>
        </w:tc>
        <w:tc>
          <w:tcPr>
            <w:tcW w:w="18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Total Other</w:t>
            </w:r>
          </w:p>
        </w:tc>
      </w:tr>
      <w:tr>
        <w:trPr>
          <w:trHeight w:val="203"/>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18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Comprehensive</w:t>
            </w:r>
          </w:p>
        </w:tc>
      </w:tr>
      <w:tr>
        <w:trPr>
          <w:trHeight w:val="215"/>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Hedges, net</w:t>
            </w:r>
          </w:p>
        </w:tc>
        <w:tc>
          <w:tcPr>
            <w:tcW w:w="18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Income</w:t>
            </w:r>
          </w:p>
        </w:tc>
      </w:tr>
      <w:tr>
        <w:trPr>
          <w:trHeight w:val="213"/>
        </w:trPr>
        <w:tc>
          <w:tcPr>
            <w:tcW w:w="5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2021</w:t>
            </w: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10,783</w:t>
            </w: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20" w:type="dxa"/>
            <w:vAlign w:val="bottom"/>
          </w:tcPr>
          <w:p>
            <w:pPr>
              <w:spacing w:after="0"/>
              <w:rPr>
                <w:sz w:val="18"/>
                <w:szCs w:val="18"/>
                <w:color w:val="auto"/>
              </w:rPr>
            </w:pPr>
          </w:p>
        </w:tc>
        <w:tc>
          <w:tcPr>
            <w:tcW w:w="17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(4,563)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(2,095)</w:t>
            </w:r>
          </w:p>
        </w:tc>
      </w:tr>
      <w:tr>
        <w:trPr>
          <w:trHeight w:val="210"/>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Earnings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Loss) Per Share. </w:t>
      </w:r>
      <w:r>
        <w:rPr>
          <w:rFonts w:ascii="Times New Roman" w:cs="Times New Roman" w:eastAsia="Times New Roman" w:hAnsi="Times New Roman"/>
          <w:sz w:val="22"/>
          <w:szCs w:val="22"/>
          <w:color w:val="auto"/>
        </w:rPr>
        <w:t>Basic earnings/loss per share of Common Stock of the Company is computed based on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weighted average number of shares of Common Stock and warrants to purchase Common Stock at an exercise price of $0.01 per share (“Warrants”) issued and outstanding during the relevant periods. The Warrants are included in the basic earnings/loss per share of Common Stock because the shares issuable upon exercise of the Warrants are issuable for de minimis cash consideration and therefore not anti-dilutive. Diluted earnings/loss per share of Common Stock is computed based on the weighted average number of shares of Common Stock and Warrants issued and outstanding plus the effect of other potentially dilutive securities through the application of the treasury stock method and the if-converted method that assumes all shares of Common Stock have been issued and outstanding during the relevant periods pursuant to the conversion of the Convertible Senior Notes (as defined in “Note 4. Long-Term Debt”) unless anti-dilutive.</w:t>
      </w:r>
    </w:p>
    <w:p>
      <w:pPr>
        <w:spacing w:after="0" w:line="11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Company’s Convertible Senior Notes (“Convertible Senior Notes”) are currently convertible into 2,907,500 shares of Common Stock. For the three and six months ended June 30, 2022, diluted loss per share of Common Stock excluded 2,907,500 issuable upon conversion of the Convertible Senior Notes and exercise of the related Warrants as the effect of their inclusion in the computation would be anti-dilutive.</w:t>
      </w:r>
    </w:p>
    <w:p>
      <w:pPr>
        <w:spacing w:after="0" w:line="11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For the three months ended June 30, 2021, diluted earnings per share of Common Stock included 2,907,500 of the Convertible Senior Note Shares as the effect of their inclusion in the computation would be dilutive. For the six months ended June 30, 2021, diluted earnings per share of Common Stock excluded 2,907,500 of the Convertible Senior Note Shares as the effect of their inclusion in the computation would be antidilutive. The number of shares of Common Stock issuable upon conversion of the Convertible Senior Notes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3" w:name="page14"/>
    <w:bookmarkEnd w:id="13"/>
    <w:p>
      <w:pPr>
        <w:jc w:val="both"/>
        <w:spacing w:after="0" w:line="244" w:lineRule="auto"/>
        <w:rPr>
          <w:sz w:val="20"/>
          <w:szCs w:val="20"/>
          <w:color w:val="auto"/>
        </w:rPr>
      </w:pPr>
      <w:r>
        <w:rPr>
          <w:rFonts w:ascii="Times New Roman" w:cs="Times New Roman" w:eastAsia="Times New Roman" w:hAnsi="Times New Roman"/>
          <w:sz w:val="22"/>
          <w:szCs w:val="22"/>
          <w:color w:val="auto"/>
        </w:rPr>
        <w:t>and exercise of the related Warrants excluded from the calculation of diluted earnings/loss per share was incorrectly reported in certain prior periods as 2,183,708. This number of shares was adjusted in the period ended June 30, 2021 following revisions to the calculation.</w:t>
      </w:r>
    </w:p>
    <w:p>
      <w:pPr>
        <w:spacing w:after="0" w:line="1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addition, for the three and six months ended June 30, 2022 diluted loss per share of Common Stock excluded 1,648,707 shares of restricted stock and 1,026,865 shares of Common Stock issuable upon exercise of outstanding stock options as the effect of their inclusion in the computation would be anti-dilutive.</w:t>
      </w:r>
    </w:p>
    <w:p>
      <w:pPr>
        <w:spacing w:after="0" w:line="9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For the three and six months ended June 30, 2021, diluted earnings per share of Common Stock included 2,294 and 813 shares of restricted stock, respectively, as their inclusion in the computation would be dilutive. For the three and six months ended June 30, 2021 diluted earnings per share of Common Stock excluded 1,134,947 and 1,136,428 shares of restricted stock, respectively, and 1,123,041 share of stock issuable upon exercise of outstanding stock options as their inclusion in the computation would be anti-dilutive.</w:t>
      </w:r>
    </w:p>
    <w:p>
      <w:pPr>
        <w:spacing w:after="0" w:line="10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Subsequent events. </w:t>
      </w:r>
      <w:r>
        <w:rPr>
          <w:rFonts w:ascii="Times New Roman" w:cs="Times New Roman" w:eastAsia="Times New Roman" w:hAnsi="Times New Roman"/>
          <w:sz w:val="22"/>
          <w:szCs w:val="22"/>
          <w:color w:val="auto"/>
        </w:rPr>
        <w:t>The Company has evaluated subsequent events through August 3, 2022</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date the financial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statements were issued. Any material subsequent events that occurred during this time have been properly recognized and/or disclosed in these financial statements.</w:t>
      </w:r>
    </w:p>
    <w:p>
      <w:pPr>
        <w:spacing w:after="0" w:line="166"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22"/>
          <w:szCs w:val="22"/>
          <w:b w:val="1"/>
          <w:bCs w:val="1"/>
          <w:color w:val="222222"/>
        </w:rPr>
      </w:pPr>
      <w:r>
        <w:rPr>
          <w:rFonts w:ascii="Times New Roman" w:cs="Times New Roman" w:eastAsia="Times New Roman" w:hAnsi="Times New Roman"/>
          <w:sz w:val="22"/>
          <w:szCs w:val="22"/>
          <w:b w:val="1"/>
          <w:bCs w:val="1"/>
          <w:color w:val="222222"/>
        </w:rPr>
        <w:t>EQUIPMENT ACQUISITIONS AND DISPOSITIONS</w:t>
      </w:r>
    </w:p>
    <w:p>
      <w:pPr>
        <w:spacing w:after="0" w:line="237" w:lineRule="exact"/>
        <w:rPr>
          <w:sz w:val="20"/>
          <w:szCs w:val="20"/>
          <w:color w:val="auto"/>
        </w:rPr>
      </w:pPr>
    </w:p>
    <w:p>
      <w:pPr>
        <w:jc w:val="both"/>
        <w:ind w:firstLine="510"/>
        <w:spacing w:after="0" w:line="235" w:lineRule="auto"/>
        <w:rPr>
          <w:sz w:val="20"/>
          <w:szCs w:val="20"/>
          <w:color w:val="auto"/>
        </w:rPr>
      </w:pPr>
      <w:r>
        <w:rPr>
          <w:rFonts w:ascii="Times New Roman" w:cs="Times New Roman" w:eastAsia="Times New Roman" w:hAnsi="Times New Roman"/>
          <w:sz w:val="22"/>
          <w:szCs w:val="22"/>
          <w:color w:val="222222"/>
        </w:rPr>
        <w:t xml:space="preserve">During the six months ended </w:t>
      </w:r>
      <w:r>
        <w:rPr>
          <w:rFonts w:ascii="Times New Roman" w:cs="Times New Roman" w:eastAsia="Times New Roman" w:hAnsi="Times New Roman"/>
          <w:sz w:val="22"/>
          <w:szCs w:val="22"/>
          <w:color w:val="000000"/>
        </w:rPr>
        <w:t>June 30</w:t>
      </w:r>
      <w:r>
        <w:rPr>
          <w:rFonts w:ascii="Times New Roman" w:cs="Times New Roman" w:eastAsia="Times New Roman" w:hAnsi="Times New Roman"/>
          <w:sz w:val="22"/>
          <w:szCs w:val="22"/>
          <w:color w:val="222222"/>
        </w:rPr>
        <w:t xml:space="preserve">, 2022, capital expenditures were less than </w:t>
      </w:r>
      <w:r>
        <w:rPr>
          <w:rFonts w:ascii="Times New Roman" w:cs="Times New Roman" w:eastAsia="Times New Roman" w:hAnsi="Times New Roman"/>
          <w:sz w:val="22"/>
          <w:szCs w:val="22"/>
          <w:color w:val="000000"/>
        </w:rPr>
        <w:t>$0.1 million.</w:t>
      </w:r>
      <w:r>
        <w:rPr>
          <w:rFonts w:ascii="Times New Roman" w:cs="Times New Roman" w:eastAsia="Times New Roman" w:hAnsi="Times New Roman"/>
          <w:sz w:val="22"/>
          <w:szCs w:val="22"/>
          <w:color w:val="222222"/>
        </w:rPr>
        <w:t xml:space="preserve"> T</w:t>
      </w:r>
      <w:r>
        <w:rPr>
          <w:rFonts w:ascii="Times New Roman" w:cs="Times New Roman" w:eastAsia="Times New Roman" w:hAnsi="Times New Roman"/>
          <w:sz w:val="22"/>
          <w:szCs w:val="22"/>
          <w:color w:val="000000"/>
        </w:rPr>
        <w:t>here were no e</w:t>
      </w:r>
      <w:r>
        <w:rPr>
          <w:rFonts w:ascii="Times New Roman" w:cs="Times New Roman" w:eastAsia="Times New Roman" w:hAnsi="Times New Roman"/>
          <w:sz w:val="22"/>
          <w:szCs w:val="22"/>
          <w:color w:val="222222"/>
        </w:rPr>
        <w:t xml:space="preserve">quipment deliveries during the six months ended </w:t>
      </w:r>
      <w:r>
        <w:rPr>
          <w:rFonts w:ascii="Times New Roman" w:cs="Times New Roman" w:eastAsia="Times New Roman" w:hAnsi="Times New Roman"/>
          <w:sz w:val="22"/>
          <w:szCs w:val="22"/>
          <w:color w:val="000000"/>
        </w:rPr>
        <w:t>June 30</w:t>
      </w:r>
      <w:r>
        <w:rPr>
          <w:rFonts w:ascii="Times New Roman" w:cs="Times New Roman" w:eastAsia="Times New Roman" w:hAnsi="Times New Roman"/>
          <w:sz w:val="22"/>
          <w:szCs w:val="22"/>
          <w:color w:val="222222"/>
        </w:rPr>
        <w:t xml:space="preserve">, 2022. </w:t>
      </w:r>
      <w:r>
        <w:rPr>
          <w:rFonts w:ascii="Times New Roman" w:cs="Times New Roman" w:eastAsia="Times New Roman" w:hAnsi="Times New Roman"/>
          <w:sz w:val="22"/>
          <w:szCs w:val="22"/>
          <w:color w:val="000000"/>
        </w:rPr>
        <w:t>During the six months ended June 30, 2022, the Company sold one FSV,</w:t>
      </w:r>
      <w:r>
        <w:rPr>
          <w:rFonts w:ascii="Times New Roman" w:cs="Times New Roman" w:eastAsia="Times New Roman" w:hAnsi="Times New Roman"/>
          <w:sz w:val="22"/>
          <w:szCs w:val="22"/>
          <w:color w:val="222222"/>
        </w:rPr>
        <w:t xml:space="preserve"> </w:t>
      </w:r>
      <w:r>
        <w:rPr>
          <w:rFonts w:ascii="Times New Roman" w:cs="Times New Roman" w:eastAsia="Times New Roman" w:hAnsi="Times New Roman"/>
          <w:sz w:val="22"/>
          <w:szCs w:val="22"/>
          <w:color w:val="000000"/>
        </w:rPr>
        <w:t xml:space="preserve">one liftboat, which was previously removed from service, office space and other equipment for net cash proceeds of $6.7 million, after transaction costs, and a gain of $2.2 million, which included impairment charges of $0.9 million for the FSV classified as held for sale during the first quarter of 2022 and sold during the second quarter of 2022. During the six months ended June 30, 2021, the Company sold one PSV and three FSVs and reduced $22.5 million of debt </w:t>
      </w:r>
      <w:r>
        <w:rPr>
          <w:rFonts w:ascii="Times New Roman" w:cs="Times New Roman" w:eastAsia="Times New Roman" w:hAnsi="Times New Roman"/>
          <w:sz w:val="22"/>
          <w:szCs w:val="22"/>
          <w:color w:val="222222"/>
        </w:rPr>
        <w:t>with hull and machinery insurance proceeds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222222"/>
        </w:rPr>
        <w:t xml:space="preserve">for the liftboat SEACOR Power of $25.0 million, for a total of </w:t>
      </w:r>
      <w:r>
        <w:rPr>
          <w:rFonts w:ascii="Times New Roman" w:cs="Times New Roman" w:eastAsia="Times New Roman" w:hAnsi="Times New Roman"/>
          <w:sz w:val="22"/>
          <w:szCs w:val="22"/>
          <w:color w:val="000000"/>
        </w:rPr>
        <w:t>$30.1 million and gains of $20.9 million.</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222222"/>
        </w:rPr>
        <w:t>As of January 12, 2021, the Company recognized a gain on the sale of Windcat Workboats Holdings Ltd. (“Windcat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22222"/>
        </w:rPr>
        <w:t>Workboats”) of approximately $22.8 million, calculated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12, 2021</w:t>
            </w:r>
          </w:p>
        </w:tc>
      </w:tr>
      <w:tr>
        <w:trPr>
          <w:trHeight w:val="213"/>
        </w:trPr>
        <w:tc>
          <w:tcPr>
            <w:tcW w:w="9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Proceeds Received</w:t>
            </w: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43,797</w:t>
            </w:r>
          </w:p>
        </w:tc>
        <w:tc>
          <w:tcPr>
            <w:tcW w:w="100" w:type="dxa"/>
            <w:vAlign w:val="bottom"/>
          </w:tcPr>
          <w:p>
            <w:pPr>
              <w:spacing w:after="0"/>
              <w:rPr>
                <w:sz w:val="18"/>
                <w:szCs w:val="18"/>
                <w:color w:val="auto"/>
              </w:rPr>
            </w:pPr>
          </w:p>
        </w:tc>
      </w:tr>
      <w:tr>
        <w:trPr>
          <w:trHeight w:val="219"/>
        </w:trPr>
        <w:tc>
          <w:tcPr>
            <w:tcW w:w="9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Transactions Fees and other Costs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shd w:val="clear" w:color="auto" w:fill="CFF0FC"/>
          </w:tcPr>
          <w:p>
            <w:pPr>
              <w:spacing w:after="0"/>
              <w:rPr>
                <w:sz w:val="19"/>
                <w:szCs w:val="19"/>
                <w:color w:val="auto"/>
              </w:rPr>
            </w:pPr>
          </w:p>
        </w:tc>
      </w:tr>
      <w:tr>
        <w:trPr>
          <w:trHeight w:val="213"/>
        </w:trPr>
        <w:tc>
          <w:tcPr>
            <w:tcW w:w="93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Cash Sold</w:t>
            </w: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100" w:type="dxa"/>
            <w:vAlign w:val="bottom"/>
            <w:tcBorders>
              <w:bottom w:val="single" w:sz="8" w:color="CFF0FC"/>
            </w:tcBorders>
          </w:tcPr>
          <w:p>
            <w:pPr>
              <w:spacing w:after="0"/>
              <w:rPr>
                <w:sz w:val="18"/>
                <w:szCs w:val="18"/>
                <w:color w:val="auto"/>
              </w:rPr>
            </w:pPr>
          </w:p>
        </w:tc>
      </w:tr>
      <w:tr>
        <w:trPr>
          <w:trHeight w:val="212"/>
        </w:trPr>
        <w:tc>
          <w:tcPr>
            <w:tcW w:w="9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Net Proceeds</w:t>
            </w: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38,715</w:t>
            </w:r>
          </w:p>
        </w:tc>
        <w:tc>
          <w:tcPr>
            <w:tcW w:w="100" w:type="dxa"/>
            <w:vAlign w:val="bottom"/>
            <w:shd w:val="clear" w:color="auto" w:fill="CFF0FC"/>
          </w:tcPr>
          <w:p>
            <w:pPr>
              <w:spacing w:after="0"/>
              <w:rPr>
                <w:sz w:val="18"/>
                <w:szCs w:val="18"/>
                <w:color w:val="auto"/>
              </w:rPr>
            </w:pPr>
          </w:p>
        </w:tc>
      </w:tr>
      <w:tr>
        <w:trPr>
          <w:trHeight w:val="207"/>
        </w:trPr>
        <w:tc>
          <w:tcPr>
            <w:tcW w:w="9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Less: Net Equity in Windcat Workboats, net of cash sold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15,790</w:t>
            </w:r>
          </w:p>
        </w:tc>
        <w:tc>
          <w:tcPr>
            <w:tcW w:w="100" w:type="dxa"/>
            <w:vAlign w:val="bottom"/>
          </w:tcPr>
          <w:p>
            <w:pPr>
              <w:spacing w:after="0"/>
              <w:rPr>
                <w:sz w:val="17"/>
                <w:szCs w:val="17"/>
                <w:color w:val="auto"/>
              </w:rPr>
            </w:pPr>
          </w:p>
        </w:tc>
      </w:tr>
      <w:tr>
        <w:trPr>
          <w:trHeight w:val="219"/>
        </w:trPr>
        <w:tc>
          <w:tcPr>
            <w:tcW w:w="9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Less: January Income on Discontinued Operations</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FF0FC"/>
          </w:tcPr>
          <w:p>
            <w:pPr>
              <w:spacing w:after="0"/>
              <w:rPr>
                <w:sz w:val="19"/>
                <w:szCs w:val="19"/>
                <w:color w:val="auto"/>
              </w:rPr>
            </w:pPr>
          </w:p>
        </w:tc>
      </w:tr>
      <w:tr>
        <w:trPr>
          <w:trHeight w:val="208"/>
        </w:trPr>
        <w:tc>
          <w:tcPr>
            <w:tcW w:w="93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Gain on Sale of Windcat Workboats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22,756</w:t>
            </w:r>
          </w:p>
        </w:tc>
        <w:tc>
          <w:tcPr>
            <w:tcW w:w="100" w:type="dxa"/>
            <w:vAlign w:val="bottom"/>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222222"/>
        </w:rPr>
        <w:t>See “Note 12. Discontinued Operations” for additional information on the sale of Windcat Workboats.</w:t>
      </w:r>
    </w:p>
    <w:p>
      <w:pPr>
        <w:spacing w:after="0" w:line="229"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INVESTMENTS, AT EQUITY AND ADVANCES TO 50% OR LESS OWNED </w:t>
      </w:r>
      <w:r>
        <w:rPr>
          <w:rFonts w:ascii="Times New Roman" w:cs="Times New Roman" w:eastAsia="Times New Roman" w:hAnsi="Times New Roman"/>
          <w:sz w:val="22"/>
          <w:szCs w:val="22"/>
          <w:b w:val="1"/>
          <w:bCs w:val="1"/>
          <w:color w:val="222222"/>
        </w:rPr>
        <w:t>COMPANIES</w:t>
      </w:r>
    </w:p>
    <w:p>
      <w:pPr>
        <w:spacing w:after="0" w:line="14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22"/>
          <w:szCs w:val="22"/>
          <w:color w:val="auto"/>
        </w:rPr>
        <w:t>Investments, at equity, and advances to 50% or less owned companies as of June 30, 2022 and December 31, 2021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Borders>
              <w:bottom w:val="single" w:sz="8" w:color="CFF0FC"/>
            </w:tcBorders>
          </w:tcPr>
          <w:p>
            <w:pPr>
              <w:spacing w:after="0"/>
              <w:rPr>
                <w:sz w:val="18"/>
                <w:szCs w:val="18"/>
                <w:color w:val="auto"/>
              </w:rPr>
            </w:pPr>
          </w:p>
        </w:tc>
        <w:tc>
          <w:tcPr>
            <w:tcW w:w="1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1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MexMar</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64,399</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59,940</w:t>
            </w:r>
          </w:p>
        </w:tc>
        <w:tc>
          <w:tcPr>
            <w:tcW w:w="100" w:type="dxa"/>
            <w:vAlign w:val="bottom"/>
            <w:shd w:val="clear" w:color="auto" w:fill="CFF0FC"/>
          </w:tcPr>
          <w:p>
            <w:pPr>
              <w:spacing w:after="0"/>
              <w:rPr>
                <w:sz w:val="18"/>
                <w:szCs w:val="18"/>
                <w:color w:val="auto"/>
              </w:rPr>
            </w:pPr>
          </w:p>
        </w:tc>
      </w:tr>
      <w:tr>
        <w:trPr>
          <w:trHeight w:val="21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SEACOR Marlin</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00" w:type="dxa"/>
            <w:vAlign w:val="bottom"/>
          </w:tcPr>
          <w:p>
            <w:pPr>
              <w:spacing w:after="0"/>
              <w:rPr>
                <w:sz w:val="18"/>
                <w:szCs w:val="18"/>
                <w:color w:val="auto"/>
              </w:rPr>
            </w:pPr>
          </w:p>
        </w:tc>
      </w:tr>
      <w:tr>
        <w:trPr>
          <w:trHeight w:val="21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Offshore Vessel Holdings</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00" w:type="dxa"/>
            <w:vAlign w:val="bottom"/>
            <w:shd w:val="clear" w:color="auto" w:fill="CFF0FC"/>
          </w:tcPr>
          <w:p>
            <w:pPr>
              <w:spacing w:after="0"/>
              <w:rPr>
                <w:sz w:val="19"/>
                <w:szCs w:val="19"/>
                <w:color w:val="auto"/>
              </w:rPr>
            </w:pPr>
          </w:p>
        </w:tc>
      </w:tr>
      <w:tr>
        <w:trPr>
          <w:trHeight w:val="21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 - 50.0%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10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75,923</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71,727</w:t>
            </w: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ind w:left="760" w:hanging="752"/>
        <w:spacing w:after="0"/>
        <w:tabs>
          <w:tab w:leader="none" w:pos="7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LONG-TERM DEBT</w:t>
      </w:r>
    </w:p>
    <w:p>
      <w:pPr>
        <w:spacing w:after="0" w:line="169"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Company’s long-term debt obligations as of June 30, 2022 and December 31, 2021 were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5"/>
        </w:trPr>
        <w:tc>
          <w:tcPr>
            <w:tcW w:w="7720" w:type="dxa"/>
            <w:vAlign w:val="bottom"/>
          </w:tcPr>
          <w:p>
            <w:pPr>
              <w:spacing w:after="0" w:line="216" w:lineRule="exact"/>
              <w:rPr>
                <w:sz w:val="20"/>
                <w:szCs w:val="20"/>
                <w:color w:val="auto"/>
              </w:rPr>
            </w:pPr>
            <w:r>
              <w:rPr>
                <w:rFonts w:ascii="Times New Roman" w:cs="Times New Roman" w:eastAsia="Times New Roman" w:hAnsi="Times New Roman"/>
                <w:sz w:val="15"/>
                <w:szCs w:val="15"/>
                <w:i w:val="1"/>
                <w:iCs w:val="1"/>
                <w:color w:val="auto"/>
              </w:rPr>
              <w:t>Recourse long-term debt</w:t>
            </w: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5"/>
                <w:szCs w:val="15"/>
                <w:i w:val="1"/>
                <w:iCs w:val="1"/>
                <w:color w:val="auto"/>
              </w:rPr>
              <w:t>:</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Convertible Senior Notes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SEACOR Marine Foreign Holdings Credit Facility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86,470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Sea-Cat Crewzer III Term Loan Facility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19,178</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SEACOR Offshore Delta (f/k/a SEACOSCO) Acquisition Debt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18,705</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SEACOR Delta (f/k/a SEACOSCO) Shipyard Financing</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81,982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86,316</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SEACOR Alpine Shipyard Financing</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29,734</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SEACOR 88/888 Term Loan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Tarahumara Shipyard Financing</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SEACOR Offshore OSV</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17,323</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18,052</w:t>
            </w:r>
          </w:p>
        </w:tc>
        <w:tc>
          <w:tcPr>
            <w:tcW w:w="120" w:type="dxa"/>
            <w:vAlign w:val="bottom"/>
            <w:shd w:val="clear" w:color="auto" w:fill="CFF0FC"/>
          </w:tcPr>
          <w:p>
            <w:pPr>
              <w:spacing w:after="0"/>
              <w:rPr>
                <w:sz w:val="19"/>
                <w:szCs w:val="19"/>
                <w:color w:val="auto"/>
              </w:rPr>
            </w:pPr>
          </w:p>
        </w:tc>
      </w:tr>
      <w:tr>
        <w:trPr>
          <w:trHeight w:val="20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recourse long-term debt</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379,342</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395,455</w:t>
            </w:r>
          </w:p>
        </w:tc>
        <w:tc>
          <w:tcPr>
            <w:tcW w:w="120" w:type="dxa"/>
            <w:vAlign w:val="bottom"/>
            <w:tcBorders>
              <w:bottom w:val="single" w:sz="8" w:color="CFF0FC"/>
            </w:tcBorders>
          </w:tcPr>
          <w:p>
            <w:pPr>
              <w:spacing w:after="0"/>
              <w:rPr>
                <w:sz w:val="17"/>
                <w:szCs w:val="17"/>
                <w:color w:val="auto"/>
              </w:rPr>
            </w:pPr>
          </w:p>
        </w:tc>
      </w:tr>
      <w:tr>
        <w:trPr>
          <w:trHeight w:val="212"/>
        </w:trPr>
        <w:tc>
          <w:tcPr>
            <w:tcW w:w="7720" w:type="dxa"/>
            <w:vAlign w:val="bottom"/>
            <w:shd w:val="clear" w:color="auto" w:fill="CFF0FC"/>
          </w:tcPr>
          <w:p>
            <w:pPr>
              <w:spacing w:after="0" w:line="212" w:lineRule="exact"/>
              <w:rPr>
                <w:sz w:val="20"/>
                <w:szCs w:val="20"/>
                <w:color w:val="auto"/>
              </w:rPr>
            </w:pPr>
            <w:r>
              <w:rPr>
                <w:rFonts w:ascii="Times New Roman" w:cs="Times New Roman" w:eastAsia="Times New Roman" w:hAnsi="Times New Roman"/>
                <w:sz w:val="15"/>
                <w:szCs w:val="15"/>
                <w:i w:val="1"/>
                <w:iCs w:val="1"/>
                <w:color w:val="auto"/>
              </w:rPr>
              <w:t>Non-recourse long-term debt</w:t>
            </w:r>
            <w:r>
              <w:rPr>
                <w:rFonts w:ascii="Times New Roman" w:cs="Times New Roman" w:eastAsia="Times New Roman" w:hAnsi="Times New Roman"/>
                <w:sz w:val="24"/>
                <w:szCs w:val="24"/>
                <w:i w:val="1"/>
                <w:iCs w:val="1"/>
                <w:color w:val="auto"/>
                <w:vertAlign w:val="superscript"/>
              </w:rPr>
              <w:t>(2)</w:t>
            </w:r>
            <w:r>
              <w:rPr>
                <w:rFonts w:ascii="Times New Roman" w:cs="Times New Roman" w:eastAsia="Times New Roman" w:hAnsi="Times New Roman"/>
                <w:sz w:val="15"/>
                <w:szCs w:val="15"/>
                <w:i w:val="1"/>
                <w:iCs w:val="1"/>
                <w:color w:val="auto"/>
              </w:rPr>
              <w: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SEACOR 88/888 Term Loan</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tcBorders>
              <w:bottom w:val="single" w:sz="8" w:color="CFF0FC"/>
            </w:tcBorders>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non-recourse long-term debt</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shd w:val="clear" w:color="auto" w:fill="CFF0FC"/>
          </w:tcPr>
          <w:p>
            <w:pPr>
              <w:spacing w:after="0"/>
              <w:rPr>
                <w:sz w:val="18"/>
                <w:szCs w:val="18"/>
                <w:color w:val="auto"/>
              </w:rPr>
            </w:pPr>
          </w:p>
        </w:tc>
      </w:tr>
      <w:tr>
        <w:trPr>
          <w:trHeight w:val="20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principal due for long-term debt</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384,842</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400,955</w:t>
            </w:r>
          </w:p>
        </w:tc>
        <w:tc>
          <w:tcPr>
            <w:tcW w:w="120" w:type="dxa"/>
            <w:vAlign w:val="bottom"/>
            <w:tcBorders>
              <w:bottom w:val="single" w:sz="8" w:color="CFF0FC"/>
            </w:tcBorders>
          </w:tcPr>
          <w:p>
            <w:pPr>
              <w:spacing w:after="0"/>
              <w:rPr>
                <w:sz w:val="17"/>
                <w:szCs w:val="17"/>
                <w:color w:val="auto"/>
              </w:rPr>
            </w:pPr>
          </w:p>
        </w:tc>
      </w:tr>
      <w:tr>
        <w:trPr>
          <w:trHeight w:val="21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portion due within one year</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(33,398)</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(31,602)</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debt discount</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(29,971)</w:t>
            </w:r>
          </w:p>
        </w:tc>
        <w:tc>
          <w:tcPr>
            <w:tcW w:w="1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(33,398)</w:t>
            </w: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(2,774)</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(3,193)</w:t>
            </w:r>
          </w:p>
        </w:tc>
      </w:tr>
      <w:tr>
        <w:trPr>
          <w:trHeight w:val="207"/>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318,699</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332,762</w:t>
            </w:r>
          </w:p>
        </w:tc>
        <w:tc>
          <w:tcPr>
            <w:tcW w:w="12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line="269" w:lineRule="auto"/>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Recourse debt represents debt issued by SEACOR Marine and/or its subsidiaries and guaranteed by SEACOR Marine or one of its operating subsidiaries as provided in the relevant debt agreements.</w:t>
      </w:r>
    </w:p>
    <w:p>
      <w:pPr>
        <w:jc w:val="both"/>
        <w:ind w:left="380" w:hanging="372"/>
        <w:spacing w:after="0" w:line="276" w:lineRule="auto"/>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Non-recourse debt represents debt issued by one of the Company’s consolidated subsidiaries with no recourse to SEACOR Marine or its other non-debtor operating subsidiaries with respect to the applicable instrument, other than certain limited support obligations as provided in the respective debt agreements, which in aggregate are not considered to be material to the Company’s business and financial condition.</w:t>
      </w:r>
    </w:p>
    <w:p>
      <w:pPr>
        <w:spacing w:after="0" w:line="1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As of June 30, 2022, the Company was in compliance with all debt covenants and lender requirements.</w:t>
      </w:r>
    </w:p>
    <w:p>
      <w:pPr>
        <w:spacing w:after="0" w:line="16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SEACOR Marine Foreign Holdings Credit Facility. </w:t>
      </w:r>
      <w:r>
        <w:rPr>
          <w:rFonts w:ascii="Times New Roman" w:cs="Times New Roman" w:eastAsia="Times New Roman" w:hAnsi="Times New Roman"/>
          <w:sz w:val="22"/>
          <w:szCs w:val="22"/>
          <w:color w:val="auto"/>
        </w:rPr>
        <w:t>On June 15, 2022, SEACOR Marine, SEACOR Marine Foreign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Holdings Inc., a wholly owned subsidiary of SEACOR Marine (“SMFH”), and certain vessel-owning subsidiaries of SEACOR Marine, entered into Amendment No. 4 (“SMFH Amendment No. 4”) to that certain $130.0 million loan facility with a syndicate of lenders administered by DNB Bank ASA, New York Branch, dated as of September 26, 2018 and as amended on August 6, 2019, November 26, 2019, December 13, 2019 and June 29, 2020 (the “SMFH Credit Facility”), and in connection therewith SEACOR Marine entered into the Amended and Restated Guaranty, dated as of June 15, 2022, by SEACOR Marine in favor of DNB Bank ASA, New York Branch, as security trustee (the “A&amp;R SMFH Guaranty”).</w:t>
      </w:r>
    </w:p>
    <w:p>
      <w:pPr>
        <w:spacing w:after="0" w:line="14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SMFH Amendment No. 4 and the A&amp;R SMFH Guaranty provide for, among other things, (i) an increase in the Margin (as defined in the SMFH Credit Facility) from 3.75% per annum to 4.75% per annum through December 31, 2022 at which point the Margin will revert to 3.75% and (ii) the modification of certain financial maintenance and restrictive covenants contained in the A&amp;R SMFH Guaranty, including the amendment of the definition of Cash and Cash Equivalents (as defined in the A&amp;R SMFH Guaranty) to include 35% of the accounts receivable as reported in SEACOR Marine’s financial statements for the second, third and fourth quarter of fiscal year 2022 and to amend the interest coverage ratio through December 31, 2022.</w:t>
      </w:r>
    </w:p>
    <w:p>
      <w:pPr>
        <w:spacing w:after="0" w:line="14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A&amp;R SMFH Guaranty requires the Company to maintain a minimum balance of Cash and Cash Equivalents equal to the greater of (i) $35.0 million and (ii) 7.5% of Total Debt (as defined in the A&amp;R SMFH Guaranty). As of June 30, 2022, the Company's Cash and Cash Equivalents balance used to test compliance with this covenant was $45.3 million or 15.0% of Total Debt.</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SEACOR 88/888 Term Loan Facility. </w:t>
      </w:r>
      <w:r>
        <w:rPr>
          <w:rFonts w:ascii="Times New Roman" w:cs="Times New Roman" w:eastAsia="Times New Roman" w:hAnsi="Times New Roman"/>
          <w:sz w:val="21"/>
          <w:szCs w:val="21"/>
          <w:color w:val="auto"/>
        </w:rPr>
        <w:t>On August 2, 2022, SEACOR Marine, SEACOR Offshore Eight LLC, a wholly-</w:t>
      </w:r>
    </w:p>
    <w:p>
      <w:pPr>
        <w:spacing w:after="0" w:line="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owned subsidiary of SEACOR Marine, and certain vessel owning wholly-owned subsidiaries of SEACOR Marine, entered into the 2022 Amendment to Loan Agreement and Guaranty (the “2022 88/888 Amendment”) to that certain senior secured loan agreement, dated as of July 5, 2018, with DNB Bank ASA,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5" w:name="page16"/>
    <w:bookmarkEnd w:id="15"/>
    <w:p>
      <w:pPr>
        <w:jc w:val="both"/>
        <w:spacing w:after="0" w:line="236" w:lineRule="auto"/>
        <w:rPr>
          <w:sz w:val="20"/>
          <w:szCs w:val="20"/>
          <w:color w:val="auto"/>
        </w:rPr>
      </w:pPr>
      <w:r>
        <w:rPr>
          <w:rFonts w:ascii="Times New Roman" w:cs="Times New Roman" w:eastAsia="Times New Roman" w:hAnsi="Times New Roman"/>
          <w:sz w:val="22"/>
          <w:szCs w:val="22"/>
          <w:color w:val="auto"/>
        </w:rPr>
        <w:t>New York Branch and DNB Capital LLC (as amended, the “SEACOR 88/888 Term Loan”). The SEACOR 88/888 Term Loan is secured by two vessels and SEACOR Marine has provided a limited guaranty of such loan under which claims recoverable from SEACOR Marine shall not exceed the lesser of (x) $5.5 million and (y) 50% of the obligations outstanding at the time a claim is made thereunder. The 2022 88/888 Amendment provides for, among other things, (i) the extension of the maturity date of the SEACOR 88/888 Term Loan from June 29, 2023 to July 1, 2024, and (ii) the amendment of the applicable interest rate margin over SOFR from 3.75% to 4.75%.</w:t>
      </w:r>
    </w:p>
    <w:p>
      <w:pPr>
        <w:spacing w:after="0" w:line="148"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Letters of Credit</w:t>
      </w:r>
      <w:r>
        <w:rPr>
          <w:rFonts w:ascii="Times New Roman" w:cs="Times New Roman" w:eastAsia="Times New Roman" w:hAnsi="Times New Roman"/>
          <w:sz w:val="22"/>
          <w:szCs w:val="22"/>
          <w:color w:val="auto"/>
        </w:rPr>
        <w:t>. As of June 30, 2022, the Company had outstanding letters of credit of $1.1 million securing lease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obligations, labor and performance guaranties.</w:t>
      </w:r>
    </w:p>
    <w:p>
      <w:pPr>
        <w:spacing w:after="0" w:line="147" w:lineRule="exact"/>
        <w:rPr>
          <w:sz w:val="20"/>
          <w:szCs w:val="20"/>
          <w:color w:val="auto"/>
        </w:rPr>
      </w:pPr>
    </w:p>
    <w:p>
      <w:pPr>
        <w:ind w:left="760" w:hanging="752"/>
        <w:spacing w:after="0"/>
        <w:tabs>
          <w:tab w:leader="none" w:pos="76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LEASES</w:t>
      </w:r>
    </w:p>
    <w:p>
      <w:pPr>
        <w:spacing w:after="0" w:line="17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of June 30, 2022, the Company leased-in two anchor handling towing supply (“AHTS”) vessels, one FSV, and certain facilities and other equipment. The leases typically contain purchase and renewal options or rights of first refusal with respect to the sale or lease of the equipment. As of June 30, 2022, the remaining lease terms of the vessels had a duration ranging from 9 to 57 months. The lease terms of certain facilities and other equipment range in duration from 5 to 294 months.</w:t>
      </w:r>
    </w:p>
    <w:p>
      <w:pPr>
        <w:spacing w:after="0" w:line="14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As of June 30, 2022, future minimum payments for leases for the remainder of 2022 and the years ended December 31, noted below, were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0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13"/>
        </w:trPr>
        <w:tc>
          <w:tcPr>
            <w:tcW w:w="7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Remainder of 2022</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shd w:val="clear" w:color="auto" w:fill="CFF0FC"/>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shd w:val="clear" w:color="auto" w:fill="CFF0FC"/>
          </w:tcPr>
          <w:p>
            <w:pPr>
              <w:spacing w:after="0"/>
              <w:rPr>
                <w:sz w:val="19"/>
                <w:szCs w:val="19"/>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Years subsequent to 2026</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4,659</w:t>
            </w:r>
          </w:p>
        </w:tc>
        <w:tc>
          <w:tcPr>
            <w:tcW w:w="120" w:type="dxa"/>
            <w:vAlign w:val="bottom"/>
            <w:tcBorders>
              <w:bottom w:val="single" w:sz="8" w:color="CFF0FC"/>
            </w:tcBorders>
          </w:tcPr>
          <w:p>
            <w:pPr>
              <w:spacing w:after="0"/>
              <w:rPr>
                <w:sz w:val="18"/>
                <w:szCs w:val="18"/>
                <w:color w:val="auto"/>
              </w:rPr>
            </w:pPr>
          </w:p>
        </w:tc>
      </w:tr>
      <w:tr>
        <w:trPr>
          <w:trHeight w:val="212"/>
        </w:trPr>
        <w:tc>
          <w:tcPr>
            <w:tcW w:w="7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8,471</w:t>
            </w:r>
          </w:p>
        </w:tc>
        <w:tc>
          <w:tcPr>
            <w:tcW w:w="120" w:type="dxa"/>
            <w:vAlign w:val="bottom"/>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Interest component</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(1,863)</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(1,139)</w:t>
            </w:r>
          </w:p>
        </w:tc>
      </w:tr>
      <w:tr>
        <w:trPr>
          <w:trHeight w:val="212"/>
        </w:trPr>
        <w:tc>
          <w:tcPr>
            <w:tcW w:w="7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6,036</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Current portion of long-term lease liabilities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Borders>
              <w:bottom w:val="single" w:sz="8" w:color="CFF0FC"/>
            </w:tcBorders>
          </w:tcPr>
          <w:p>
            <w:pPr>
              <w:spacing w:after="0"/>
              <w:rPr>
                <w:sz w:val="18"/>
                <w:szCs w:val="18"/>
                <w:color w:val="auto"/>
              </w:rPr>
            </w:pPr>
          </w:p>
        </w:tc>
      </w:tr>
      <w:tr>
        <w:trPr>
          <w:trHeight w:val="209"/>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4,026</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six months ended June 30, 2022 and 2021 the components of lease expense were as follows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20" w:type="dxa"/>
            <w:vAlign w:val="bottom"/>
          </w:tcPr>
          <w:p>
            <w:pPr>
              <w:spacing w:after="0"/>
              <w:rPr>
                <w:sz w:val="18"/>
                <w:szCs w:val="18"/>
                <w:color w:val="auto"/>
              </w:rPr>
            </w:pPr>
          </w:p>
        </w:tc>
        <w:tc>
          <w:tcPr>
            <w:tcW w:w="2540" w:type="dxa"/>
            <w:vAlign w:val="bottom"/>
            <w:gridSpan w:val="5"/>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5920" w:type="dxa"/>
            <w:vAlign w:val="bottom"/>
            <w:tcBorders>
              <w:bottom w:val="single" w:sz="8" w:color="CFF0FC"/>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r>
      <w:tr>
        <w:trPr>
          <w:trHeight w:val="24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76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00" w:type="dxa"/>
            <w:vAlign w:val="bottom"/>
            <w:shd w:val="clear" w:color="auto" w:fill="CFF0FC"/>
          </w:tcPr>
          <w:p>
            <w:pPr>
              <w:spacing w:after="0"/>
              <w:rPr>
                <w:sz w:val="20"/>
                <w:szCs w:val="20"/>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cost:</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5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920" w:type="dxa"/>
            <w:vAlign w:val="bottom"/>
            <w:shd w:val="clear" w:color="auto" w:fill="CFF0FC"/>
          </w:tcPr>
          <w:p>
            <w:pPr>
              <w:ind w:left="260"/>
              <w:spacing w:after="0" w:line="242" w:lineRule="exact"/>
              <w:rPr>
                <w:sz w:val="20"/>
                <w:szCs w:val="20"/>
                <w:color w:val="auto"/>
              </w:rPr>
            </w:pPr>
            <w:r>
              <w:rPr>
                <w:rFonts w:ascii="Times New Roman" w:cs="Times New Roman" w:eastAsia="Times New Roman" w:hAnsi="Times New Roman"/>
                <w:sz w:val="16"/>
                <w:szCs w:val="16"/>
                <w:color w:val="auto"/>
              </w:rPr>
              <w:t xml:space="preserve">Amortization of finance lease assets </w:t>
            </w:r>
            <w:r>
              <w:rPr>
                <w:rFonts w:ascii="Times New Roman" w:cs="Times New Roman" w:eastAsia="Times New Roman" w:hAnsi="Times New Roman"/>
                <w:sz w:val="27"/>
                <w:szCs w:val="27"/>
                <w:color w:val="auto"/>
                <w:vertAlign w:val="superscript"/>
              </w:rPr>
              <w:t>(1)</w:t>
            </w: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Pr>
          <w:p>
            <w:pPr>
              <w:ind w:left="260"/>
              <w:spacing w:after="0" w:line="242" w:lineRule="exact"/>
              <w:rPr>
                <w:sz w:val="20"/>
                <w:szCs w:val="20"/>
                <w:color w:val="auto"/>
              </w:rPr>
            </w:pPr>
            <w:r>
              <w:rPr>
                <w:rFonts w:ascii="Times New Roman" w:cs="Times New Roman" w:eastAsia="Times New Roman" w:hAnsi="Times New Roman"/>
                <w:sz w:val="16"/>
                <w:szCs w:val="16"/>
                <w:color w:val="auto"/>
              </w:rPr>
              <w:t xml:space="preserve">Interest on finance lease liabilities </w:t>
            </w:r>
            <w:r>
              <w:rPr>
                <w:rFonts w:ascii="Times New Roman" w:cs="Times New Roman" w:eastAsia="Times New Roman" w:hAnsi="Times New Roman"/>
                <w:sz w:val="27"/>
                <w:szCs w:val="27"/>
                <w:color w:val="auto"/>
                <w:vertAlign w:val="superscript"/>
              </w:rPr>
              <w:t>(2)</w:t>
            </w: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1"/>
                <w:szCs w:val="21"/>
                <w:color w:val="auto"/>
              </w:rPr>
            </w:pPr>
          </w:p>
        </w:tc>
      </w:tr>
      <w:tr>
        <w:trPr>
          <w:trHeight w:val="25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Short-term lease costs</w:t>
            </w:r>
          </w:p>
        </w:tc>
        <w:tc>
          <w:tcPr>
            <w:tcW w:w="760" w:type="dxa"/>
            <w:vAlign w:val="bottom"/>
            <w:tcBorders>
              <w:bottom w:val="single" w:sz="8" w:color="auto"/>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2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20" w:type="dxa"/>
            <w:vAlign w:val="bottom"/>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FF0FC"/>
          </w:tcPr>
          <w:p>
            <w:pPr>
              <w:spacing w:after="0"/>
              <w:rPr>
                <w:sz w:val="22"/>
                <w:szCs w:val="22"/>
                <w:color w:val="auto"/>
              </w:rPr>
            </w:pPr>
          </w:p>
        </w:tc>
      </w:tr>
      <w:tr>
        <w:trPr>
          <w:trHeight w:val="237"/>
        </w:trPr>
        <w:tc>
          <w:tcPr>
            <w:tcW w:w="5920" w:type="dxa"/>
            <w:vAlign w:val="bottom"/>
          </w:tcPr>
          <w:p>
            <w:pPr>
              <w:spacing w:after="0"/>
              <w:rPr>
                <w:sz w:val="20"/>
                <w:szCs w:val="20"/>
                <w:color w:val="auto"/>
              </w:rPr>
            </w:pP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1,247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220" w:type="dxa"/>
            <w:vAlign w:val="bottom"/>
          </w:tcPr>
          <w:p>
            <w:pPr>
              <w:spacing w:after="0"/>
              <w:rPr>
                <w:sz w:val="20"/>
                <w:szCs w:val="20"/>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840" w:hanging="832"/>
        <w:spacing w:after="0"/>
        <w:tabs>
          <w:tab w:leader="none" w:pos="8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Included in amortization costs in the consolidated statements of income (loss)</w:t>
      </w:r>
      <w:r>
        <w:rPr>
          <w:rFonts w:ascii="Times New Roman" w:cs="Times New Roman" w:eastAsia="Times New Roman" w:hAnsi="Times New Roman"/>
          <w:sz w:val="17"/>
          <w:szCs w:val="17"/>
          <w:color w:val="auto"/>
        </w:rPr>
        <w:t>.</w:t>
      </w:r>
    </w:p>
    <w:p>
      <w:pPr>
        <w:spacing w:after="0" w:line="38" w:lineRule="exact"/>
        <w:rPr>
          <w:rFonts w:ascii="Times New Roman" w:cs="Times New Roman" w:eastAsia="Times New Roman" w:hAnsi="Times New Roman"/>
          <w:sz w:val="15"/>
          <w:szCs w:val="15"/>
          <w:color w:val="auto"/>
        </w:rPr>
      </w:pPr>
    </w:p>
    <w:p>
      <w:pPr>
        <w:ind w:left="840" w:hanging="832"/>
        <w:spacing w:after="0"/>
        <w:tabs>
          <w:tab w:leader="none" w:pos="8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Included in interest expense in the consolidated statements of income (loss)</w:t>
      </w:r>
      <w:r>
        <w:rPr>
          <w:rFonts w:ascii="Times New Roman" w:cs="Times New Roman" w:eastAsia="Times New Roman" w:hAnsi="Times New Roman"/>
          <w:sz w:val="17"/>
          <w:szCs w:val="17"/>
          <w:color w:val="auto"/>
        </w:rPr>
        <w:t>.</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For the six months ended June 30, 2022 supplemental cash flow information related to leases was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Borders>
              <w:bottom w:val="single" w:sz="8" w:color="CFF0FC"/>
            </w:tcBorders>
          </w:tcPr>
          <w:p>
            <w:pPr>
              <w:spacing w:after="0"/>
              <w:rPr>
                <w:sz w:val="18"/>
                <w:szCs w:val="18"/>
                <w:color w:val="auto"/>
              </w:rPr>
            </w:pPr>
          </w:p>
        </w:tc>
        <w:tc>
          <w:tcPr>
            <w:tcW w:w="192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19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1,098</w:t>
            </w:r>
          </w:p>
        </w:tc>
      </w:tr>
      <w:tr>
        <w:trPr>
          <w:trHeight w:val="213"/>
        </w:trPr>
        <w:tc>
          <w:tcPr>
            <w:tcW w:w="9320" w:type="dxa"/>
            <w:vAlign w:val="bottom"/>
          </w:tcPr>
          <w:p>
            <w:pPr>
              <w:spacing w:after="0"/>
              <w:rPr>
                <w:sz w:val="20"/>
                <w:szCs w:val="20"/>
                <w:color w:val="auto"/>
              </w:rPr>
            </w:pPr>
            <w:r>
              <w:rPr>
                <w:rFonts w:ascii="Times New Roman" w:cs="Times New Roman" w:eastAsia="Times New Roman" w:hAnsi="Times New Roman"/>
                <w:sz w:val="16"/>
                <w:szCs w:val="16"/>
                <w:color w:val="auto"/>
              </w:rPr>
              <w:t>Financing cash outflows from finance leases</w:t>
            </w:r>
          </w:p>
        </w:tc>
        <w:tc>
          <w:tcPr>
            <w:tcW w:w="19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123</w:t>
            </w:r>
          </w:p>
        </w:tc>
      </w:tr>
      <w:tr>
        <w:trPr>
          <w:trHeight w:val="219"/>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assets obtained for operating lease liabilities</w:t>
            </w:r>
          </w:p>
        </w:tc>
        <w:tc>
          <w:tcPr>
            <w:tcW w:w="19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163</w:t>
            </w:r>
          </w:p>
        </w:tc>
      </w:tr>
      <w:tr>
        <w:trPr>
          <w:trHeight w:val="233"/>
        </w:trPr>
        <w:tc>
          <w:tcPr>
            <w:tcW w:w="93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 obtained for finance lease liabilities</w:t>
            </w:r>
          </w:p>
        </w:tc>
        <w:tc>
          <w:tcPr>
            <w:tcW w:w="1920" w:type="dxa"/>
            <w:vAlign w:val="bottom"/>
          </w:tcPr>
          <w:p>
            <w:pPr>
              <w:jc w:val="right"/>
              <w:ind w:right="61"/>
              <w:spacing w:after="0"/>
              <w:rPr>
                <w:sz w:val="20"/>
                <w:szCs w:val="20"/>
                <w:color w:val="auto"/>
              </w:rPr>
            </w:pPr>
            <w:r>
              <w:rPr>
                <w:rFonts w:ascii="Times New Roman" w:cs="Times New Roman" w:eastAsia="Times New Roman" w:hAnsi="Times New Roman"/>
                <w:sz w:val="14"/>
                <w:szCs w:val="14"/>
                <w:color w:val="auto"/>
              </w:rPr>
              <w:t>7,248</w:t>
            </w:r>
          </w:p>
        </w:tc>
      </w:tr>
    </w:tbl>
    <w:p>
      <w:pPr>
        <w:spacing w:after="0" w:line="200" w:lineRule="exact"/>
        <w:rPr>
          <w:sz w:val="20"/>
          <w:szCs w:val="20"/>
          <w:color w:val="auto"/>
        </w:rPr>
      </w:pPr>
    </w:p>
    <w:p>
      <w:pPr>
        <w:sectPr>
          <w:pgSz w:w="11900" w:h="16838" w:orient="portrait"/>
          <w:cols w:equalWidth="0" w:num="1">
            <w:col w:w="11240"/>
          </w:cols>
          <w:pgMar w:left="320" w:top="288" w:right="33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16" w:name="page17"/>
    <w:bookmarkEnd w:id="16"/>
    <w:p>
      <w:pPr>
        <w:ind w:left="760"/>
        <w:spacing w:after="0"/>
        <w:rPr>
          <w:sz w:val="20"/>
          <w:szCs w:val="20"/>
          <w:color w:val="auto"/>
        </w:rPr>
      </w:pPr>
      <w:r>
        <w:rPr>
          <w:rFonts w:ascii="Times New Roman" w:cs="Times New Roman" w:eastAsia="Times New Roman" w:hAnsi="Times New Roman"/>
          <w:sz w:val="22"/>
          <w:szCs w:val="22"/>
          <w:color w:val="auto"/>
        </w:rPr>
        <w:t>For the six months ended June 30, 2022 other information related to leases was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00" w:type="dxa"/>
            <w:vAlign w:val="bottom"/>
            <w:tcBorders>
              <w:bottom w:val="single" w:sz="8" w:color="CFF0FC"/>
            </w:tcBorders>
          </w:tcPr>
          <w:p>
            <w:pPr>
              <w:spacing w:after="0"/>
              <w:rPr>
                <w:sz w:val="18"/>
                <w:szCs w:val="18"/>
                <w:color w:val="auto"/>
              </w:rPr>
            </w:pPr>
          </w:p>
        </w:tc>
        <w:tc>
          <w:tcPr>
            <w:tcW w:w="194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9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remaining lease term, in years - operating leases</w:t>
            </w:r>
          </w:p>
        </w:tc>
        <w:tc>
          <w:tcPr>
            <w:tcW w:w="19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10.7</w:t>
            </w:r>
          </w:p>
        </w:tc>
      </w:tr>
      <w:tr>
        <w:trPr>
          <w:trHeight w:val="213"/>
        </w:trPr>
        <w:tc>
          <w:tcPr>
            <w:tcW w:w="93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remaining lease term, in years - finance leases</w:t>
            </w: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r>
      <w:tr>
        <w:trPr>
          <w:trHeight w:val="219"/>
        </w:trPr>
        <w:tc>
          <w:tcPr>
            <w:tcW w:w="9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discount rate - operating leases</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0"/>
        </w:trPr>
        <w:tc>
          <w:tcPr>
            <w:tcW w:w="93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 - finance leases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bl>
    <w:p>
      <w:pPr>
        <w:spacing w:after="0" w:line="163" w:lineRule="exact"/>
        <w:rPr>
          <w:sz w:val="20"/>
          <w:szCs w:val="20"/>
          <w:color w:val="auto"/>
        </w:rPr>
      </w:pPr>
    </w:p>
    <w:p>
      <w:pPr>
        <w:ind w:left="760" w:hanging="752"/>
        <w:spacing w:after="0"/>
        <w:tabs>
          <w:tab w:leader="none" w:pos="76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17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reconciles the difference between the statutory federal income tax rate for the Company and the effective income tax rate for the six months ended June 30,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Statutory rate</w:t>
            </w:r>
          </w:p>
        </w:tc>
        <w:tc>
          <w:tcPr>
            <w:tcW w:w="1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213"/>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Foreign withholding tax and foreign losses for which there is no benefit in the U.S.</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(11.53)%</w:t>
            </w:r>
          </w:p>
        </w:tc>
        <w:tc>
          <w:tcPr>
            <w:tcW w:w="0" w:type="dxa"/>
            <w:vAlign w:val="bottom"/>
          </w:tcPr>
          <w:p>
            <w:pPr>
              <w:spacing w:after="0"/>
              <w:rPr>
                <w:sz w:val="1"/>
                <w:szCs w:val="1"/>
                <w:color w:val="auto"/>
              </w:rPr>
            </w:pPr>
          </w:p>
        </w:tc>
      </w:tr>
      <w:tr>
        <w:trPr>
          <w:trHeight w:val="21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260" w:type="dxa"/>
            <w:vAlign w:val="bottom"/>
            <w:vMerge w:val="continue"/>
          </w:tcPr>
          <w:p>
            <w:pPr>
              <w:spacing w:after="0"/>
              <w:rPr>
                <w:sz w:val="17"/>
                <w:szCs w:val="17"/>
                <w:color w:val="auto"/>
              </w:rPr>
            </w:pP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760" w:hanging="752"/>
        <w:spacing w:after="0"/>
        <w:tabs>
          <w:tab w:leader="none" w:pos="76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DERIVATIVE INSTRUMENTS AND HEDGING STRATEGIES</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Derivative instruments are classified as either assets or liabilities based on their individual fair values. The fair values of the Company’s derivative instruments were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Pr>
          <w:p>
            <w:pPr>
              <w:spacing w:after="0"/>
              <w:rPr>
                <w:sz w:val="18"/>
                <w:szCs w:val="18"/>
                <w:color w:val="auto"/>
              </w:rPr>
            </w:pPr>
          </w:p>
        </w:tc>
        <w:tc>
          <w:tcPr>
            <w:tcW w:w="222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7"/>
        </w:trPr>
        <w:tc>
          <w:tcPr>
            <w:tcW w:w="6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20" w:type="dxa"/>
            <w:vAlign w:val="bottom"/>
          </w:tcPr>
          <w:p>
            <w:pPr>
              <w:spacing w:after="0"/>
              <w:rPr>
                <w:sz w:val="17"/>
                <w:szCs w:val="17"/>
                <w:color w:val="auto"/>
              </w:rPr>
            </w:pPr>
          </w:p>
        </w:tc>
      </w:tr>
      <w:tr>
        <w:trPr>
          <w:trHeight w:val="215"/>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Asset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213"/>
        </w:trPr>
        <w:tc>
          <w:tcPr>
            <w:tcW w:w="6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 agreements (cash flow hedges)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tcPr>
          <w:p>
            <w:pPr>
              <w:spacing w:after="0"/>
              <w:rPr>
                <w:sz w:val="19"/>
                <w:szCs w:val="19"/>
                <w:color w:val="auto"/>
              </w:rPr>
            </w:pPr>
          </w:p>
        </w:tc>
      </w:tr>
      <w:tr>
        <w:trPr>
          <w:trHeight w:val="210"/>
        </w:trPr>
        <w:tc>
          <w:tcPr>
            <w:tcW w:w="64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option liability on Convertible Senior Notes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4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b w:val="1"/>
          <w:bCs w:val="1"/>
          <w:i w:val="1"/>
          <w:iCs w:val="1"/>
          <w:color w:val="auto"/>
        </w:rPr>
        <w:t xml:space="preserve">Economic Hedges. </w:t>
      </w:r>
      <w:r>
        <w:rPr>
          <w:rFonts w:ascii="Times New Roman" w:cs="Times New Roman" w:eastAsia="Times New Roman" w:hAnsi="Times New Roman"/>
          <w:sz w:val="22"/>
          <w:szCs w:val="22"/>
          <w:color w:val="auto"/>
        </w:rPr>
        <w:t>The Company enters and settles forward currency exchange, option and future contracts with respect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various foreign 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twelve to eighteen months. As of June 30, 2022, the Company had no open forward currency exchange contracts.</w:t>
      </w:r>
    </w:p>
    <w:p>
      <w:pPr>
        <w:spacing w:after="0" w:line="10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 xml:space="preserve">Cash Flow Hedges. </w:t>
      </w:r>
      <w:r>
        <w:rPr>
          <w:rFonts w:ascii="Times New Roman" w:cs="Times New Roman" w:eastAsia="Times New Roman" w:hAnsi="Times New Roman"/>
          <w:sz w:val="21"/>
          <w:szCs w:val="21"/>
          <w:color w:val="auto"/>
        </w:rPr>
        <w:t>The Company and certain of its 50% or less owned companies have interest rate swap agreements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designated as cash flow hedges. By entering into these interest rate swap agreements, the Company and its 50% or less owned companies have converted the variable LIBOR component of certain of their outstanding borrowings to a fixed interest rate. The Company recognized gains on derivative instruments designated as cash flow hedges of $1.8 million and $0.9 million for the six</w:t>
      </w:r>
    </w:p>
    <w:p>
      <w:pPr>
        <w:spacing w:after="0" w:line="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months ended June 30, 2022 and 2021, respectively, as a component of other comprehensive income (loss). As of June 30, 2022, the interest rate swaps held by the Company and certain of the Company’s 50% or less owned companies were as follows</w:t>
      </w:r>
      <w:r>
        <w:rPr>
          <w:rFonts w:ascii="Times New Roman" w:cs="Times New Roman" w:eastAsia="Times New Roman" w:hAnsi="Times New Roman"/>
          <w:sz w:val="21"/>
          <w:szCs w:val="21"/>
          <w:b w:val="1"/>
          <w:bCs w:val="1"/>
          <w:i w:val="1"/>
          <w:iCs w:val="1"/>
          <w:color w:val="auto"/>
        </w:rPr>
        <w:t>:</w:t>
      </w:r>
    </w:p>
    <w:p>
      <w:pPr>
        <w:spacing w:after="0" w:line="40" w:lineRule="exact"/>
        <w:rPr>
          <w:sz w:val="20"/>
          <w:szCs w:val="20"/>
          <w:color w:val="auto"/>
        </w:rPr>
      </w:pPr>
    </w:p>
    <w:p>
      <w:pPr>
        <w:jc w:val="both"/>
        <w:ind w:left="1260" w:hanging="510"/>
        <w:spacing w:after="0" w:line="244" w:lineRule="auto"/>
        <w:tabs>
          <w:tab w:leader="none" w:pos="12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SMFH has an interest rate swap agreement maturing in 2023 that calls for SMFH to pay a fixed rate of interest of 3.32% per annum on the amortized notional value of $6.3 million and receive a variable interest rate based on LIBOR on the amortized notional value;</w:t>
      </w:r>
    </w:p>
    <w:p>
      <w:pPr>
        <w:spacing w:after="0" w:line="65" w:lineRule="exact"/>
        <w:rPr>
          <w:rFonts w:ascii="Times New Roman" w:cs="Times New Roman" w:eastAsia="Times New Roman" w:hAnsi="Times New Roman"/>
          <w:sz w:val="22"/>
          <w:szCs w:val="22"/>
          <w:color w:val="auto"/>
        </w:rPr>
      </w:pPr>
    </w:p>
    <w:p>
      <w:pPr>
        <w:jc w:val="both"/>
        <w:ind w:left="1260" w:hanging="510"/>
        <w:spacing w:after="0" w:line="244" w:lineRule="auto"/>
        <w:tabs>
          <w:tab w:leader="none" w:pos="12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SMFH has an interest rate swap agreement maturing in 2023 that calls for SMFH to pay a fixed rate of interest of 3.195% per annum on the amortized notional value of $34.7 million and receive a variable interest rate based on LIBOR on the amortized notional value;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7" w:name="page18"/>
    <w:bookmarkEnd w:id="17"/>
    <w:p>
      <w:pPr>
        <w:jc w:val="both"/>
        <w:ind w:left="1260" w:hanging="510"/>
        <w:spacing w:after="0"/>
        <w:tabs>
          <w:tab w:leader="none" w:pos="12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SEACOR 88 LLC and SEACOR 888 LLC, both indirect wholly-owned subsidiaries of SEACOR Marine (collectively, “SEACOR 88/888”), have an interest rate swap agreement maturing in 2023 that calls for SEACOR 88/888 to pay a fixed rate of interest of 3.175% per annum on the amortized notional value of $5.5 million and receive a variable interest rate based on LIBOR on the amortized notional value; and</w:t>
      </w:r>
    </w:p>
    <w:p>
      <w:pPr>
        <w:spacing w:after="0" w:line="68" w:lineRule="exact"/>
        <w:rPr>
          <w:rFonts w:ascii="Times New Roman" w:cs="Times New Roman" w:eastAsia="Times New Roman" w:hAnsi="Times New Roman"/>
          <w:sz w:val="22"/>
          <w:szCs w:val="22"/>
          <w:color w:val="auto"/>
        </w:rPr>
      </w:pPr>
    </w:p>
    <w:p>
      <w:pPr>
        <w:jc w:val="both"/>
        <w:ind w:left="1260" w:hanging="510"/>
        <w:spacing w:after="0" w:line="239" w:lineRule="auto"/>
        <w:tabs>
          <w:tab w:leader="none" w:pos="12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Mantenimiento Express Maritimo, S.A.P.I. de C.V. (“MexMar”), in which the Company has a 49% noncontrolling interest, has three interest rate swap agreements with maturities in 2023 that call for MexMar to pay fixed rates of interest ranging from 1.71% to 2.10% per annum on the aggregate amortized notional value of $25.6 million and receive a variable interest rate based on LIBOR on the aggregate amortized notional value.</w:t>
      </w:r>
    </w:p>
    <w:p>
      <w:pPr>
        <w:spacing w:after="0" w:line="134" w:lineRule="exact"/>
        <w:rPr>
          <w:sz w:val="20"/>
          <w:szCs w:val="20"/>
          <w:color w:val="auto"/>
        </w:rPr>
      </w:pPr>
    </w:p>
    <w:p>
      <w:pPr>
        <w:ind w:right="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Derivative Instruments. </w:t>
      </w:r>
      <w:r>
        <w:rPr>
          <w:rFonts w:ascii="Times New Roman" w:cs="Times New Roman" w:eastAsia="Times New Roman" w:hAnsi="Times New Roman"/>
          <w:sz w:val="22"/>
          <w:szCs w:val="22"/>
          <w:color w:val="auto"/>
        </w:rPr>
        <w:t>The Company recognized (losses) gains on derivative instruments not designated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hedging instruments for the six months ended June 30, 2022 and 2021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80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1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option liability on Convertible Senior Notes</w:t>
            </w:r>
          </w:p>
        </w:tc>
        <w:tc>
          <w:tcPr>
            <w:tcW w:w="11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30</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53"/>
        </w:trPr>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Forward currency exchange, option, and future contracts</w:t>
            </w:r>
          </w:p>
        </w:tc>
        <w:tc>
          <w:tcPr>
            <w:tcW w:w="110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390</w:t>
            </w:r>
          </w:p>
        </w:tc>
        <w:tc>
          <w:tcPr>
            <w:tcW w:w="100" w:type="dxa"/>
            <w:vAlign w:val="bottom"/>
            <w:tcBorders>
              <w:bottom w:val="single" w:sz="8" w:color="CFF0FC"/>
            </w:tcBorders>
          </w:tcPr>
          <w:p>
            <w:pPr>
              <w:spacing w:after="0"/>
              <w:rPr>
                <w:sz w:val="22"/>
                <w:szCs w:val="22"/>
                <w:color w:val="auto"/>
              </w:rPr>
            </w:pPr>
          </w:p>
        </w:tc>
      </w:tr>
      <w:tr>
        <w:trPr>
          <w:trHeight w:val="210"/>
        </w:trPr>
        <w:tc>
          <w:tcPr>
            <w:tcW w:w="48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30</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385</w:t>
            </w:r>
          </w:p>
        </w:tc>
        <w:tc>
          <w:tcPr>
            <w:tcW w:w="100" w:type="dxa"/>
            <w:vAlign w:val="bottom"/>
            <w:shd w:val="clear" w:color="auto" w:fill="CFF0FC"/>
          </w:tcPr>
          <w:p>
            <w:pPr>
              <w:spacing w:after="0"/>
              <w:rPr>
                <w:sz w:val="18"/>
                <w:szCs w:val="18"/>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conversion option liability relates to the bifurcated embedded conversion option in the Convertible Senior Notes issued to investment funds managed and controlled by The Carlyle Group (see “Note 8. Fair Value Measurements”).</w:t>
      </w:r>
    </w:p>
    <w:p>
      <w:pPr>
        <w:spacing w:after="0" w:line="87" w:lineRule="exact"/>
        <w:rPr>
          <w:sz w:val="20"/>
          <w:szCs w:val="20"/>
          <w:color w:val="auto"/>
        </w:rPr>
      </w:pPr>
    </w:p>
    <w:p>
      <w:pPr>
        <w:ind w:left="760" w:hanging="752"/>
        <w:spacing w:after="0"/>
        <w:tabs>
          <w:tab w:leader="none" w:pos="76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FAIR VALUE MEASUREMENTS</w:t>
      </w:r>
    </w:p>
    <w:p>
      <w:pPr>
        <w:spacing w:after="0" w:line="17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1 inputs are quoted prices in active markets for identical assets or liabilities.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2 inputs are observable inputs other than quoted prices included in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3 inputs are unobservable inputs that are supported by little or no market activity and are significant to the fair value of the assets or liabilities.</w:t>
      </w:r>
    </w:p>
    <w:p>
      <w:pPr>
        <w:spacing w:after="0" w:line="15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Company’s financial assets and liabilities as of June 30, 2022 and December 31, 2021 that are measured at fair value on a recurring basis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2"/>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Option Liability on Convertible Senior Notes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8"/>
                <w:szCs w:val="18"/>
                <w:color w:val="auto"/>
              </w:rPr>
            </w:pPr>
          </w:p>
        </w:tc>
      </w:tr>
      <w:tr>
        <w:trPr>
          <w:trHeight w:val="214"/>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1"/>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Level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b w:val="1"/>
          <w:bCs w:val="1"/>
          <w:i w:val="1"/>
          <w:iCs w:val="1"/>
          <w:color w:val="auto"/>
        </w:rPr>
        <w:t xml:space="preserve"> Measurement</w:t>
      </w:r>
      <w:r>
        <w:rPr>
          <w:rFonts w:ascii="Times New Roman" w:cs="Times New Roman" w:eastAsia="Times New Roman" w:hAnsi="Times New Roman"/>
          <w:sz w:val="22"/>
          <w:szCs w:val="22"/>
          <w:color w:val="auto"/>
        </w:rPr>
        <w:t>. The fair value of the conversion option liability embedded in the Convertible Senior Notes 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estimated with significant inputs that are both observable and unobservable in the market and therefore is considered a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both"/>
        <w:spacing w:after="0" w:line="259" w:lineRule="auto"/>
        <w:rPr>
          <w:sz w:val="20"/>
          <w:szCs w:val="20"/>
          <w:color w:val="auto"/>
        </w:rPr>
      </w:pPr>
      <w:r>
        <w:rPr>
          <w:rFonts w:ascii="Times New Roman" w:cs="Times New Roman" w:eastAsia="Times New Roman" w:hAnsi="Times New Roman"/>
          <w:sz w:val="22"/>
          <w:szCs w:val="22"/>
          <w:color w:val="auto"/>
        </w:rPr>
        <w:t>unobservable inputs are the estimated Company credit spread and Common Stock volatility, which were based on comparable companies in the transportation and energy industries.</w:t>
      </w:r>
    </w:p>
    <w:p>
      <w:pPr>
        <w:spacing w:after="0" w:line="11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 estimated fair values of the Company’s other financial assets and liabilities as of June 30, 2022 and December 31, 2021 were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2"/>
        </w:trPr>
        <w:tc>
          <w:tcPr>
            <w:tcW w:w="5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25,904</w:t>
            </w:r>
          </w:p>
        </w:tc>
        <w:tc>
          <w:tcPr>
            <w:tcW w:w="24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including current portion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349,590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7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41,220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41,220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 including current portion</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364,364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372,992</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bl>
    <w:p>
      <w:pPr>
        <w:spacing w:after="0" w:line="18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Considerable judgment was required in developing certain of the estimates of fair value including the consideration of the COVID-19 pandemic as well as the economic effects of the conflict between Russia and Ukraine and the global inflationary environment, that have caused significant volatility in U.S. and international markets, and, accordingly, the estimates presented herein are not necessarily indicative of the amounts that the Company could realize in a current market exchange.</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Property and equipment</w:t>
      </w:r>
      <w:r>
        <w:rPr>
          <w:rFonts w:ascii="Times New Roman" w:cs="Times New Roman" w:eastAsia="Times New Roman" w:hAnsi="Times New Roman"/>
          <w:sz w:val="22"/>
          <w:szCs w:val="22"/>
          <w:color w:val="auto"/>
        </w:rPr>
        <w:t>. During the six months ended June 30, 2022, the Company recognized impairment charges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$0.9 million related to one FSV classified as held for sale during the first quarter of 2022 and sold during the second quarter of 2022. During the year ended December 31, 2021, the Company recognized no impairment charges, and none of the Company’s property and equipment had a fair value based on ordinary liquidation value or indicative sales price.</w:t>
      </w:r>
    </w:p>
    <w:p>
      <w:pPr>
        <w:spacing w:after="0" w:line="174" w:lineRule="exact"/>
        <w:rPr>
          <w:sz w:val="20"/>
          <w:szCs w:val="20"/>
          <w:color w:val="auto"/>
        </w:rPr>
      </w:pPr>
    </w:p>
    <w:p>
      <w:pPr>
        <w:ind w:left="760" w:hanging="752"/>
        <w:spacing w:after="0"/>
        <w:tabs>
          <w:tab w:leader="none" w:pos="76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COMMITMENTS AND CONTINGENCIES</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of June 30, 2022, the Company had unfunded capital commitments of $1.1 million for miscellaneous vessel equipment, $0.3 million of which is payable during the remainder of 2022 and $0.8 million is payable during 2023. The Company has indefinitely deferred an additional $9.4 million of orders with respect to one FSV that the Company had previously reported as unfunded capital commitments.</w:t>
      </w:r>
    </w:p>
    <w:p>
      <w:pPr>
        <w:spacing w:after="0" w:line="14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 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A local Brazilian law has been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and the matter may need to be addressed through judicial court proceedings. The potential levy arising from the Deficiency Notice is R$19.6 million based on a historical potential levy 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R$12.87 million (USD $3.8 million and USD $2.5 million, respectively, based on the exchange rate as of June 30, 2022).</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and five other employees of the Company. The incident also resulted in the constructive total loss of the SEACOR Power. The Company is responsible for the salvage operations related to the vessel and is coordinating these efforts with the U.S. Coast Guard. The salvage operations are currently ongoing and the Company expects salvage costs to be covered by insurance proceeds.</w:t>
      </w:r>
    </w:p>
    <w:p>
      <w:pPr>
        <w:spacing w:after="0" w:line="14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capsizing of the SEACOR Power garnered significant attention from the media as well as local, state and federal politicians. The National Transportation Safety Board (“NTSB”) and the U.S. Coast Guard are currently investigating the incident to determine the cause of the incident and the Company is fully cooperating with the investigations in all respects and continues to gather information about the incident. It is expected that the NTSB and U.S. Coast Guard investigations will take a significant period of time to complete. Numerous civil lawsuits have been filed against the Company and other third parties by the family members of deceased crew members and the surviving crew members employed by the Company or by the third parties. On June 2, 2021, the Company filed a Limitation of Liability Act complaint in federal court in the Eastern District of Louisiana (“Limitation Action”), which has the effect of enjoining all existing civil lawsuits and requiring the plaintiffs to file their claims relating to the capsizing of the SEACOR Power in the Limitation Action. There is significant uncertainty in the amount and timing of costs and potential liabilities relating to the incident involving the SEACOR Power, the impact the incident will have on the Company’s reputation and the resulting possible impact on the Company’s business.</w:t>
      </w:r>
    </w:p>
    <w:p>
      <w:pPr>
        <w:spacing w:after="0" w:line="14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5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Certain of the Company’s subsidiaries are participating employers in two industry-wide, multi-employer, defined benefit 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 As of June 30, 2022, all invoices related to MNOPF and MNRPF have been settled in full.</w:t>
      </w:r>
    </w:p>
    <w:p>
      <w:pPr>
        <w:spacing w:after="0" w:line="14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On October 19, 2021, the Company was informed by the MNRPF that two issues had been identified during a review of the MNRPF by the applicable trustee that would potentially give rise to material additional liabilities for the MNRPF. The MNRPF has indicated that the investigations into these issues remain ongoing, and that further updates will be provided as significant developments arise. Should such additional liabilities require the MNRPF to collect additional funds from participating employers, it is possible that the Company will be invoiced for a portion of such funds and recognize payroll related operating expenses in the periods invoices are received.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0" w:name="page21"/>
    <w:bookmarkEnd w:id="20"/>
    <w:p>
      <w:pPr>
        <w:ind w:left="760" w:hanging="752"/>
        <w:spacing w:after="0"/>
        <w:tabs>
          <w:tab w:leader="none" w:pos="76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BASED COMPENSATION</w:t>
      </w:r>
    </w:p>
    <w:p>
      <w:pPr>
        <w:spacing w:after="0" w:line="17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Transactions in connection with the Company’s Equity Incentive Plans during the six months ended June 30, 2022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Restricted Stock Activity:</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as of December 31, 2021</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1,163,090</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Granted</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999,619</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Vested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514,002</w:t>
            </w:r>
          </w:p>
        </w:tc>
        <w:tc>
          <w:tcPr>
            <w:tcW w:w="100" w:type="dxa"/>
            <w:vAlign w:val="bottom"/>
            <w:tcBorders>
              <w:bottom w:val="single" w:sz="8" w:color="CFF0FC"/>
            </w:tcBorders>
          </w:tcPr>
          <w:p>
            <w:pPr>
              <w:spacing w:after="0"/>
              <w:rPr>
                <w:sz w:val="18"/>
                <w:szCs w:val="18"/>
                <w:color w:val="auto"/>
              </w:rPr>
            </w:pPr>
          </w:p>
        </w:tc>
      </w:tr>
      <w:tr>
        <w:trPr>
          <w:trHeight w:val="212"/>
        </w:trPr>
        <w:tc>
          <w:tcPr>
            <w:tcW w:w="9260" w:type="dxa"/>
            <w:vAlign w:val="bottom"/>
            <w:tcBorders>
              <w:bottom w:val="single" w:sz="8" w:color="CFF0FC"/>
            </w:tcBorders>
            <w:shd w:val="clear" w:color="auto" w:fill="CFF0FC"/>
          </w:tcPr>
          <w:p>
            <w:pPr>
              <w:spacing w:after="0" w:line="212" w:lineRule="exact"/>
              <w:rPr>
                <w:sz w:val="20"/>
                <w:szCs w:val="20"/>
                <w:color w:val="auto"/>
              </w:rPr>
            </w:pPr>
            <w:r>
              <w:rPr>
                <w:rFonts w:ascii="Times New Roman" w:cs="Times New Roman" w:eastAsia="Times New Roman" w:hAnsi="Times New Roman"/>
                <w:sz w:val="15"/>
                <w:szCs w:val="15"/>
                <w:color w:val="auto"/>
              </w:rPr>
              <w:t xml:space="preserve">Outstanding as of June 30, 2022 </w:t>
            </w:r>
            <w:r>
              <w:rPr>
                <w:rFonts w:ascii="Times New Roman" w:cs="Times New Roman" w:eastAsia="Times New Roman" w:hAnsi="Times New Roman"/>
                <w:sz w:val="24"/>
                <w:szCs w:val="24"/>
                <w:color w:val="auto"/>
                <w:vertAlign w:val="superscript"/>
              </w:rPr>
              <w:t>(1)</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1,648,707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Stock Option Activity:</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as of December 31, 2021</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1,061,357</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34,492</w:t>
            </w:r>
          </w:p>
        </w:tc>
        <w:tc>
          <w:tcPr>
            <w:tcW w:w="100" w:type="dxa"/>
            <w:vAlign w:val="bottom"/>
            <w:shd w:val="clear" w:color="auto" w:fill="CFF0FC"/>
          </w:tcPr>
          <w:p>
            <w:pPr>
              <w:spacing w:after="0"/>
              <w:rPr>
                <w:sz w:val="19"/>
                <w:szCs w:val="19"/>
                <w:color w:val="auto"/>
              </w:rPr>
            </w:pPr>
          </w:p>
        </w:tc>
      </w:tr>
      <w:tr>
        <w:trPr>
          <w:trHeight w:val="207"/>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as of June 30, 2022</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1,026,865</w:t>
            </w:r>
          </w:p>
        </w:tc>
        <w:tc>
          <w:tcPr>
            <w:tcW w:w="100" w:type="dxa"/>
            <w:vAlign w:val="bottom"/>
          </w:tcPr>
          <w:p>
            <w:pPr>
              <w:spacing w:after="0"/>
              <w:rPr>
                <w:sz w:val="17"/>
                <w:szCs w:val="17"/>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840" w:hanging="832"/>
        <w:spacing w:after="0"/>
        <w:tabs>
          <w:tab w:leader="none" w:pos="8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 xml:space="preserve">Excludes 253,158 grants </w:t>
      </w:r>
      <w:r>
        <w:rPr>
          <w:rFonts w:ascii="Times New Roman" w:cs="Times New Roman" w:eastAsia="Times New Roman" w:hAnsi="Times New Roman"/>
          <w:sz w:val="17"/>
          <w:szCs w:val="17"/>
          <w:color w:val="auto"/>
        </w:rPr>
        <w:t>of performance-based stock units that are not considered outstanding until such time that they become probable to vest.</w:t>
      </w:r>
    </w:p>
    <w:p>
      <w:pPr>
        <w:spacing w:after="0" w:line="16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the six months ended June 30, 2022, the Company acquired for treasury 120,751 shares of Common Stock from its directors and/or employees to cover their tax withholding obligations upon the lapsing of restrictions on share awards for an aggregate purchase price of $0.7 million. These shares were purchased in accordance with the terms of the Company’s 2017 Equity Incentive Plan and the Company’s 2020 Equity Incentive Plan.</w:t>
      </w:r>
    </w:p>
    <w:p>
      <w:pPr>
        <w:spacing w:after="0" w:line="176"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SEGMENT INFORMATION</w:t>
      </w:r>
    </w:p>
    <w:p>
      <w:pPr>
        <w:spacing w:after="0" w:line="170" w:lineRule="exact"/>
        <w:rPr>
          <w:sz w:val="20"/>
          <w:szCs w:val="20"/>
          <w:color w:val="auto"/>
        </w:rPr>
      </w:pPr>
    </w:p>
    <w:p>
      <w:pPr>
        <w:jc w:val="both"/>
        <w:ind w:firstLine="510"/>
        <w:spacing w:after="0" w:line="238" w:lineRule="auto"/>
        <w:rPr>
          <w:sz w:val="20"/>
          <w:szCs w:val="20"/>
          <w:color w:val="auto"/>
        </w:rPr>
      </w:pPr>
      <w:r>
        <w:rPr>
          <w:rFonts w:ascii="Times New Roman" w:cs="Times New Roman" w:eastAsia="Times New Roman" w:hAnsi="Times New Roman"/>
          <w:sz w:val="22"/>
          <w:szCs w:val="22"/>
          <w:color w:val="auto"/>
        </w:rPr>
        <w:t>The Company’s segment presentation and basis of measurement of segment profit or loss are as previously described in the 2021 Annual Report. Certain reclassifications of prior period information have been made to conform the current period’s reportable segment presentation as a result of the Company’s presentation of Discontinued Operations (see “Note 12. Discontinued Operations”). The following tables summarize the operating results, capital expenditures and assets of the Company’s reportable segments for the periods indicated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12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160" w:type="dxa"/>
            <w:vAlign w:val="bottom"/>
          </w:tcPr>
          <w:p>
            <w:pPr>
              <w:spacing w:after="0"/>
              <w:rPr>
                <w:sz w:val="17"/>
                <w:szCs w:val="17"/>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Latin</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and Europe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and Asia</w:t>
            </w:r>
          </w:p>
        </w:tc>
        <w:tc>
          <w:tcPr>
            <w:tcW w:w="16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2022</w:t>
            </w:r>
          </w:p>
        </w:tc>
        <w:tc>
          <w:tcPr>
            <w:tcW w:w="9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13,906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49,504</w:t>
            </w:r>
          </w:p>
        </w:tc>
        <w:tc>
          <w:tcPr>
            <w:tcW w:w="100" w:type="dxa"/>
            <w:vAlign w:val="bottom"/>
            <w:shd w:val="clear" w:color="auto" w:fill="CFF0FC"/>
          </w:tcPr>
          <w:p>
            <w:pPr>
              <w:spacing w:after="0"/>
              <w:rPr>
                <w:sz w:val="19"/>
                <w:szCs w:val="19"/>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9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00" w:type="dxa"/>
            <w:vAlign w:val="bottom"/>
            <w:shd w:val="clear" w:color="auto" w:fill="CFF0FC"/>
          </w:tcPr>
          <w:p>
            <w:pPr>
              <w:spacing w:after="0"/>
              <w:rPr>
                <w:sz w:val="18"/>
                <w:szCs w:val="18"/>
                <w:color w:val="auto"/>
              </w:rPr>
            </w:pPr>
          </w:p>
        </w:tc>
      </w:tr>
      <w:tr>
        <w:trPr>
          <w:trHeight w:val="210"/>
        </w:trPr>
        <w:tc>
          <w:tcPr>
            <w:tcW w:w="390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12,158</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16,002</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14,366</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11,491</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54,017</w:t>
            </w:r>
          </w:p>
        </w:tc>
        <w:tc>
          <w:tcPr>
            <w:tcW w:w="100" w:type="dxa"/>
            <w:vAlign w:val="bottom"/>
            <w:tcBorders>
              <w:bottom w:val="single" w:sz="8" w:color="CFF0FC"/>
            </w:tcBorders>
          </w:tcPr>
          <w:p>
            <w:pPr>
              <w:spacing w:after="0"/>
              <w:rPr>
                <w:sz w:val="18"/>
                <w:szCs w:val="18"/>
                <w:color w:val="auto"/>
              </w:rPr>
            </w:pPr>
          </w:p>
        </w:tc>
      </w:tr>
      <w:tr>
        <w:trPr>
          <w:trHeight w:val="212"/>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3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18,346</w:t>
            </w:r>
          </w:p>
        </w:tc>
        <w:tc>
          <w:tcPr>
            <w:tcW w:w="100" w:type="dxa"/>
            <w:vAlign w:val="bottom"/>
            <w:shd w:val="clear" w:color="auto" w:fill="CFF0FC"/>
          </w:tcPr>
          <w:p>
            <w:pPr>
              <w:spacing w:after="0"/>
              <w:rPr>
                <w:sz w:val="19"/>
                <w:szCs w:val="19"/>
                <w:color w:val="auto"/>
              </w:rPr>
            </w:pPr>
          </w:p>
        </w:tc>
      </w:tr>
      <w:tr>
        <w:trPr>
          <w:trHeight w:val="213"/>
        </w:trPr>
        <w:tc>
          <w:tcPr>
            <w:tcW w:w="3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100" w:type="dxa"/>
            <w:vAlign w:val="bottom"/>
          </w:tcPr>
          <w:p>
            <w:pPr>
              <w:spacing w:after="0"/>
              <w:rPr>
                <w:sz w:val="18"/>
                <w:szCs w:val="18"/>
                <w:color w:val="auto"/>
              </w:rPr>
            </w:pPr>
          </w:p>
        </w:tc>
      </w:tr>
      <w:tr>
        <w:trPr>
          <w:trHeight w:val="219"/>
        </w:trPr>
        <w:tc>
          <w:tcPr>
            <w:tcW w:w="3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6,474</w:t>
            </w:r>
          </w:p>
        </w:tc>
        <w:tc>
          <w:tcPr>
            <w:tcW w:w="100" w:type="dxa"/>
            <w:vAlign w:val="bottom"/>
            <w:shd w:val="clear" w:color="auto" w:fill="CFF0FC"/>
          </w:tcPr>
          <w:p>
            <w:pPr>
              <w:spacing w:after="0"/>
              <w:rPr>
                <w:sz w:val="19"/>
                <w:szCs w:val="19"/>
                <w:color w:val="auto"/>
              </w:rPr>
            </w:pPr>
          </w:p>
        </w:tc>
      </w:tr>
      <w:tr>
        <w:trPr>
          <w:trHeight w:val="213"/>
        </w:trPr>
        <w:tc>
          <w:tcPr>
            <w:tcW w:w="3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00" w:type="dxa"/>
            <w:vAlign w:val="bottom"/>
          </w:tcPr>
          <w:p>
            <w:pPr>
              <w:spacing w:after="0"/>
              <w:rPr>
                <w:sz w:val="18"/>
                <w:szCs w:val="18"/>
                <w:color w:val="auto"/>
              </w:rPr>
            </w:pPr>
          </w:p>
        </w:tc>
      </w:tr>
      <w:tr>
        <w:trPr>
          <w:trHeight w:val="219"/>
        </w:trPr>
        <w:tc>
          <w:tcPr>
            <w:tcW w:w="3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100" w:type="dxa"/>
            <w:vAlign w:val="bottom"/>
            <w:shd w:val="clear" w:color="auto" w:fill="CFF0FC"/>
          </w:tcPr>
          <w:p>
            <w:pPr>
              <w:spacing w:after="0"/>
              <w:rPr>
                <w:sz w:val="19"/>
                <w:szCs w:val="19"/>
                <w:color w:val="auto"/>
              </w:rPr>
            </w:pPr>
          </w:p>
        </w:tc>
      </w:tr>
      <w:tr>
        <w:trPr>
          <w:trHeight w:val="213"/>
        </w:trPr>
        <w:tc>
          <w:tcPr>
            <w:tcW w:w="39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00" w:type="dxa"/>
            <w:vAlign w:val="bottom"/>
            <w:tcBorders>
              <w:bottom w:val="single" w:sz="8" w:color="CFF0FC"/>
            </w:tcBorders>
          </w:tcPr>
          <w:p>
            <w:pPr>
              <w:spacing w:after="0"/>
              <w:rPr>
                <w:sz w:val="18"/>
                <w:szCs w:val="18"/>
                <w:color w:val="auto"/>
              </w:rPr>
            </w:pPr>
          </w:p>
        </w:tc>
      </w:tr>
      <w:tr>
        <w:trPr>
          <w:trHeight w:val="212"/>
        </w:trPr>
        <w:tc>
          <w:tcPr>
            <w:tcW w:w="39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13,416</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9,988</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44,145</w:t>
            </w:r>
          </w:p>
        </w:tc>
        <w:tc>
          <w:tcPr>
            <w:tcW w:w="100" w:type="dxa"/>
            <w:vAlign w:val="bottom"/>
            <w:shd w:val="clear" w:color="auto" w:fill="CFF0FC"/>
          </w:tcPr>
          <w:p>
            <w:pPr>
              <w:spacing w:after="0"/>
              <w:rPr>
                <w:sz w:val="18"/>
                <w:szCs w:val="18"/>
                <w:color w:val="auto"/>
              </w:rPr>
            </w:pPr>
          </w:p>
        </w:tc>
      </w:tr>
      <w:tr>
        <w:trPr>
          <w:trHeight w:val="250"/>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(Loss) Profit</w:t>
            </w:r>
          </w:p>
        </w:tc>
        <w:tc>
          <w:tcPr>
            <w:tcW w:w="9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6,014</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9,872</w:t>
            </w:r>
          </w:p>
        </w:tc>
        <w:tc>
          <w:tcPr>
            <w:tcW w:w="100" w:type="dxa"/>
            <w:vAlign w:val="bottom"/>
            <w:tcBorders>
              <w:bottom w:val="single" w:sz="8" w:color="CFF0FC"/>
            </w:tcBorders>
          </w:tcPr>
          <w:p>
            <w:pPr>
              <w:spacing w:after="0"/>
              <w:rPr>
                <w:sz w:val="21"/>
                <w:szCs w:val="21"/>
                <w:color w:val="auto"/>
              </w:rPr>
            </w:pPr>
          </w:p>
        </w:tc>
      </w:tr>
      <w:tr>
        <w:trPr>
          <w:trHeight w:val="19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Pr>
          <w:p>
            <w:pPr>
              <w:spacing w:after="0"/>
              <w:rPr>
                <w:sz w:val="18"/>
                <w:szCs w:val="18"/>
                <w:color w:val="auto"/>
              </w:rPr>
            </w:pPr>
          </w:p>
        </w:tc>
      </w:tr>
      <w:tr>
        <w:trPr>
          <w:trHeight w:val="219"/>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10,210</w:t>
            </w:r>
          </w:p>
        </w:tc>
        <w:tc>
          <w:tcPr>
            <w:tcW w:w="100" w:type="dxa"/>
            <w:vAlign w:val="bottom"/>
            <w:shd w:val="clear" w:color="auto" w:fill="CFF0FC"/>
          </w:tcPr>
          <w:p>
            <w:pPr>
              <w:spacing w:after="0"/>
              <w:rPr>
                <w:sz w:val="19"/>
                <w:szCs w:val="19"/>
                <w:color w:val="auto"/>
              </w:rPr>
            </w:pPr>
          </w:p>
        </w:tc>
      </w:tr>
      <w:tr>
        <w:trPr>
          <w:trHeight w:val="213"/>
        </w:trPr>
        <w:tc>
          <w:tcPr>
            <w:tcW w:w="3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14,208</w:t>
            </w:r>
          </w:p>
        </w:tc>
        <w:tc>
          <w:tcPr>
            <w:tcW w:w="100" w:type="dxa"/>
            <w:vAlign w:val="bottom"/>
            <w:tcBorders>
              <w:bottom w:val="single" w:sz="8" w:color="CFF0FC"/>
            </w:tcBorders>
          </w:tcPr>
          <w:p>
            <w:pPr>
              <w:spacing w:after="0"/>
              <w:rPr>
                <w:sz w:val="18"/>
                <w:szCs w:val="18"/>
                <w:color w:val="auto"/>
              </w:rPr>
            </w:pPr>
          </w:p>
        </w:tc>
      </w:tr>
      <w:tr>
        <w:trPr>
          <w:trHeight w:val="212"/>
        </w:trPr>
        <w:tc>
          <w:tcPr>
            <w:tcW w:w="39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25,426</w:t>
            </w:r>
          </w:p>
        </w:tc>
        <w:tc>
          <w:tcPr>
            <w:tcW w:w="100" w:type="dxa"/>
            <w:vAlign w:val="bottom"/>
            <w:shd w:val="clear" w:color="auto" w:fill="CFF0FC"/>
          </w:tcPr>
          <w:p>
            <w:pPr>
              <w:spacing w:after="0"/>
              <w:rPr>
                <w:sz w:val="18"/>
                <w:szCs w:val="18"/>
                <w:color w:val="auto"/>
              </w:rPr>
            </w:pPr>
          </w:p>
        </w:tc>
      </w:tr>
      <w:tr>
        <w:trPr>
          <w:trHeight w:val="207"/>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Gain on Asset Dispositions, Net</w:t>
            </w:r>
          </w:p>
        </w:tc>
        <w:tc>
          <w:tcPr>
            <w:tcW w:w="9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FF0FC"/>
            </w:tcBorders>
          </w:tcPr>
          <w:p>
            <w:pPr>
              <w:spacing w:after="0"/>
              <w:rPr>
                <w:sz w:val="17"/>
                <w:szCs w:val="17"/>
                <w:color w:val="auto"/>
              </w:rPr>
            </w:pPr>
          </w:p>
        </w:tc>
      </w:tr>
      <w:tr>
        <w:trPr>
          <w:trHeight w:val="209"/>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9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12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16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and Europe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and Asia</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2022</w:t>
            </w:r>
          </w:p>
        </w:tc>
        <w:tc>
          <w:tcPr>
            <w:tcW w:w="10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27,566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19,846</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10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22,074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27,666</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28,075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99,608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10,696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23,422</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19,672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25,734</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(Loss) Profit</w:t>
            </w:r>
          </w:p>
        </w:tc>
        <w:tc>
          <w:tcPr>
            <w:tcW w:w="10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6,980</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6,564</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8,574</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Gain on Asset Dispositions, Net</w:t>
            </w:r>
          </w:p>
        </w:tc>
        <w:tc>
          <w:tcPr>
            <w:tcW w:w="10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0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Historical Cost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269,717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247,967</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322,091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160,372</w:t>
            </w:r>
          </w:p>
        </w:tc>
        <w:tc>
          <w:tcPr>
            <w:tcW w:w="160" w:type="dxa"/>
            <w:vAlign w:val="bottom"/>
          </w:tcPr>
          <w:p>
            <w:pPr>
              <w:spacing w:after="0"/>
              <w:rPr>
                <w:sz w:val="18"/>
                <w:szCs w:val="18"/>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(130,737)</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(76,742)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(89,634)</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(27,978)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(325,091)</w:t>
            </w:r>
          </w:p>
        </w:tc>
        <w:tc>
          <w:tcPr>
            <w:tcW w:w="0" w:type="dxa"/>
            <w:vAlign w:val="bottom"/>
          </w:tcPr>
          <w:p>
            <w:pPr>
              <w:spacing w:after="0"/>
              <w:rPr>
                <w:sz w:val="1"/>
                <w:szCs w:val="1"/>
                <w:color w:val="auto"/>
              </w:rPr>
            </w:pPr>
          </w:p>
        </w:tc>
      </w:tr>
      <w:tr>
        <w:trPr>
          <w:trHeight w:val="247"/>
        </w:trPr>
        <w:tc>
          <w:tcPr>
            <w:tcW w:w="3800" w:type="dxa"/>
            <w:vAlign w:val="bottom"/>
            <w:tcBorders>
              <w:bottom w:val="single" w:sz="8" w:color="CFF0FC"/>
            </w:tcBorders>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138,980</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171,225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232,457</w:t>
            </w:r>
          </w:p>
        </w:tc>
        <w:tc>
          <w:tcPr>
            <w:tcW w:w="2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132,394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675,056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800" w:type="dxa"/>
            <w:vAlign w:val="bottom"/>
            <w:shd w:val="clear" w:color="auto" w:fill="CFF0FC"/>
          </w:tcPr>
          <w:p>
            <w:pPr>
              <w:spacing w:after="0" w:line="240"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7"/>
                <w:szCs w:val="27"/>
                <w:color w:val="auto"/>
                <w:vertAlign w:val="superscript"/>
              </w:rPr>
              <w:t>(1)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170,831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194,632</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244,606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215,755</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825,824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Total assets by region does not include corporate assets of $51.3 million as of June 30, 2022</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Middle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4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240" w:type="dxa"/>
            <w:vAlign w:val="bottom"/>
          </w:tcPr>
          <w:p>
            <w:pPr>
              <w:spacing w:after="0"/>
              <w:rPr>
                <w:sz w:val="18"/>
                <w:szCs w:val="18"/>
                <w:color w:val="auto"/>
              </w:rPr>
            </w:pPr>
          </w:p>
        </w:tc>
        <w:tc>
          <w:tcPr>
            <w:tcW w:w="1280" w:type="dxa"/>
            <w:vAlign w:val="bottom"/>
            <w:gridSpan w:val="3"/>
          </w:tcPr>
          <w:p>
            <w:pPr>
              <w:jc w:val="right"/>
              <w:ind w:right="260"/>
              <w:spacing w:after="0" w:line="219" w:lineRule="exact"/>
              <w:rPr>
                <w:sz w:val="20"/>
                <w:szCs w:val="20"/>
                <w:color w:val="auto"/>
              </w:rPr>
            </w:pPr>
            <w:r>
              <w:rPr>
                <w:rFonts w:ascii="Times New Roman" w:cs="Times New Roman" w:eastAsia="Times New Roman" w:hAnsi="Times New Roman"/>
                <w:sz w:val="16"/>
                <w:szCs w:val="16"/>
                <w:b w:val="1"/>
                <w:bCs w:val="1"/>
                <w:color w:val="auto"/>
                <w:w w:val="98"/>
              </w:rPr>
              <w:t xml:space="preserve">and Europe </w:t>
            </w:r>
            <w:r>
              <w:rPr>
                <w:rFonts w:ascii="Times New Roman" w:cs="Times New Roman" w:eastAsia="Times New Roman" w:hAnsi="Times New Roman"/>
                <w:sz w:val="22"/>
                <w:szCs w:val="22"/>
                <w:b w:val="1"/>
                <w:bCs w:val="1"/>
                <w:color w:val="auto"/>
                <w:w w:val="98"/>
                <w:vertAlign w:val="superscript"/>
              </w:rPr>
              <w:t>(2)</w:t>
            </w: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and Asia</w:t>
            </w:r>
          </w:p>
        </w:tc>
        <w:tc>
          <w:tcPr>
            <w:tcW w:w="16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22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4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2021</w:t>
            </w:r>
          </w:p>
        </w:tc>
        <w:tc>
          <w:tcPr>
            <w:tcW w:w="6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41,474</w:t>
            </w:r>
          </w:p>
        </w:tc>
        <w:tc>
          <w:tcPr>
            <w:tcW w:w="100" w:type="dxa"/>
            <w:vAlign w:val="bottom"/>
            <w:shd w:val="clear" w:color="auto" w:fill="CFF0FC"/>
          </w:tcPr>
          <w:p>
            <w:pPr>
              <w:spacing w:after="0"/>
              <w:rPr>
                <w:sz w:val="19"/>
                <w:szCs w:val="19"/>
                <w:color w:val="auto"/>
              </w:rPr>
            </w:pPr>
          </w:p>
        </w:tc>
      </w:tr>
      <w:tr>
        <w:trPr>
          <w:trHeight w:val="213"/>
        </w:trPr>
        <w:tc>
          <w:tcPr>
            <w:tcW w:w="4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(224)</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shd w:val="clear" w:color="auto" w:fill="CFF0FC"/>
          </w:tcPr>
          <w:p>
            <w:pPr>
              <w:spacing w:after="0"/>
              <w:rPr>
                <w:sz w:val="18"/>
                <w:szCs w:val="18"/>
                <w:color w:val="auto"/>
              </w:rPr>
            </w:pPr>
          </w:p>
        </w:tc>
      </w:tr>
      <w:tr>
        <w:trPr>
          <w:trHeight w:val="209"/>
        </w:trPr>
        <w:tc>
          <w:tcPr>
            <w:tcW w:w="402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4,580</w:t>
            </w: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11,213</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13,783</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13,223</w:t>
            </w:r>
          </w:p>
        </w:tc>
        <w:tc>
          <w:tcPr>
            <w:tcW w:w="2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42,799</w:t>
            </w:r>
          </w:p>
        </w:tc>
        <w:tc>
          <w:tcPr>
            <w:tcW w:w="100" w:type="dxa"/>
            <w:vAlign w:val="bottom"/>
            <w:tcBorders>
              <w:bottom w:val="single" w:sz="8" w:color="CFF0FC"/>
            </w:tcBorders>
          </w:tcPr>
          <w:p>
            <w:pPr>
              <w:spacing w:after="0"/>
              <w:rPr>
                <w:sz w:val="18"/>
                <w:szCs w:val="18"/>
                <w:color w:val="auto"/>
              </w:rPr>
            </w:pPr>
          </w:p>
        </w:tc>
      </w:tr>
      <w:tr>
        <w:trPr>
          <w:trHeight w:val="212"/>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4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14,353</w:t>
            </w:r>
          </w:p>
        </w:tc>
        <w:tc>
          <w:tcPr>
            <w:tcW w:w="100" w:type="dxa"/>
            <w:vAlign w:val="bottom"/>
            <w:shd w:val="clear" w:color="auto" w:fill="CFF0FC"/>
          </w:tcPr>
          <w:p>
            <w:pPr>
              <w:spacing w:after="0"/>
              <w:rPr>
                <w:sz w:val="19"/>
                <w:szCs w:val="19"/>
                <w:color w:val="auto"/>
              </w:rPr>
            </w:pPr>
          </w:p>
        </w:tc>
      </w:tr>
      <w:tr>
        <w:trPr>
          <w:trHeight w:val="213"/>
        </w:trPr>
        <w:tc>
          <w:tcPr>
            <w:tcW w:w="4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6,959</w:t>
            </w:r>
          </w:p>
        </w:tc>
        <w:tc>
          <w:tcPr>
            <w:tcW w:w="100" w:type="dxa"/>
            <w:vAlign w:val="bottom"/>
          </w:tcPr>
          <w:p>
            <w:pPr>
              <w:spacing w:after="0"/>
              <w:rPr>
                <w:sz w:val="18"/>
                <w:szCs w:val="18"/>
                <w:color w:val="auto"/>
              </w:rPr>
            </w:pPr>
          </w:p>
        </w:tc>
      </w:tr>
      <w:tr>
        <w:trPr>
          <w:trHeight w:val="219"/>
        </w:trPr>
        <w:tc>
          <w:tcPr>
            <w:tcW w:w="4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100" w:type="dxa"/>
            <w:vAlign w:val="bottom"/>
            <w:shd w:val="clear" w:color="auto" w:fill="CFF0FC"/>
          </w:tcPr>
          <w:p>
            <w:pPr>
              <w:spacing w:after="0"/>
              <w:rPr>
                <w:sz w:val="19"/>
                <w:szCs w:val="19"/>
                <w:color w:val="auto"/>
              </w:rPr>
            </w:pPr>
          </w:p>
        </w:tc>
      </w:tr>
      <w:tr>
        <w:trPr>
          <w:trHeight w:val="213"/>
        </w:trPr>
        <w:tc>
          <w:tcPr>
            <w:tcW w:w="4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tcPr>
          <w:p>
            <w:pPr>
              <w:spacing w:after="0"/>
              <w:rPr>
                <w:sz w:val="18"/>
                <w:szCs w:val="18"/>
                <w:color w:val="auto"/>
              </w:rPr>
            </w:pPr>
          </w:p>
        </w:tc>
      </w:tr>
      <w:tr>
        <w:trPr>
          <w:trHeight w:val="219"/>
        </w:trPr>
        <w:tc>
          <w:tcPr>
            <w:tcW w:w="4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shd w:val="clear" w:color="auto" w:fill="CFF0FC"/>
          </w:tcPr>
          <w:p>
            <w:pPr>
              <w:spacing w:after="0"/>
              <w:rPr>
                <w:sz w:val="19"/>
                <w:szCs w:val="19"/>
                <w:color w:val="auto"/>
              </w:rPr>
            </w:pPr>
          </w:p>
        </w:tc>
      </w:tr>
      <w:tr>
        <w:trPr>
          <w:trHeight w:val="213"/>
        </w:trPr>
        <w:tc>
          <w:tcPr>
            <w:tcW w:w="4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00" w:type="dxa"/>
            <w:vAlign w:val="bottom"/>
            <w:tcBorders>
              <w:bottom w:val="single" w:sz="8" w:color="CFF0FC"/>
            </w:tcBorders>
          </w:tcPr>
          <w:p>
            <w:pPr>
              <w:spacing w:after="0"/>
              <w:rPr>
                <w:sz w:val="18"/>
                <w:szCs w:val="18"/>
                <w:color w:val="auto"/>
              </w:rPr>
            </w:pPr>
          </w:p>
        </w:tc>
      </w:tr>
      <w:tr>
        <w:trPr>
          <w:trHeight w:val="212"/>
        </w:trPr>
        <w:tc>
          <w:tcPr>
            <w:tcW w:w="40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4,086</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10,133</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10,954</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7,442</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32,615</w:t>
            </w:r>
          </w:p>
        </w:tc>
        <w:tc>
          <w:tcPr>
            <w:tcW w:w="100" w:type="dxa"/>
            <w:vAlign w:val="bottom"/>
            <w:shd w:val="clear" w:color="auto" w:fill="CFF0FC"/>
          </w:tcPr>
          <w:p>
            <w:pPr>
              <w:spacing w:after="0"/>
              <w:rPr>
                <w:sz w:val="18"/>
                <w:szCs w:val="18"/>
                <w:color w:val="auto"/>
              </w:rPr>
            </w:pPr>
          </w:p>
        </w:tc>
      </w:tr>
      <w:tr>
        <w:trPr>
          <w:trHeight w:val="247"/>
        </w:trPr>
        <w:tc>
          <w:tcPr>
            <w:tcW w:w="4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6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2,829</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5,781</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10,184</w:t>
            </w:r>
          </w:p>
        </w:tc>
        <w:tc>
          <w:tcPr>
            <w:tcW w:w="100" w:type="dxa"/>
            <w:vAlign w:val="bottom"/>
            <w:tcBorders>
              <w:bottom w:val="single" w:sz="8" w:color="CFF0FC"/>
            </w:tcBorders>
          </w:tcPr>
          <w:p>
            <w:pPr>
              <w:spacing w:after="0"/>
              <w:rPr>
                <w:sz w:val="21"/>
                <w:szCs w:val="21"/>
                <w:color w:val="auto"/>
              </w:rPr>
            </w:pPr>
          </w:p>
        </w:tc>
      </w:tr>
      <w:tr>
        <w:trPr>
          <w:trHeight w:val="19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4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4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Pr>
          <w:p>
            <w:pPr>
              <w:spacing w:after="0"/>
              <w:rPr>
                <w:sz w:val="18"/>
                <w:szCs w:val="18"/>
                <w:color w:val="auto"/>
              </w:rPr>
            </w:pPr>
          </w:p>
        </w:tc>
      </w:tr>
      <w:tr>
        <w:trPr>
          <w:trHeight w:val="219"/>
        </w:trPr>
        <w:tc>
          <w:tcPr>
            <w:tcW w:w="4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9,152</w:t>
            </w:r>
          </w:p>
        </w:tc>
        <w:tc>
          <w:tcPr>
            <w:tcW w:w="100" w:type="dxa"/>
            <w:vAlign w:val="bottom"/>
            <w:shd w:val="clear" w:color="auto" w:fill="CFF0FC"/>
          </w:tcPr>
          <w:p>
            <w:pPr>
              <w:spacing w:after="0"/>
              <w:rPr>
                <w:sz w:val="19"/>
                <w:szCs w:val="19"/>
                <w:color w:val="auto"/>
              </w:rPr>
            </w:pPr>
          </w:p>
        </w:tc>
      </w:tr>
      <w:tr>
        <w:trPr>
          <w:trHeight w:val="213"/>
        </w:trPr>
        <w:tc>
          <w:tcPr>
            <w:tcW w:w="40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14,093</w:t>
            </w:r>
          </w:p>
        </w:tc>
        <w:tc>
          <w:tcPr>
            <w:tcW w:w="100" w:type="dxa"/>
            <w:vAlign w:val="bottom"/>
            <w:tcBorders>
              <w:bottom w:val="single" w:sz="8" w:color="CFF0FC"/>
            </w:tcBorders>
          </w:tcPr>
          <w:p>
            <w:pPr>
              <w:spacing w:after="0"/>
              <w:rPr>
                <w:sz w:val="18"/>
                <w:szCs w:val="18"/>
                <w:color w:val="auto"/>
              </w:rPr>
            </w:pPr>
          </w:p>
        </w:tc>
      </w:tr>
      <w:tr>
        <w:trPr>
          <w:trHeight w:val="212"/>
        </w:trPr>
        <w:tc>
          <w:tcPr>
            <w:tcW w:w="40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24,479</w:t>
            </w:r>
          </w:p>
        </w:tc>
        <w:tc>
          <w:tcPr>
            <w:tcW w:w="100" w:type="dxa"/>
            <w:vAlign w:val="bottom"/>
            <w:shd w:val="clear" w:color="auto" w:fill="CFF0FC"/>
          </w:tcPr>
          <w:p>
            <w:pPr>
              <w:spacing w:after="0"/>
              <w:rPr>
                <w:sz w:val="18"/>
                <w:szCs w:val="18"/>
                <w:color w:val="auto"/>
              </w:rPr>
            </w:pPr>
          </w:p>
        </w:tc>
      </w:tr>
      <w:tr>
        <w:trPr>
          <w:trHeight w:val="207"/>
        </w:trPr>
        <w:tc>
          <w:tcPr>
            <w:tcW w:w="4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Gain on Asset Dispositions and Impairments</w:t>
            </w:r>
          </w:p>
        </w:tc>
        <w:tc>
          <w:tcPr>
            <w:tcW w:w="6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22,653</w:t>
            </w:r>
          </w:p>
        </w:tc>
        <w:tc>
          <w:tcPr>
            <w:tcW w:w="100" w:type="dxa"/>
            <w:vAlign w:val="bottom"/>
            <w:tcBorders>
              <w:bottom w:val="single" w:sz="8" w:color="CFF0FC"/>
            </w:tcBorders>
          </w:tcPr>
          <w:p>
            <w:pPr>
              <w:spacing w:after="0"/>
              <w:rPr>
                <w:sz w:val="17"/>
                <w:szCs w:val="17"/>
                <w:color w:val="auto"/>
              </w:rPr>
            </w:pPr>
          </w:p>
        </w:tc>
      </w:tr>
      <w:tr>
        <w:trPr>
          <w:trHeight w:val="210"/>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 from Continuing Operations</w:t>
            </w:r>
          </w:p>
        </w:tc>
        <w:tc>
          <w:tcPr>
            <w:tcW w:w="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and Europe,</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Middle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Continuing</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16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100" w:type="dxa"/>
            <w:vAlign w:val="bottom"/>
          </w:tcPr>
          <w:p>
            <w:pPr>
              <w:spacing w:after="0"/>
              <w:rPr>
                <w:sz w:val="18"/>
                <w:szCs w:val="18"/>
                <w:color w:val="auto"/>
              </w:rPr>
            </w:pPr>
          </w:p>
        </w:tc>
        <w:tc>
          <w:tcPr>
            <w:tcW w:w="1280" w:type="dxa"/>
            <w:vAlign w:val="bottom"/>
            <w:gridSpan w:val="3"/>
          </w:tcPr>
          <w:p>
            <w:pPr>
              <w:jc w:val="center"/>
              <w:ind w:right="240"/>
              <w:spacing w:after="0" w:line="219" w:lineRule="exact"/>
              <w:rPr>
                <w:sz w:val="20"/>
                <w:szCs w:val="20"/>
                <w:color w:val="auto"/>
              </w:rPr>
            </w:pPr>
            <w:r>
              <w:rPr>
                <w:rFonts w:ascii="Times New Roman" w:cs="Times New Roman" w:eastAsia="Times New Roman" w:hAnsi="Times New Roman"/>
                <w:sz w:val="16"/>
                <w:szCs w:val="16"/>
                <w:b w:val="1"/>
                <w:bCs w:val="1"/>
                <w:color w:val="auto"/>
                <w:w w:val="98"/>
              </w:rPr>
              <w:t xml:space="preserve">Operations </w:t>
            </w:r>
            <w:r>
              <w:rPr>
                <w:rFonts w:ascii="Times New Roman" w:cs="Times New Roman" w:eastAsia="Times New Roman" w:hAnsi="Times New Roman"/>
                <w:sz w:val="22"/>
                <w:szCs w:val="22"/>
                <w:b w:val="1"/>
                <w:bCs w:val="1"/>
                <w:color w:val="auto"/>
                <w:w w:val="98"/>
                <w:vertAlign w:val="superscript"/>
              </w:rPr>
              <w:t>(2)</w:t>
            </w: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and Asia</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2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2021</w:t>
            </w:r>
          </w:p>
        </w:tc>
        <w:tc>
          <w:tcPr>
            <w:tcW w:w="4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26,327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22,590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(493)</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CFF0FC"/>
            </w:tcBorders>
          </w:tcPr>
          <w:p>
            <w:pPr>
              <w:spacing w:after="0"/>
              <w:rPr>
                <w:sz w:val="18"/>
                <w:szCs w:val="18"/>
                <w:color w:val="auto"/>
              </w:rPr>
            </w:pPr>
          </w:p>
        </w:tc>
        <w:tc>
          <w:tcPr>
            <w:tcW w:w="4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7,344</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21,446</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26,718</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23,803</w:t>
            </w:r>
          </w:p>
        </w:tc>
        <w:tc>
          <w:tcPr>
            <w:tcW w:w="2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79,311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16,432</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20,536</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13,792</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(Loss) Profit from Continuing Operations</w:t>
            </w:r>
          </w:p>
        </w:tc>
        <w:tc>
          <w:tcPr>
            <w:tcW w:w="4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10,011</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4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7,451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9,373</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5,455</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Gain on Asset Dispositions and Impairments</w:t>
            </w:r>
          </w:p>
        </w:tc>
        <w:tc>
          <w:tcPr>
            <w:tcW w:w="4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from Continuing Operations</w:t>
            </w:r>
          </w:p>
        </w:tc>
        <w:tc>
          <w:tcPr>
            <w:tcW w:w="4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June 30, 2021</w:t>
            </w: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Historical Cost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175,606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240,032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374,979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181,650</w:t>
            </w:r>
          </w:p>
        </w:tc>
        <w:tc>
          <w:tcPr>
            <w:tcW w:w="24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(105,923)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(71,560)</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(81,338)</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(30,061)</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(288,882)</w:t>
            </w:r>
          </w:p>
        </w:tc>
        <w:tc>
          <w:tcPr>
            <w:tcW w:w="0" w:type="dxa"/>
            <w:vAlign w:val="bottom"/>
          </w:tcPr>
          <w:p>
            <w:pPr>
              <w:spacing w:after="0"/>
              <w:rPr>
                <w:sz w:val="1"/>
                <w:szCs w:val="1"/>
                <w:color w:val="auto"/>
              </w:rPr>
            </w:pPr>
          </w:p>
        </w:tc>
      </w:tr>
      <w:tr>
        <w:trPr>
          <w:trHeight w:val="247"/>
        </w:trPr>
        <w:tc>
          <w:tcPr>
            <w:tcW w:w="4260" w:type="dxa"/>
            <w:vAlign w:val="bottom"/>
            <w:tcBorders>
              <w:bottom w:val="single" w:sz="8" w:color="CFF0FC"/>
            </w:tcBorders>
          </w:tcPr>
          <w:p>
            <w:pPr>
              <w:spacing w:after="0"/>
              <w:rPr>
                <w:sz w:val="21"/>
                <w:szCs w:val="21"/>
                <w:color w:val="auto"/>
              </w:rPr>
            </w:pPr>
          </w:p>
        </w:tc>
        <w:tc>
          <w:tcPr>
            <w:tcW w:w="4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69,683</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168,472</w:t>
            </w:r>
          </w:p>
        </w:tc>
        <w:tc>
          <w:tcPr>
            <w:tcW w:w="2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293,641</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151,589</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683,385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260" w:type="dxa"/>
            <w:vAlign w:val="bottom"/>
            <w:tcBorders>
              <w:bottom w:val="single" w:sz="8" w:color="CFF0FC"/>
            </w:tcBorders>
            <w:shd w:val="clear" w:color="auto" w:fill="CFF0FC"/>
          </w:tcPr>
          <w:p>
            <w:pPr>
              <w:spacing w:after="0" w:line="199" w:lineRule="exact"/>
              <w:rPr>
                <w:sz w:val="20"/>
                <w:szCs w:val="20"/>
                <w:color w:val="auto"/>
              </w:rPr>
            </w:pPr>
            <w:r>
              <w:rPr>
                <w:rFonts w:ascii="Times New Roman" w:cs="Times New Roman" w:eastAsia="Times New Roman" w:hAnsi="Times New Roman"/>
                <w:sz w:val="14"/>
                <w:szCs w:val="14"/>
                <w:color w:val="auto"/>
              </w:rPr>
              <w:t xml:space="preserve">Total Assets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110,095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185,862</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295,430</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222,830</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814,217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Total assets by region does not include corporate assets of $105.0 million as of June 30, 2021.</w:t>
      </w:r>
    </w:p>
    <w:p>
      <w:pPr>
        <w:spacing w:after="0" w:line="30" w:lineRule="exact"/>
        <w:rPr>
          <w:rFonts w:ascii="Times New Roman" w:cs="Times New Roman" w:eastAsia="Times New Roman" w:hAnsi="Times New Roman"/>
          <w:sz w:val="15"/>
          <w:szCs w:val="15"/>
          <w:color w:val="auto"/>
        </w:rPr>
      </w:pPr>
    </w:p>
    <w:p>
      <w:pPr>
        <w:jc w:val="both"/>
        <w:ind w:left="380" w:hanging="372"/>
        <w:spacing w:after="0" w:line="235" w:lineRule="auto"/>
        <w:tabs>
          <w:tab w:leader="none" w:pos="3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In prior periods Africa and Europe were reported as separate segments. Due to the sale of Windcat Workboats, the Company’s European operations are no longer analyzed by the chief operating decision maker on a standalone basis but rather as part of the Africa and Europe segment. As a result, for purposes of segment reporting European operations are now consolidated with Africa and reported as a consolidated segment and prior period information has been conformed to the new consolidated reporting segment.</w:t>
      </w:r>
    </w:p>
    <w:p>
      <w:pPr>
        <w:spacing w:after="0" w:line="173" w:lineRule="exact"/>
        <w:rPr>
          <w:sz w:val="20"/>
          <w:szCs w:val="20"/>
          <w:color w:val="auto"/>
        </w:rPr>
      </w:pPr>
    </w:p>
    <w:p>
      <w:pPr>
        <w:jc w:val="both"/>
        <w:ind w:firstLine="510"/>
        <w:spacing w:after="0" w:line="238" w:lineRule="auto"/>
        <w:rPr>
          <w:sz w:val="20"/>
          <w:szCs w:val="20"/>
          <w:color w:val="auto"/>
        </w:rPr>
      </w:pPr>
      <w:r>
        <w:rPr>
          <w:rFonts w:ascii="Times New Roman" w:cs="Times New Roman" w:eastAsia="Times New Roman" w:hAnsi="Times New Roman"/>
          <w:sz w:val="22"/>
          <w:szCs w:val="22"/>
          <w:color w:val="auto"/>
        </w:rPr>
        <w:t>The Company’s investments in 50% or less owned companies, which are accounted for under the equity method, also contribute to its consolidated results of operations. As of June 30, 2022, and 2021, the Company’s investments, at equity and advances to 50% or less owned companies in its other 50% or less owned companies were $75.9 million and $77.5 million, respectively. Equity in earnings gains of 50% or less owned companies for the six months ended June 30, 2022 and 2021 were $6.1 million and $6.3 million, respectively.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24" w:name="page25"/>
    <w:bookmarkEnd w:id="24"/>
    <w:p>
      <w:pPr>
        <w:ind w:left="920" w:hanging="912"/>
        <w:spacing w:after="0"/>
        <w:tabs>
          <w:tab w:leader="none" w:pos="92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DISCONTINUED OPERATIONS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On January 12, 2021, the Company completed the sale of Windcat Workboats, which was previously classified as assets held for sale. The Company has no continuing involvement in this business, which is considered a strategic shift in the Company’s operations. During the first twelve days of 2021, the Company recognized $0.2 million in net income from operations of Windcat Workboats that was utilized to calculate the gain on the sale of Windcat Workboats. Summarized selected operating results of the Company’s assets held for sale and discontinued operations were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9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11"/>
        </w:trPr>
        <w:tc>
          <w:tcPr>
            <w:tcW w:w="8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Windcat Workboats</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shd w:val="clear" w:color="auto" w:fill="CFF0FC"/>
          </w:tcPr>
          <w:p>
            <w:pPr>
              <w:spacing w:after="0"/>
              <w:rPr>
                <w:sz w:val="19"/>
                <w:szCs w:val="19"/>
                <w:color w:val="auto"/>
              </w:rPr>
            </w:pPr>
          </w:p>
        </w:tc>
      </w:tr>
      <w:tr>
        <w:trPr>
          <w:trHeight w:val="213"/>
        </w:trPr>
        <w:tc>
          <w:tcPr>
            <w:tcW w:w="8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Other revenue</w:t>
            </w: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FF0FC"/>
            </w:tcBorders>
          </w:tcPr>
          <w:p>
            <w:pPr>
              <w:spacing w:after="0"/>
              <w:rPr>
                <w:sz w:val="18"/>
                <w:szCs w:val="18"/>
                <w:color w:val="auto"/>
              </w:rPr>
            </w:pPr>
          </w:p>
        </w:tc>
      </w:tr>
      <w:tr>
        <w:trPr>
          <w:trHeight w:val="212"/>
        </w:trPr>
        <w:tc>
          <w:tcPr>
            <w:tcW w:w="89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shd w:val="clear" w:color="auto" w:fill="CFF0FC"/>
          </w:tcPr>
          <w:p>
            <w:pPr>
              <w:spacing w:after="0"/>
              <w:rPr>
                <w:sz w:val="18"/>
                <w:szCs w:val="18"/>
                <w:color w:val="auto"/>
              </w:rPr>
            </w:pPr>
          </w:p>
        </w:tc>
      </w:tr>
      <w:tr>
        <w:trPr>
          <w:trHeight w:val="207"/>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8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12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FF0FC"/>
          </w:tcPr>
          <w:p>
            <w:pPr>
              <w:spacing w:after="0"/>
              <w:rPr>
                <w:sz w:val="19"/>
                <w:szCs w:val="19"/>
                <w:color w:val="auto"/>
              </w:rPr>
            </w:pPr>
          </w:p>
        </w:tc>
      </w:tr>
      <w:tr>
        <w:trPr>
          <w:trHeight w:val="207"/>
        </w:trPr>
        <w:tc>
          <w:tcPr>
            <w:tcW w:w="8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 Vessel Profit</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7"/>
                <w:szCs w:val="17"/>
                <w:color w:val="auto"/>
              </w:rPr>
            </w:pPr>
          </w:p>
        </w:tc>
      </w:tr>
      <w:tr>
        <w:trPr>
          <w:trHeight w:val="219"/>
        </w:trPr>
        <w:tc>
          <w:tcPr>
            <w:tcW w:w="8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r>
      <w:tr>
        <w:trPr>
          <w:trHeight w:val="216"/>
        </w:trPr>
        <w:tc>
          <w:tcPr>
            <w:tcW w:w="8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Expense</w:t>
            </w:r>
          </w:p>
        </w:tc>
        <w:tc>
          <w:tcPr>
            <w:tcW w:w="12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FF0FC"/>
          </w:tcPr>
          <w:p>
            <w:pPr>
              <w:spacing w:after="0"/>
              <w:rPr>
                <w:sz w:val="18"/>
                <w:szCs w:val="18"/>
                <w:color w:val="auto"/>
              </w:rPr>
            </w:pPr>
          </w:p>
        </w:tc>
      </w:tr>
      <w:tr>
        <w:trPr>
          <w:trHeight w:val="210"/>
        </w:trPr>
        <w:tc>
          <w:tcPr>
            <w:tcW w:w="89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Borders>
              <w:bottom w:val="single" w:sz="8" w:color="CFF0FC"/>
            </w:tcBorders>
          </w:tcPr>
          <w:p>
            <w:pPr>
              <w:spacing w:after="0"/>
              <w:rPr>
                <w:sz w:val="18"/>
                <w:szCs w:val="18"/>
                <w:color w:val="auto"/>
              </w:rPr>
            </w:pPr>
          </w:p>
        </w:tc>
      </w:tr>
      <w:tr>
        <w:trPr>
          <w:trHeight w:val="212"/>
        </w:trPr>
        <w:tc>
          <w:tcPr>
            <w:tcW w:w="8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FF0FC"/>
          </w:tcPr>
          <w:p>
            <w:pPr>
              <w:spacing w:after="0"/>
              <w:rPr>
                <w:sz w:val="18"/>
                <w:szCs w:val="18"/>
                <w:color w:val="auto"/>
              </w:rPr>
            </w:pPr>
          </w:p>
        </w:tc>
      </w:tr>
      <w:tr>
        <w:trPr>
          <w:trHeight w:val="207"/>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8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9"/>
                <w:szCs w:val="19"/>
                <w:color w:val="auto"/>
              </w:rPr>
            </w:pPr>
          </w:p>
        </w:tc>
      </w:tr>
      <w:tr>
        <w:trPr>
          <w:trHeight w:val="213"/>
        </w:trPr>
        <w:tc>
          <w:tcPr>
            <w:tcW w:w="8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r>
      <w:tr>
        <w:trPr>
          <w:trHeight w:val="216"/>
        </w:trPr>
        <w:tc>
          <w:tcPr>
            <w:tcW w:w="8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12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FF0FC"/>
          </w:tcPr>
          <w:p>
            <w:pPr>
              <w:spacing w:after="0"/>
              <w:rPr>
                <w:sz w:val="18"/>
                <w:szCs w:val="18"/>
                <w:color w:val="auto"/>
              </w:rPr>
            </w:pPr>
          </w:p>
        </w:tc>
      </w:tr>
      <w:tr>
        <w:trPr>
          <w:trHeight w:val="209"/>
        </w:trPr>
        <w:tc>
          <w:tcPr>
            <w:tcW w:w="89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FF0FC"/>
            </w:tcBorders>
          </w:tcPr>
          <w:p>
            <w:pPr>
              <w:spacing w:after="0"/>
              <w:rPr>
                <w:sz w:val="18"/>
                <w:szCs w:val="18"/>
                <w:color w:val="auto"/>
              </w:rPr>
            </w:pPr>
          </w:p>
        </w:tc>
      </w:tr>
      <w:tr>
        <w:trPr>
          <w:trHeight w:val="212"/>
        </w:trPr>
        <w:tc>
          <w:tcPr>
            <w:tcW w:w="8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 Before Equity Earnings of 50% or Less Owned Companies, Net of Tax</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FF0FC"/>
          </w:tcPr>
          <w:p>
            <w:pPr>
              <w:spacing w:after="0"/>
              <w:rPr>
                <w:sz w:val="18"/>
                <w:szCs w:val="18"/>
                <w:color w:val="auto"/>
              </w:rPr>
            </w:pPr>
          </w:p>
        </w:tc>
      </w:tr>
      <w:tr>
        <w:trPr>
          <w:trHeight w:val="213"/>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Pr>
          <w:p>
            <w:pPr>
              <w:spacing w:after="0"/>
              <w:rPr>
                <w:sz w:val="18"/>
                <w:szCs w:val="18"/>
                <w:color w:val="auto"/>
              </w:rPr>
            </w:pPr>
          </w:p>
        </w:tc>
        <w:tc>
          <w:tcPr>
            <w:tcW w:w="2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 Before Equity Earnings of 50% or Less Owned Companies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8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 in Earnings (Losses) of 50% or Less Owned Companies, Net of Tax</w:t>
            </w: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FF0FC"/>
            </w:tcBorders>
          </w:tcPr>
          <w:p>
            <w:pPr>
              <w:spacing w:after="0"/>
              <w:rPr>
                <w:sz w:val="17"/>
                <w:szCs w:val="17"/>
                <w:color w:val="auto"/>
              </w:rPr>
            </w:pPr>
          </w:p>
        </w:tc>
      </w:tr>
      <w:tr>
        <w:trPr>
          <w:trHeight w:val="210"/>
        </w:trPr>
        <w:tc>
          <w:tcPr>
            <w:tcW w:w="8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from Discontinued Operations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5" w:name="page26"/>
    <w:bookmarkEnd w:id="25"/>
    <w:p>
      <w:pPr>
        <w:jc w:val="both"/>
        <w:ind w:left="800" w:hanging="795"/>
        <w:spacing w:after="0" w:line="262" w:lineRule="auto"/>
        <w:rPr>
          <w:sz w:val="20"/>
          <w:szCs w:val="20"/>
          <w:color w:val="auto"/>
        </w:rPr>
      </w:pPr>
      <w:r>
        <w:rPr>
          <w:rFonts w:ascii="Times New Roman" w:cs="Times New Roman" w:eastAsia="Times New Roman" w:hAnsi="Times New Roman"/>
          <w:sz w:val="22"/>
          <w:szCs w:val="22"/>
          <w:b w:val="1"/>
          <w:bCs w:val="1"/>
          <w:color w:val="auto"/>
        </w:rPr>
        <w:t>ITEM 2.MANAGEMENT’S DISCUSSION AND ANALYSIS OF FINANCIAL CONDITION AND RESULTS OF OPERATIONS</w:t>
      </w:r>
    </w:p>
    <w:p>
      <w:pPr>
        <w:spacing w:after="0" w:line="10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i w:val="1"/>
          <w:iCs w:val="1"/>
          <w:color w:val="auto"/>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the Risk Factors and Management’s Discussion and Analysis of Financial Condition and Results of Operations of the Company’s 2021 Annual Report on Form 10-K and this Quarterly Report on Form 10-Q.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7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following Management’s Discussion and Analysis (the “MD&amp;A”) is intended to help the reader understand the Company’s financial condition and results of operations. The MD&amp;A is provided as a supplement to, and should be read in conjunction with the unaudited consolidated financial statements and notes thereto included in this Quarterly Report on Form 10-Q, as well as “Management’s Discussion and Analysis of Financial Condition and Results of Operations” contained in the 2021 Annual Report.</w:t>
      </w:r>
    </w:p>
    <w:p>
      <w:pPr>
        <w:spacing w:after="0" w:line="13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provides global marine and support transportation services to offshore energy facilities worldwide. As of June 30, 2022, the Company and its joint ventures operated a diverse fleet of 80 support vessels, of which 58 were owned or leased-in, 20 were joint-ventured, and two were managed on behalf of unaffiliated third-parties. The primary users of the Company’s services are major integrated oil companies, large independent oil and natural gas exploration and production companies and emerging independent companies, as well as windfarm operators and installation contractors.</w:t>
      </w:r>
    </w:p>
    <w:p>
      <w:pPr>
        <w:spacing w:after="0" w:line="15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The Company and its joint ventures operate and manage a diverse fleet of offshore support vessels that (i) deliver cargo and personnel to offshore installations including wind farms, (ii) handle anchors and mooring equipment required to tether rigs to the seabed, and assist in placing them on location and moving them between regions, (iii) provide construction, well work-over, maintenance and decommissioning support and (iv) carry and launch equipment used underwater in drilling and well installation, maintenance, inspection and repair. Additionally, the Company’s vessels provide accommodations for technicians and specialists.</w:t>
      </w:r>
    </w:p>
    <w:p>
      <w:pPr>
        <w:spacing w:after="0" w:line="12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Company operates its fleet in four principal geographic regions: the U.S., primarily in the Gulf of Mexico; Africa and Europe; the Middle East and Asia; and Latin America, primarily in Mexico, Brazil and Guyana. The Company’s vessels are highly mobile and regularly and routinely move between countries within a geographic region. In addition, the Company’s vessels are redeployed among geographic regions, subject to flag restrictions, as changes in market conditions dictate.</w:t>
      </w:r>
    </w:p>
    <w:p>
      <w:pPr>
        <w:spacing w:after="0" w:line="14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6" w:name="page27"/>
    <w:bookmarkEnd w:id="26"/>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Offshore oil and natural gas market conditions are highly volatile. Prices deteriorated beginning in the second half of 2014 and continued to deteriorate when oil prices hit a thirteen-year low of less than $27 per barrel (on the New York Mercantile Exchange) in February 2016. Oil prices experienced unprecedented volatility during 2020 due to the COVID-19 pandemic and the related effects on the global economy, with the price per barrel going negative for a short period of time. Oil prices have steadily increased since the lows hit at the beginning of the COVID-19 pandemic and hit a multi-year high of $122 per barrel primarily as a result of the conflict between Russia and Ukraine as well as the related economic sanctions but have recently decreased to the mid $90 per barrel range. While the Company has experienced difficult market conditions over the past few years due to low and volatile oil and natural gas prices and the focus of oil and natural gas producing companies on cost and capital spending budget reductions, the increases since the lows experienced during the pandemic in oil and natural gas prices has led to an increase in utilization, day rates and customer inquiries about potential new charters. The Company continues to closely monitor the dynamics related to the COVID-19 pandemic so that it may adjust its operations if necessary.</w:t>
      </w:r>
    </w:p>
    <w:p>
      <w:pPr>
        <w:spacing w:after="0" w:line="16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Certain macro drivers somewhat independent of oil and natural gas prices may support the Company’s business, including: (i) underspending by oil and gas producers during the recent industry downturn leading to pent up demand for maintenance and growth capital expenditures; (ii) improved extraction technologies; and (iii) the need for offshore wind facilities support as the industry grows. While we expect that alternative forms of energy will continue to grow and add to the world’s energy mix especially as governments, supranational groups and various other parties focus on climate change causes and concerns, the Company believes that for the foreseeable future demand for gasoline and oil will be sustained, as will demand for electricity from natural gas. Some alternative forms of energy such as offshore wind facilities support some of the Company’s businesses and we expect such support to increase as development of such energy expands. Low oil prices and the subsequent decline in offshore exploration have forced many operators in the industry to restructure or liquidate assets. The Company continues to closely monitor the delivery of newly built offshore support vessels to the industry-wide fleet, which in the recent past contributed to an oversaturated market, thereby further lowering the demand for the Company’s existing offshore support vessel fleet. A continuation of (i) low customer exploration and drilling activity levels, and (ii) continued excess supply of offshore support vessels whether from laid up fleets or newly built vessels could, in isolation or together, have a material adverse effect on the Company’s business, financial position, results of operations, cash flows and growth prospects.</w:t>
      </w:r>
    </w:p>
    <w:p>
      <w:pPr>
        <w:spacing w:after="0" w:line="13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June 30, 2022, three of the Company’s 58 owned and leased-in, in-service vessels were cold-stacked worldwide.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7" w:name="page28"/>
    <w:bookmarkEnd w:id="27"/>
    <w:p>
      <w:pPr>
        <w:ind w:left="760"/>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SEACOR 88/888 Term Loan Facility. </w:t>
      </w:r>
      <w:r>
        <w:rPr>
          <w:rFonts w:ascii="Times New Roman" w:cs="Times New Roman" w:eastAsia="Times New Roman" w:hAnsi="Times New Roman"/>
          <w:sz w:val="22"/>
          <w:szCs w:val="22"/>
          <w:color w:val="auto"/>
        </w:rPr>
        <w:t>On August 2, 2022, SEACOR Marine, SEACOR Offshore Eight LLC, a wholly-owned subsidiary of SEACOR Marine, and certain vessel owning wholly-owned subsidiaries of SEACOR Marine, entered into the 2022 88/888 Amendment to the SEACOR 88/888 Term Loan. The SEACOR 88/888 Term Loan is secured by two vessels and SEACOR Marine has provided a limited guaranty of such loan under which claims recoverable from SEACOR Marine shall not exceed the lesser of (x) $5.5 million and (y) 50% of the obligations outstanding at the time a claim is made thereunder. The 2022 88/888 Amendment provides for, among other things, (i) the extension of the maturity date of the SEACOR 88/888 Term Loan from June 29, 2023 to July 1, 2024, and (ii) the amendment of the applicable interest rate margin over SOFR from 3.75% to 4.75%.</w:t>
      </w:r>
    </w:p>
    <w:p>
      <w:pPr>
        <w:spacing w:after="0" w:line="13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SEACOR Marine Foreign Holdings Credit Facility. </w:t>
      </w:r>
      <w:r>
        <w:rPr>
          <w:rFonts w:ascii="Times New Roman" w:cs="Times New Roman" w:eastAsia="Times New Roman" w:hAnsi="Times New Roman"/>
          <w:sz w:val="22"/>
          <w:szCs w:val="22"/>
          <w:color w:val="auto"/>
        </w:rPr>
        <w:t>On June 15, 2022, SEACOR Marine, SMFH, and certain vessel-owning subsidiaries of SEACOR Marine, entered into SMFH Amendment No. 4 to that certain SMFH Credit Facility and, in connection therewith, SEACOR Marine entered into the A&amp;R SMFH Guaranty. SMFH Amendment No. 4 and the A&amp;R SMFH Guaranty provide for, among other things, (i) an increase in the Margin from 3.75% per annum to 4.75% per annum through December 31, 2022 at which point the Margin will revert to 3.75% and (ii) the modification of certain financial maintenance and restrictive covenants contained in the guaranty provided by SEACOR Marine with respect to the SMFH Credit Facility, including to amend the definition of Cash and Cash Equivalents to include 35% of the accounts receivable as reported in SEACOR Marine’s financial statements for the second, third and fourth quarter of fiscal year 2022 and to amend the interest coverage ratio through December 31, 2022.</w:t>
      </w:r>
    </w:p>
    <w:p>
      <w:pPr>
        <w:spacing w:after="0" w:line="13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OSV Partners</w:t>
      </w:r>
      <w:r>
        <w:rPr>
          <w:rFonts w:ascii="Times New Roman" w:cs="Times New Roman" w:eastAsia="Times New Roman" w:hAnsi="Times New Roman"/>
          <w:sz w:val="21"/>
          <w:szCs w:val="21"/>
          <w:color w:val="auto"/>
        </w:rPr>
        <w:t>. SEACOR OSV PARTNERS I LP, a Delaware limited partnership (“OSV Partners I”), was a joint venture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that owned and operated five PSVs for which the Company acted as one of the general partners and also held a limited partnership interest in. On December 31, 2021, pursuant an agreement and plan of merger (the “Merger Agreement”) among SEACOR Marine, SEACOR Offshore OSV LLC, a Delaware limited liability company and an indirect wholly-owned subsidiary</w:t>
      </w:r>
    </w:p>
    <w:p>
      <w:pPr>
        <w:spacing w:after="0" w:line="11"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22"/>
          <w:szCs w:val="22"/>
          <w:color w:val="auto"/>
        </w:rPr>
        <w:t>of the Company (“SEACOR Offshore OSV”) and OSV Partners I, OSV Partners I merged with and into SEACOR Offshore OSV with SEACOR Offshore OSV surviving the merger (the “Merger”).</w:t>
      </w:r>
    </w:p>
    <w:p>
      <w:pPr>
        <w:spacing w:after="0" w:line="6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In connection with the consummation of the Merger, the Company issued an aggregate of 1,567,935 shares of common stock of the Company, par value $0.01 per share (the “Common Stock”), as follows:</w:t>
      </w:r>
    </w:p>
    <w:p>
      <w:pPr>
        <w:spacing w:after="0" w:line="118" w:lineRule="exact"/>
        <w:rPr>
          <w:sz w:val="20"/>
          <w:szCs w:val="20"/>
          <w:color w:val="auto"/>
        </w:rPr>
      </w:pPr>
    </w:p>
    <w:p>
      <w:pPr>
        <w:ind w:left="1500" w:right="20" w:hanging="750"/>
        <w:spacing w:after="0" w:line="258" w:lineRule="auto"/>
        <w:tabs>
          <w:tab w:leader="none" w:pos="15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531,872 shares of Common Stock as consideration for the Merger paid to OSV Partners I’s limited partners (other than the Company and its subsidiaries), and</w:t>
      </w:r>
    </w:p>
    <w:p>
      <w:pPr>
        <w:spacing w:after="0" w:line="117" w:lineRule="exact"/>
        <w:rPr>
          <w:rFonts w:ascii="Times New Roman" w:cs="Times New Roman" w:eastAsia="Times New Roman" w:hAnsi="Times New Roman"/>
          <w:sz w:val="22"/>
          <w:szCs w:val="22"/>
          <w:color w:val="auto"/>
        </w:rPr>
      </w:pPr>
    </w:p>
    <w:p>
      <w:pPr>
        <w:jc w:val="both"/>
        <w:ind w:left="1500" w:hanging="750"/>
        <w:spacing w:after="0" w:line="239" w:lineRule="auto"/>
        <w:tabs>
          <w:tab w:leader="none" w:pos="15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1,036,063 shares of Common Stock as payment to settle all amounts and other obligations outstanding under the Subordinated PIK Loan Agreement, dated September 28, 2018 (as amended on December 22, 2021, the “PIK Loan Agreement”) and paid to the former lenders thereunder (all of whom were limited partners of OSV Partners 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28" w:name="page29"/>
    <w:bookmarkEnd w:id="28"/>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connection with the Merger, the Company and SEACOR Offshore OSV assumed and guaranteed approximately $18.1 million of OSV Partners I’s third-party indebtedness outstanding under the amended and restated senior secured term loan credit facility agreement dated as of September 28, 2018, by and among OSV Partners I and lenders and other parties thereto.</w:t>
      </w:r>
    </w:p>
    <w:p>
      <w:pPr>
        <w:spacing w:after="0" w:line="13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a result of the Merger, the five 201’, 1,900 tons deadweight capacity, PSVs owned by OSV Partners I are now 100% owned by the Company, bringing the Company’s owned PSV fleet to 20. Of the five PSVs previously owned by OSV Partners I, three are U.S. flagged and currently located in the Gulf of Mexico, and two are Marshall Island flagged and currently located in the Middle East. As of December 31, 2021, these five PSVs had an average age of seven years.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Results of Operations</w:t>
      </w:r>
    </w:p>
    <w:p>
      <w:pPr>
        <w:spacing w:after="0" w:line="17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sections below provide an analysis of the Company’s results of operations for the three and six months (“Current Year Quarter” and “Current Year Six Months”) ended June 30, 2022 compared with the three and six months (“Prior Year Quarter” and “Prior Year Six Months”) ended June 30, 2021. For the periods indicated, the Company’s consolidated results of operations were as follows (in thousands, except statistics):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3"/>
        </w:trPr>
        <w:tc>
          <w:tcPr>
            <w:tcW w:w="4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Average Rates Per Day</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Fleet Utilization</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77%</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67%</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73%</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61%</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Fleet Available Days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49,504</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41,474</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92,245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75,764</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w:t>
            </w:r>
          </w:p>
        </w:tc>
      </w:tr>
      <w:tr>
        <w:trPr>
          <w:trHeight w:val="219"/>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40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24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240" w:type="dxa"/>
            <w:vAlign w:val="bottom"/>
            <w:tcBorders>
              <w:bottom w:val="single" w:sz="8" w:color="CFF0FC"/>
            </w:tcBorders>
          </w:tcPr>
          <w:p>
            <w:pPr>
              <w:spacing w:after="0"/>
              <w:rPr>
                <w:sz w:val="18"/>
                <w:szCs w:val="18"/>
                <w:color w:val="auto"/>
              </w:rPr>
            </w:pPr>
          </w:p>
        </w:tc>
        <w:tc>
          <w:tcPr>
            <w:tcW w:w="64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26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2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40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54,017</w:t>
            </w:r>
          </w:p>
        </w:tc>
        <w:tc>
          <w:tcPr>
            <w:tcW w:w="2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42,799</w:t>
            </w:r>
          </w:p>
        </w:tc>
        <w:tc>
          <w:tcPr>
            <w:tcW w:w="2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99,608</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79,311</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r>
      <w:tr>
        <w:trPr>
          <w:trHeight w:val="207"/>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9"/>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0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18,346</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14,353</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27,771</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4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6,959</w:t>
            </w: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15,171</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10,799</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40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6,474</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5,009</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4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40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8,079</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4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r>
      <w:tr>
        <w:trPr>
          <w:trHeight w:val="207"/>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44,145</w:t>
            </w:r>
          </w:p>
        </w:tc>
        <w:tc>
          <w:tcPr>
            <w:tcW w:w="2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32,615</w:t>
            </w:r>
          </w:p>
        </w:tc>
        <w:tc>
          <w:tcPr>
            <w:tcW w:w="2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83,641</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58,922</w:t>
            </w:r>
          </w:p>
        </w:tc>
        <w:tc>
          <w:tcPr>
            <w:tcW w:w="2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w:t>
            </w:r>
          </w:p>
        </w:tc>
      </w:tr>
      <w:tr>
        <w:trPr>
          <w:trHeight w:val="219"/>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Lease expense - operating</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4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10,210</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9,152</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17,763</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14,208</w:t>
            </w:r>
          </w:p>
        </w:tc>
        <w:tc>
          <w:tcPr>
            <w:tcW w:w="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14,093</w:t>
            </w: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28,891</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r>
      <w:tr>
        <w:trPr>
          <w:trHeight w:val="207"/>
        </w:trPr>
        <w:tc>
          <w:tcPr>
            <w:tcW w:w="40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69,571</w:t>
            </w:r>
          </w:p>
        </w:tc>
        <w:tc>
          <w:tcPr>
            <w:tcW w:w="24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w:t>
            </w:r>
          </w:p>
        </w:tc>
        <w:tc>
          <w:tcPr>
            <w:tcW w:w="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57,094</w:t>
            </w:r>
          </w:p>
        </w:tc>
        <w:tc>
          <w:tcPr>
            <w:tcW w:w="240" w:type="dxa"/>
            <w:vAlign w:val="bottom"/>
            <w:tcBorders>
              <w:bottom w:val="single" w:sz="8" w:color="CFF0FC"/>
            </w:tcBorders>
          </w:tcPr>
          <w:p>
            <w:pPr>
              <w:spacing w:after="0"/>
              <w:rPr>
                <w:sz w:val="17"/>
                <w:szCs w:val="17"/>
                <w:color w:val="auto"/>
              </w:rPr>
            </w:pPr>
          </w:p>
        </w:tc>
        <w:tc>
          <w:tcPr>
            <w:tcW w:w="64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134,422</w:t>
            </w:r>
          </w:p>
        </w:tc>
        <w:tc>
          <w:tcPr>
            <w:tcW w:w="26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107,888</w:t>
            </w:r>
          </w:p>
        </w:tc>
        <w:tc>
          <w:tcPr>
            <w:tcW w:w="2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w:t>
            </w:r>
          </w:p>
        </w:tc>
      </w:tr>
      <w:tr>
        <w:trPr>
          <w:trHeight w:val="212"/>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Gains on Asset Dispositions and Impairments, Net</w:t>
            </w:r>
          </w:p>
        </w:tc>
        <w:tc>
          <w:tcPr>
            <w:tcW w:w="2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22,653</w:t>
            </w:r>
          </w:p>
        </w:tc>
        <w:tc>
          <w:tcPr>
            <w:tcW w:w="2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20,380</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r>
      <w:tr>
        <w:trPr>
          <w:trHeight w:val="207"/>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 Income</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(15,529)</w:t>
            </w:r>
          </w:p>
        </w:tc>
        <w:tc>
          <w:tcPr>
            <w:tcW w:w="2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8,358</w:t>
            </w:r>
          </w:p>
        </w:tc>
        <w:tc>
          <w:tcPr>
            <w:tcW w:w="2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(32,650)</w:t>
            </w:r>
          </w:p>
        </w:tc>
        <w:tc>
          <w:tcPr>
            <w:tcW w:w="2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24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(5,637)</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54,191</w:t>
            </w: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127%</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(11,448)</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47,041</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r>
      <w:tr>
        <w:trPr>
          <w:trHeight w:val="196"/>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(Loss) Income from Continuing Operations Before</w:t>
            </w: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and Equity in Earnings of 50% or</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Less Owned Companies</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(21,166)</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62,549</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(44,098)</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38,844</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(1,634)</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15,915</w:t>
            </w: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(4,055)</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13,227</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r>
      <w:tr>
        <w:trPr>
          <w:trHeight w:val="196"/>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(Loss) Income from Continuing Operations Before</w:t>
            </w: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Equity in Earnings of 50% or Less Owned</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Companies</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(19,532)</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46,634</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(40,043)</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25,617</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r>
      <w:tr>
        <w:trPr>
          <w:trHeight w:val="205"/>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Earnings Gains of 50% or Less Owned</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Companies</w:t>
            </w:r>
          </w:p>
        </w:tc>
        <w:tc>
          <w:tcPr>
            <w:tcW w:w="2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2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6,089</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(Loss) Income from Continuing Operations</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(19,117)</w:t>
            </w:r>
          </w:p>
        </w:tc>
        <w:tc>
          <w:tcPr>
            <w:tcW w:w="2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48,801</w:t>
            </w:r>
          </w:p>
        </w:tc>
        <w:tc>
          <w:tcPr>
            <w:tcW w:w="2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(33,954)</w:t>
            </w:r>
          </w:p>
        </w:tc>
        <w:tc>
          <w:tcPr>
            <w:tcW w:w="2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31,887</w:t>
            </w:r>
          </w:p>
        </w:tc>
        <w:tc>
          <w:tcPr>
            <w:tcW w:w="2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r>
      <w:tr>
        <w:trPr>
          <w:trHeight w:val="21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22,925</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r>
      <w:tr>
        <w:trPr>
          <w:trHeight w:val="207"/>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(19,117)</w:t>
            </w:r>
          </w:p>
        </w:tc>
        <w:tc>
          <w:tcPr>
            <w:tcW w:w="2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48,801</w:t>
            </w:r>
          </w:p>
        </w:tc>
        <w:tc>
          <w:tcPr>
            <w:tcW w:w="2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(33,954)</w:t>
            </w:r>
          </w:p>
        </w:tc>
        <w:tc>
          <w:tcPr>
            <w:tcW w:w="2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54,812</w:t>
            </w:r>
          </w:p>
        </w:tc>
        <w:tc>
          <w:tcPr>
            <w:tcW w:w="2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w:t>
            </w:r>
          </w:p>
        </w:tc>
      </w:tr>
      <w:tr>
        <w:trPr>
          <w:trHeight w:val="205"/>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 in</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Subsidiaries</w:t>
            </w:r>
          </w:p>
        </w:tc>
        <w:tc>
          <w:tcPr>
            <w:tcW w:w="2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r>
      <w:tr>
        <w:trPr>
          <w:trHeight w:val="196"/>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 attributable to SEACOR Marine</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Holdings Inc.</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(19,120)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48,800</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(33,957)</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54,811</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w:t>
            </w:r>
          </w:p>
        </w:tc>
      </w:tr>
      <w:tr>
        <w:trPr>
          <w:trHeight w:val="20"/>
        </w:trPr>
        <w:tc>
          <w:tcPr>
            <w:tcW w:w="4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29" w:name="page30"/>
    <w:bookmarkEnd w:id="29"/>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Direct Vessel Profit. </w:t>
      </w:r>
      <w:r>
        <w:rPr>
          <w:rFonts w:ascii="Times New Roman" w:cs="Times New Roman" w:eastAsia="Times New Roman" w:hAnsi="Times New Roman"/>
          <w:sz w:val="22"/>
          <w:szCs w:val="22"/>
          <w:color w:val="auto"/>
        </w:rPr>
        <w:t>Direct vessel profit (defined as operating revenues less operating expenses excluding leased-in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equipment, “DVP”) is the Company’s measure of segment profitability. DVP is a critical financial measure used by the Company to analyze and compare the operating performance of its regions, without regard to financing decisions (depreciation and interest expense for owned vessels vs. lease expense for leased-in vessels). See “Note 11. Segment Information” to the Unaudited Consolidated Financial Statements included in Part I. Item 1. “Financial Statements” elsewhere in the Quarterly Report on Form 10-Q.</w:t>
      </w:r>
    </w:p>
    <w:p>
      <w:pPr>
        <w:spacing w:after="0" w:line="14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tables summarize the operating results and property and equipment for the Company’s reportable segments for the periods indicated (in thousands, except statistics):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East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9"/>
              </w:rPr>
              <w:t>and Europe</w:t>
            </w:r>
          </w:p>
        </w:tc>
        <w:tc>
          <w:tcPr>
            <w:tcW w:w="100" w:type="dxa"/>
            <w:vAlign w:val="bottom"/>
          </w:tcPr>
          <w:p>
            <w:pPr>
              <w:spacing w:after="0"/>
              <w:rPr>
                <w:sz w:val="19"/>
                <w:szCs w:val="19"/>
                <w:color w:val="auto"/>
              </w:rPr>
            </w:pPr>
          </w:p>
        </w:tc>
        <w:tc>
          <w:tcPr>
            <w:tcW w:w="1160" w:type="dxa"/>
            <w:vAlign w:val="bottom"/>
            <w:gridSpan w:val="2"/>
          </w:tcPr>
          <w:p>
            <w:pPr>
              <w:jc w:val="center"/>
              <w:ind w:right="320"/>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and Asia </w:t>
            </w:r>
            <w:r>
              <w:rPr>
                <w:rFonts w:ascii="Times New Roman" w:cs="Times New Roman" w:eastAsia="Times New Roman" w:hAnsi="Times New Roman"/>
                <w:sz w:val="25"/>
                <w:szCs w:val="25"/>
                <w:b w:val="1"/>
                <w:bCs w:val="1"/>
                <w:color w:val="auto"/>
                <w:vertAlign w:val="superscript"/>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2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2022</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17,792</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9,673</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12,149</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5,311</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9,759</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13,906</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49,504</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18"/>
                <w:szCs w:val="18"/>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40" w:type="dxa"/>
            <w:vAlign w:val="bottom"/>
            <w:shd w:val="clear" w:color="auto" w:fill="CFF0FC"/>
          </w:tcPr>
          <w:p>
            <w:pPr>
              <w:spacing w:after="0"/>
              <w:rPr>
                <w:sz w:val="18"/>
                <w:szCs w:val="18"/>
                <w:color w:val="auto"/>
              </w:rPr>
            </w:pPr>
          </w:p>
        </w:tc>
      </w:tr>
      <w:tr>
        <w:trPr>
          <w:trHeight w:val="209"/>
        </w:trPr>
        <w:tc>
          <w:tcPr>
            <w:tcW w:w="46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12,158</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16,002</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14,366</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11,491</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54,017</w:t>
            </w:r>
          </w:p>
        </w:tc>
        <w:tc>
          <w:tcPr>
            <w:tcW w:w="140" w:type="dxa"/>
            <w:vAlign w:val="bottom"/>
            <w:tcBorders>
              <w:bottom w:val="single" w:sz="8" w:color="CFF0FC"/>
            </w:tcBorders>
          </w:tcPr>
          <w:p>
            <w:pPr>
              <w:spacing w:after="0"/>
              <w:rPr>
                <w:sz w:val="18"/>
                <w:szCs w:val="18"/>
                <w:color w:val="auto"/>
              </w:rPr>
            </w:pPr>
          </w:p>
        </w:tc>
      </w:tr>
      <w:tr>
        <w:trPr>
          <w:trHeight w:val="212"/>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18,346</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6,474</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40" w:type="dxa"/>
            <w:vAlign w:val="bottom"/>
            <w:tcBorders>
              <w:bottom w:val="single" w:sz="8" w:color="CFF0FC"/>
            </w:tcBorders>
          </w:tcPr>
          <w:p>
            <w:pPr>
              <w:spacing w:after="0"/>
              <w:rPr>
                <w:sz w:val="18"/>
                <w:szCs w:val="18"/>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9,988</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44,145</w:t>
            </w:r>
          </w:p>
        </w:tc>
        <w:tc>
          <w:tcPr>
            <w:tcW w:w="140" w:type="dxa"/>
            <w:vAlign w:val="bottom"/>
            <w:shd w:val="clear" w:color="auto" w:fill="CFF0FC"/>
          </w:tcPr>
          <w:p>
            <w:pPr>
              <w:spacing w:after="0"/>
              <w:rPr>
                <w:sz w:val="18"/>
                <w:szCs w:val="18"/>
                <w:color w:val="auto"/>
              </w:rPr>
            </w:pPr>
          </w:p>
        </w:tc>
      </w:tr>
      <w:tr>
        <w:trPr>
          <w:trHeight w:val="250"/>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(Loss)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6,014</w:t>
            </w:r>
          </w:p>
        </w:tc>
        <w:tc>
          <w:tcPr>
            <w:tcW w:w="2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9,872</w:t>
            </w:r>
          </w:p>
        </w:tc>
        <w:tc>
          <w:tcPr>
            <w:tcW w:w="140" w:type="dxa"/>
            <w:vAlign w:val="bottom"/>
            <w:tcBorders>
              <w:bottom w:val="single" w:sz="8" w:color="CFF0FC"/>
            </w:tcBorders>
          </w:tcPr>
          <w:p>
            <w:pPr>
              <w:spacing w:after="0"/>
              <w:rPr>
                <w:sz w:val="21"/>
                <w:szCs w:val="21"/>
                <w:color w:val="auto"/>
              </w:rPr>
            </w:pPr>
          </w:p>
        </w:tc>
      </w:tr>
      <w:tr>
        <w:trPr>
          <w:trHeight w:val="19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40" w:type="dxa"/>
            <w:vAlign w:val="bottom"/>
          </w:tcPr>
          <w:p>
            <w:pPr>
              <w:spacing w:after="0"/>
              <w:rPr>
                <w:sz w:val="18"/>
                <w:szCs w:val="18"/>
                <w:color w:val="auto"/>
              </w:rPr>
            </w:pPr>
          </w:p>
        </w:tc>
      </w:tr>
      <w:tr>
        <w:trPr>
          <w:trHeight w:val="25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10,210</w:t>
            </w:r>
          </w:p>
        </w:tc>
        <w:tc>
          <w:tcPr>
            <w:tcW w:w="140" w:type="dxa"/>
            <w:vAlign w:val="bottom"/>
            <w:shd w:val="clear" w:color="auto" w:fill="CFF0FC"/>
          </w:tcPr>
          <w:p>
            <w:pPr>
              <w:spacing w:after="0"/>
              <w:rPr>
                <w:sz w:val="22"/>
                <w:szCs w:val="22"/>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14,208</w:t>
            </w:r>
          </w:p>
        </w:tc>
        <w:tc>
          <w:tcPr>
            <w:tcW w:w="140" w:type="dxa"/>
            <w:vAlign w:val="bottom"/>
            <w:tcBorders>
              <w:bottom w:val="single" w:sz="8" w:color="CFF0FC"/>
            </w:tcBorders>
          </w:tcPr>
          <w:p>
            <w:pPr>
              <w:spacing w:after="0"/>
              <w:rPr>
                <w:sz w:val="18"/>
                <w:szCs w:val="18"/>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25,426</w:t>
            </w:r>
          </w:p>
        </w:tc>
        <w:tc>
          <w:tcPr>
            <w:tcW w:w="140" w:type="dxa"/>
            <w:vAlign w:val="bottom"/>
            <w:shd w:val="clear" w:color="auto" w:fill="CFF0FC"/>
          </w:tcPr>
          <w:p>
            <w:pPr>
              <w:spacing w:after="0"/>
              <w:rPr>
                <w:sz w:val="18"/>
                <w:szCs w:val="18"/>
                <w:color w:val="auto"/>
              </w:rPr>
            </w:pPr>
          </w:p>
        </w:tc>
      </w:tr>
      <w:tr>
        <w:trPr>
          <w:trHeight w:val="207"/>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Gain on Asset Dispositions and Impairments</w:t>
            </w: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Borders>
              <w:bottom w:val="single" w:sz="8" w:color="CFF0FC"/>
            </w:tcBorders>
          </w:tcPr>
          <w:p>
            <w:pPr>
              <w:spacing w:after="0"/>
              <w:rPr>
                <w:sz w:val="17"/>
                <w:szCs w:val="17"/>
                <w:color w:val="auto"/>
              </w:rPr>
            </w:pPr>
          </w:p>
        </w:tc>
      </w:tr>
      <w:tr>
        <w:trPr>
          <w:trHeight w:val="209"/>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(15,529)</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72" w:lineRule="exact"/>
        <w:rPr>
          <w:sz w:val="20"/>
          <w:szCs w:val="20"/>
          <w:color w:val="auto"/>
        </w:rPr>
      </w:pPr>
    </w:p>
    <w:p>
      <w:pPr>
        <w:ind w:left="460" w:hanging="371"/>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second quarter of 2022, the Company removed from service one specialty vessel in this region. Regional statistics reflect the removed from service status of this vessel.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East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9"/>
              </w:rPr>
              <w:t>and Europe</w:t>
            </w:r>
          </w:p>
        </w:tc>
        <w:tc>
          <w:tcPr>
            <w:tcW w:w="100" w:type="dxa"/>
            <w:vAlign w:val="bottom"/>
          </w:tcPr>
          <w:p>
            <w:pPr>
              <w:spacing w:after="0"/>
              <w:rPr>
                <w:sz w:val="19"/>
                <w:szCs w:val="19"/>
                <w:color w:val="auto"/>
              </w:rPr>
            </w:pPr>
          </w:p>
        </w:tc>
        <w:tc>
          <w:tcPr>
            <w:tcW w:w="1160" w:type="dxa"/>
            <w:vAlign w:val="bottom"/>
            <w:gridSpan w:val="2"/>
          </w:tcPr>
          <w:p>
            <w:pPr>
              <w:jc w:val="center"/>
              <w:ind w:right="320"/>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and Asia </w:t>
            </w:r>
            <w:r>
              <w:rPr>
                <w:rFonts w:ascii="Times New Roman" w:cs="Times New Roman" w:eastAsia="Times New Roman" w:hAnsi="Times New Roman"/>
                <w:sz w:val="25"/>
                <w:szCs w:val="25"/>
                <w:b w:val="1"/>
                <w:bCs w:val="1"/>
                <w:color w:val="auto"/>
                <w:vertAlign w:val="superscript"/>
              </w:rPr>
              <w:t>(2)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2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2022</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16,740</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9,775</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11,746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10,711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17,623</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27,566</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19,846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92,245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22,074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27,666</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28,075</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21,793</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99,608</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10,696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11,722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36,781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19,672</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25,734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14,813</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83,641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(Loss)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7,994</w:t>
            </w:r>
          </w:p>
        </w:tc>
        <w:tc>
          <w:tcPr>
            <w:tcW w:w="2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6,980</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15,967</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20,134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6,564</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8,574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50,781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Gain on Asset Dispositions and Impairments</w:t>
            </w: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(32,650)</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Historical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269,717</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247,967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322,091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160,372</w:t>
            </w:r>
          </w:p>
        </w:tc>
        <w:tc>
          <w:tcPr>
            <w:tcW w:w="26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1,000,147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(130,737)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(76,742)</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(89,634)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(27,978)</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(325,091)</w:t>
            </w:r>
          </w:p>
        </w:tc>
        <w:tc>
          <w:tcPr>
            <w:tcW w:w="0" w:type="dxa"/>
            <w:vAlign w:val="bottom"/>
          </w:tcPr>
          <w:p>
            <w:pPr>
              <w:spacing w:after="0"/>
              <w:rPr>
                <w:sz w:val="1"/>
                <w:szCs w:val="1"/>
                <w:color w:val="auto"/>
              </w:rPr>
            </w:pPr>
          </w:p>
        </w:tc>
      </w:tr>
      <w:tr>
        <w:trPr>
          <w:trHeight w:val="247"/>
        </w:trPr>
        <w:tc>
          <w:tcPr>
            <w:tcW w:w="46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138,980</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171,225</w:t>
            </w:r>
          </w:p>
        </w:tc>
        <w:tc>
          <w:tcPr>
            <w:tcW w:w="2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232,457</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132,394</w:t>
            </w:r>
          </w:p>
        </w:tc>
        <w:tc>
          <w:tcPr>
            <w:tcW w:w="26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675,056</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680" w:type="dxa"/>
            <w:vAlign w:val="bottom"/>
            <w:tcBorders>
              <w:bottom w:val="single" w:sz="8" w:color="CFF0FC"/>
            </w:tcBorders>
            <w:shd w:val="clear" w:color="auto" w:fill="CFF0FC"/>
          </w:tcPr>
          <w:p>
            <w:pPr>
              <w:spacing w:after="0" w:line="199" w:lineRule="exact"/>
              <w:rPr>
                <w:sz w:val="20"/>
                <w:szCs w:val="20"/>
                <w:color w:val="auto"/>
              </w:rPr>
            </w:pPr>
            <w:r>
              <w:rPr>
                <w:rFonts w:ascii="Times New Roman" w:cs="Times New Roman" w:eastAsia="Times New Roman" w:hAnsi="Times New Roman"/>
                <w:sz w:val="14"/>
                <w:szCs w:val="14"/>
                <w:color w:val="auto"/>
              </w:rPr>
              <w:t xml:space="preserve">Total Assets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170,831</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194,632</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244,606</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215,755</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825,824</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60" w:hanging="371"/>
        <w:spacing w:after="0"/>
        <w:tabs>
          <w:tab w:leader="none" w:pos="46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Total assets by region does not include corporate assets of $51.3 million as of June 30, 2022</w:t>
      </w:r>
      <w:r>
        <w:rPr>
          <w:rFonts w:ascii="Times New Roman" w:cs="Times New Roman" w:eastAsia="Times New Roman" w:hAnsi="Times New Roman"/>
          <w:sz w:val="17"/>
          <w:szCs w:val="17"/>
          <w:color w:val="auto"/>
        </w:rPr>
        <w:t>.</w:t>
      </w:r>
    </w:p>
    <w:p>
      <w:pPr>
        <w:spacing w:after="0" w:line="20" w:lineRule="exact"/>
        <w:rPr>
          <w:rFonts w:ascii="Times New Roman" w:cs="Times New Roman" w:eastAsia="Times New Roman" w:hAnsi="Times New Roman"/>
          <w:sz w:val="29"/>
          <w:szCs w:val="29"/>
          <w:color w:val="auto"/>
          <w:vertAlign w:val="superscript"/>
        </w:rPr>
      </w:pPr>
    </w:p>
    <w:p>
      <w:pPr>
        <w:ind w:left="460" w:hanging="371"/>
        <w:spacing w:after="0"/>
        <w:tabs>
          <w:tab w:leader="none" w:pos="4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second quarter of 2022, the Company removed from service one specialty vessel in this region. Regional statistics reflect the removed from service status of this vessel.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East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Mexico) </w:t>
            </w:r>
            <w:r>
              <w:rPr>
                <w:rFonts w:ascii="Times New Roman" w:cs="Times New Roman" w:eastAsia="Times New Roman" w:hAnsi="Times New Roman"/>
                <w:sz w:val="25"/>
                <w:szCs w:val="25"/>
                <w:b w:val="1"/>
                <w:bCs w:val="1"/>
                <w:color w:val="auto"/>
                <w:vertAlign w:val="superscript"/>
              </w:rPr>
              <w:t>(1)</w:t>
            </w:r>
          </w:p>
        </w:tc>
        <w:tc>
          <w:tcPr>
            <w:tcW w:w="80" w:type="dxa"/>
            <w:vAlign w:val="bottom"/>
          </w:tcPr>
          <w:p>
            <w:pPr>
              <w:spacing w:after="0"/>
              <w:rPr>
                <w:sz w:val="19"/>
                <w:szCs w:val="19"/>
                <w:color w:val="auto"/>
              </w:rPr>
            </w:pPr>
          </w:p>
        </w:tc>
        <w:tc>
          <w:tcPr>
            <w:tcW w:w="1340" w:type="dxa"/>
            <w:vAlign w:val="bottom"/>
            <w:gridSpan w:val="3"/>
          </w:tcPr>
          <w:p>
            <w:pPr>
              <w:jc w:val="right"/>
              <w:ind w:right="320"/>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and Europe </w:t>
            </w:r>
            <w:r>
              <w:rPr>
                <w:rFonts w:ascii="Times New Roman" w:cs="Times New Roman" w:eastAsia="Times New Roman" w:hAnsi="Times New Roman"/>
                <w:sz w:val="25"/>
                <w:szCs w:val="25"/>
                <w:b w:val="1"/>
                <w:bCs w:val="1"/>
                <w:color w:val="auto"/>
                <w:vertAlign w:val="superscript"/>
              </w:rPr>
              <w:t>(2)</w:t>
            </w:r>
          </w:p>
        </w:tc>
        <w:tc>
          <w:tcPr>
            <w:tcW w:w="1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2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2021</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17,058</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11,231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9,292</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12,007</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5,177</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13,752</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41,474</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40" w:type="dxa"/>
            <w:vAlign w:val="bottom"/>
          </w:tcPr>
          <w:p>
            <w:pPr>
              <w:spacing w:after="0"/>
              <w:rPr>
                <w:sz w:val="18"/>
                <w:szCs w:val="18"/>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(224)</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40" w:type="dxa"/>
            <w:vAlign w:val="bottom"/>
            <w:shd w:val="clear" w:color="auto" w:fill="CFF0FC"/>
          </w:tcPr>
          <w:p>
            <w:pPr>
              <w:spacing w:after="0"/>
              <w:rPr>
                <w:sz w:val="18"/>
                <w:szCs w:val="18"/>
                <w:color w:val="auto"/>
              </w:rPr>
            </w:pPr>
          </w:p>
        </w:tc>
      </w:tr>
      <w:tr>
        <w:trPr>
          <w:trHeight w:val="210"/>
        </w:trPr>
        <w:tc>
          <w:tcPr>
            <w:tcW w:w="4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4,580</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11,213</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13,223</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42,799</w:t>
            </w:r>
          </w:p>
        </w:tc>
        <w:tc>
          <w:tcPr>
            <w:tcW w:w="140" w:type="dxa"/>
            <w:vAlign w:val="bottom"/>
            <w:tcBorders>
              <w:bottom w:val="single" w:sz="8" w:color="CFF0FC"/>
            </w:tcBorders>
          </w:tcPr>
          <w:p>
            <w:pPr>
              <w:spacing w:after="0"/>
              <w:rPr>
                <w:sz w:val="18"/>
                <w:szCs w:val="18"/>
                <w:color w:val="auto"/>
              </w:rPr>
            </w:pPr>
          </w:p>
        </w:tc>
      </w:tr>
      <w:tr>
        <w:trPr>
          <w:trHeight w:val="212"/>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14,353</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6,959</w:t>
            </w: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40" w:type="dxa"/>
            <w:vAlign w:val="bottom"/>
            <w:tcBorders>
              <w:bottom w:val="single" w:sz="8" w:color="CFF0FC"/>
            </w:tcBorders>
          </w:tcPr>
          <w:p>
            <w:pPr>
              <w:spacing w:after="0"/>
              <w:rPr>
                <w:sz w:val="18"/>
                <w:szCs w:val="18"/>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10,133</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7,442</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32,615</w:t>
            </w:r>
          </w:p>
        </w:tc>
        <w:tc>
          <w:tcPr>
            <w:tcW w:w="140" w:type="dxa"/>
            <w:vAlign w:val="bottom"/>
            <w:shd w:val="clear" w:color="auto" w:fill="CFF0FC"/>
          </w:tcPr>
          <w:p>
            <w:pPr>
              <w:spacing w:after="0"/>
              <w:rPr>
                <w:sz w:val="18"/>
                <w:szCs w:val="18"/>
                <w:color w:val="auto"/>
              </w:rPr>
            </w:pPr>
          </w:p>
        </w:tc>
      </w:tr>
      <w:tr>
        <w:trPr>
          <w:trHeight w:val="249"/>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2,829</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5,781</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10,184</w:t>
            </w:r>
          </w:p>
        </w:tc>
        <w:tc>
          <w:tcPr>
            <w:tcW w:w="140" w:type="dxa"/>
            <w:vAlign w:val="bottom"/>
            <w:tcBorders>
              <w:bottom w:val="single" w:sz="8" w:color="CFF0FC"/>
            </w:tcBorders>
          </w:tcPr>
          <w:p>
            <w:pPr>
              <w:spacing w:after="0"/>
              <w:rPr>
                <w:sz w:val="21"/>
                <w:szCs w:val="21"/>
                <w:color w:val="auto"/>
              </w:rPr>
            </w:pPr>
          </w:p>
        </w:tc>
      </w:tr>
      <w:tr>
        <w:trPr>
          <w:trHeight w:val="19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200" w:type="dxa"/>
            <w:vAlign w:val="bottom"/>
          </w:tcPr>
          <w:p>
            <w:pPr>
              <w:spacing w:after="0"/>
              <w:rPr>
                <w:sz w:val="18"/>
                <w:szCs w:val="18"/>
                <w:color w:val="auto"/>
              </w:rPr>
            </w:pPr>
          </w:p>
        </w:tc>
        <w:tc>
          <w:tcPr>
            <w:tcW w:w="2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9,152</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14,093</w:t>
            </w:r>
          </w:p>
        </w:tc>
        <w:tc>
          <w:tcPr>
            <w:tcW w:w="140" w:type="dxa"/>
            <w:vAlign w:val="bottom"/>
            <w:tcBorders>
              <w:bottom w:val="single" w:sz="8" w:color="CFF0FC"/>
            </w:tcBorders>
          </w:tcPr>
          <w:p>
            <w:pPr>
              <w:spacing w:after="0"/>
              <w:rPr>
                <w:sz w:val="18"/>
                <w:szCs w:val="18"/>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24,479</w:t>
            </w:r>
          </w:p>
        </w:tc>
        <w:tc>
          <w:tcPr>
            <w:tcW w:w="140" w:type="dxa"/>
            <w:vAlign w:val="bottom"/>
            <w:shd w:val="clear" w:color="auto" w:fill="CFF0FC"/>
          </w:tcPr>
          <w:p>
            <w:pPr>
              <w:spacing w:after="0"/>
              <w:rPr>
                <w:sz w:val="18"/>
                <w:szCs w:val="18"/>
                <w:color w:val="auto"/>
              </w:rPr>
            </w:pPr>
          </w:p>
        </w:tc>
      </w:tr>
      <w:tr>
        <w:trPr>
          <w:trHeight w:val="207"/>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Gains on Asset Dispositions and Impairments</w:t>
            </w: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22,653</w:t>
            </w:r>
          </w:p>
        </w:tc>
        <w:tc>
          <w:tcPr>
            <w:tcW w:w="140" w:type="dxa"/>
            <w:vAlign w:val="bottom"/>
            <w:tcBorders>
              <w:bottom w:val="single" w:sz="8" w:color="CFF0FC"/>
            </w:tcBorders>
          </w:tcPr>
          <w:p>
            <w:pPr>
              <w:spacing w:after="0"/>
              <w:rPr>
                <w:sz w:val="17"/>
                <w:szCs w:val="17"/>
                <w:color w:val="auto"/>
              </w:rPr>
            </w:pPr>
          </w:p>
        </w:tc>
      </w:tr>
      <w:tr>
        <w:trPr>
          <w:trHeight w:val="210"/>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 from Continuing Operations</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8,358</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3" w:lineRule="exact"/>
        <w:rPr>
          <w:sz w:val="20"/>
          <w:szCs w:val="20"/>
          <w:color w:val="auto"/>
        </w:rPr>
      </w:pPr>
    </w:p>
    <w:p>
      <w:pPr>
        <w:ind w:left="460" w:hanging="371"/>
        <w:spacing w:after="0"/>
        <w:tabs>
          <w:tab w:leader="none" w:pos="4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2021, the Company removed from service four liftboats in this region. Regional statistics reflect the removed from service status of these vessels.</w:t>
      </w:r>
    </w:p>
    <w:p>
      <w:pPr>
        <w:spacing w:after="0" w:line="82" w:lineRule="exact"/>
        <w:rPr>
          <w:rFonts w:ascii="Times New Roman" w:cs="Times New Roman" w:eastAsia="Times New Roman" w:hAnsi="Times New Roman"/>
          <w:sz w:val="14"/>
          <w:szCs w:val="14"/>
          <w:color w:val="auto"/>
        </w:rPr>
      </w:pPr>
    </w:p>
    <w:p>
      <w:pPr>
        <w:jc w:val="both"/>
        <w:ind w:left="460" w:hanging="371"/>
        <w:spacing w:after="0" w:line="241" w:lineRule="auto"/>
        <w:tabs>
          <w:tab w:leader="none" w:pos="4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East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Mexico) </w:t>
            </w:r>
            <w:r>
              <w:rPr>
                <w:rFonts w:ascii="Times New Roman" w:cs="Times New Roman" w:eastAsia="Times New Roman" w:hAnsi="Times New Roman"/>
                <w:sz w:val="25"/>
                <w:szCs w:val="25"/>
                <w:b w:val="1"/>
                <w:bCs w:val="1"/>
                <w:color w:val="auto"/>
                <w:vertAlign w:val="superscript"/>
              </w:rPr>
              <w:t>(2)</w:t>
            </w:r>
          </w:p>
        </w:tc>
        <w:tc>
          <w:tcPr>
            <w:tcW w:w="80" w:type="dxa"/>
            <w:vAlign w:val="bottom"/>
          </w:tcPr>
          <w:p>
            <w:pPr>
              <w:spacing w:after="0"/>
              <w:rPr>
                <w:sz w:val="19"/>
                <w:szCs w:val="19"/>
                <w:color w:val="auto"/>
              </w:rPr>
            </w:pPr>
          </w:p>
        </w:tc>
        <w:tc>
          <w:tcPr>
            <w:tcW w:w="1340" w:type="dxa"/>
            <w:vAlign w:val="bottom"/>
            <w:gridSpan w:val="3"/>
          </w:tcPr>
          <w:p>
            <w:pPr>
              <w:jc w:val="right"/>
              <w:ind w:right="320"/>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and Europe </w:t>
            </w:r>
            <w:r>
              <w:rPr>
                <w:rFonts w:ascii="Times New Roman" w:cs="Times New Roman" w:eastAsia="Times New Roman" w:hAnsi="Times New Roman"/>
                <w:sz w:val="25"/>
                <w:szCs w:val="25"/>
                <w:b w:val="1"/>
                <w:bCs w:val="1"/>
                <w:color w:val="auto"/>
                <w:vertAlign w:val="superscript"/>
              </w:rPr>
              <w:t>(3)</w:t>
            </w:r>
          </w:p>
        </w:tc>
        <w:tc>
          <w:tcPr>
            <w:tcW w:w="1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2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2021</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16,692</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9,300</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15,970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11,687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4,908</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21,939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26,327</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22,590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75,764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(493)</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21,446</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23,803</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79,311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27,771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16,432</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20,536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13,792</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58,922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(Loss) Profit from Continuing Operations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2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10,011</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20,389</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6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7,451</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9,373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5,455</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48,966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Gains on Asset Dispositions and Impairments</w:t>
            </w: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20,380</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from Continuing Operations</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June 30, 2021</w:t>
            </w: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Historical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175,606</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240,032</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374,979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972,267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(105,923)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(71,560)</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(81,338)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(30,061)</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(288,882)</w:t>
            </w:r>
          </w:p>
        </w:tc>
        <w:tc>
          <w:tcPr>
            <w:tcW w:w="0" w:type="dxa"/>
            <w:vAlign w:val="bottom"/>
          </w:tcPr>
          <w:p>
            <w:pPr>
              <w:spacing w:after="0"/>
              <w:rPr>
                <w:sz w:val="1"/>
                <w:szCs w:val="1"/>
                <w:color w:val="auto"/>
              </w:rPr>
            </w:pPr>
          </w:p>
        </w:tc>
      </w:tr>
      <w:tr>
        <w:trPr>
          <w:trHeight w:val="247"/>
        </w:trPr>
        <w:tc>
          <w:tcPr>
            <w:tcW w:w="46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69,683</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168,472</w:t>
            </w:r>
          </w:p>
        </w:tc>
        <w:tc>
          <w:tcPr>
            <w:tcW w:w="2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293,641</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151,589</w:t>
            </w:r>
          </w:p>
        </w:tc>
        <w:tc>
          <w:tcPr>
            <w:tcW w:w="26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683,385</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680" w:type="dxa"/>
            <w:vAlign w:val="bottom"/>
            <w:tcBorders>
              <w:bottom w:val="single" w:sz="8" w:color="CFF0FC"/>
            </w:tcBorders>
            <w:shd w:val="clear" w:color="auto" w:fill="CFF0FC"/>
          </w:tcPr>
          <w:p>
            <w:pPr>
              <w:spacing w:after="0" w:line="199" w:lineRule="exact"/>
              <w:rPr>
                <w:sz w:val="20"/>
                <w:szCs w:val="20"/>
                <w:color w:val="auto"/>
              </w:rPr>
            </w:pPr>
            <w:r>
              <w:rPr>
                <w:rFonts w:ascii="Times New Roman" w:cs="Times New Roman" w:eastAsia="Times New Roman" w:hAnsi="Times New Roman"/>
                <w:sz w:val="14"/>
                <w:szCs w:val="14"/>
                <w:color w:val="auto"/>
              </w:rPr>
              <w:t xml:space="preserve">Total Assets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110,095</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185,862</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295,430</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222,830</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814,217</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60" w:hanging="371"/>
        <w:spacing w:after="0"/>
        <w:tabs>
          <w:tab w:leader="none" w:pos="460"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Total assets by region does not include corporate assets of $105.0 million as of June 30, 2021</w:t>
      </w:r>
      <w:r>
        <w:rPr>
          <w:rFonts w:ascii="Times New Roman" w:cs="Times New Roman" w:eastAsia="Times New Roman" w:hAnsi="Times New Roman"/>
          <w:sz w:val="17"/>
          <w:szCs w:val="17"/>
          <w:color w:val="auto"/>
        </w:rPr>
        <w:t>.</w:t>
      </w:r>
    </w:p>
    <w:p>
      <w:pPr>
        <w:spacing w:after="0" w:line="20" w:lineRule="exact"/>
        <w:rPr>
          <w:rFonts w:ascii="Times New Roman" w:cs="Times New Roman" w:eastAsia="Times New Roman" w:hAnsi="Times New Roman"/>
          <w:sz w:val="29"/>
          <w:szCs w:val="29"/>
          <w:color w:val="auto"/>
          <w:vertAlign w:val="superscript"/>
        </w:rPr>
      </w:pPr>
    </w:p>
    <w:p>
      <w:pPr>
        <w:ind w:left="460" w:hanging="371"/>
        <w:spacing w:after="0"/>
        <w:tabs>
          <w:tab w:leader="none" w:pos="4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2021, the Company removed from service four liftboats in this region. Regional statistics reflect the removed from service status of these vessels.</w:t>
      </w:r>
    </w:p>
    <w:p>
      <w:pPr>
        <w:spacing w:after="0" w:line="66" w:lineRule="exact"/>
        <w:rPr>
          <w:rFonts w:ascii="Times New Roman" w:cs="Times New Roman" w:eastAsia="Times New Roman" w:hAnsi="Times New Roman"/>
          <w:sz w:val="14"/>
          <w:szCs w:val="14"/>
          <w:color w:val="auto"/>
        </w:rPr>
      </w:pPr>
    </w:p>
    <w:p>
      <w:pPr>
        <w:jc w:val="both"/>
        <w:ind w:left="460" w:hanging="371"/>
        <w:spacing w:after="0" w:line="241" w:lineRule="auto"/>
        <w:tabs>
          <w:tab w:leader="none" w:pos="4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3" w:name="page34"/>
    <w:bookmarkEnd w:id="33"/>
    <w:p>
      <w:pPr>
        <w:spacing w:after="0" w:line="258" w:lineRule="auto"/>
        <w:rPr>
          <w:sz w:val="20"/>
          <w:szCs w:val="20"/>
          <w:color w:val="auto"/>
        </w:rPr>
      </w:pPr>
      <w:r>
        <w:rPr>
          <w:rFonts w:ascii="Times New Roman" w:cs="Times New Roman" w:eastAsia="Times New Roman" w:hAnsi="Times New Roman"/>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Anchor</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5"/>
                <w:szCs w:val="15"/>
                <w:b w:val="1"/>
                <w:bCs w:val="1"/>
                <w:color w:val="auto"/>
              </w:rPr>
              <w:t>handling</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b w:val="1"/>
                <w:bCs w:val="1"/>
                <w:color w:val="auto"/>
              </w:rPr>
              <w:t>towing</w:t>
            </w:r>
          </w:p>
        </w:tc>
        <w:tc>
          <w:tcPr>
            <w:tcW w:w="160" w:type="dxa"/>
            <w:vAlign w:val="bottom"/>
          </w:tcPr>
          <w:p>
            <w:pPr>
              <w:spacing w:after="0"/>
              <w:rPr>
                <w:sz w:val="14"/>
                <w:szCs w:val="14"/>
                <w:color w:val="auto"/>
              </w:rPr>
            </w:pPr>
          </w:p>
        </w:tc>
        <w:tc>
          <w:tcPr>
            <w:tcW w:w="1080" w:type="dxa"/>
            <w:vAlign w:val="bottom"/>
            <w:gridSpan w:val="2"/>
          </w:tcPr>
          <w:p>
            <w:pPr>
              <w:jc w:val="right"/>
              <w:ind w:right="620"/>
              <w:spacing w:after="0" w:line="162" w:lineRule="exact"/>
              <w:rPr>
                <w:sz w:val="20"/>
                <w:szCs w:val="20"/>
                <w:color w:val="auto"/>
              </w:rPr>
            </w:pPr>
            <w:r>
              <w:rPr>
                <w:rFonts w:ascii="Times New Roman" w:cs="Times New Roman" w:eastAsia="Times New Roman" w:hAnsi="Times New Roman"/>
                <w:sz w:val="15"/>
                <w:szCs w:val="15"/>
                <w:b w:val="1"/>
                <w:bCs w:val="1"/>
                <w:color w:val="auto"/>
              </w:rPr>
              <w:t>Fast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3"/>
        </w:trPr>
        <w:tc>
          <w:tcPr>
            <w:tcW w:w="3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16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support</w:t>
            </w:r>
          </w:p>
        </w:tc>
        <w:tc>
          <w:tcPr>
            <w:tcW w:w="16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Liftboats</w:t>
            </w:r>
          </w:p>
        </w:tc>
        <w:tc>
          <w:tcPr>
            <w:tcW w:w="10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 xml:space="preserve">activity </w:t>
            </w:r>
            <w:r>
              <w:rPr>
                <w:rFonts w:ascii="Times New Roman" w:cs="Times New Roman" w:eastAsia="Times New Roman" w:hAnsi="Times New Roman"/>
                <w:sz w:val="13"/>
                <w:szCs w:val="13"/>
                <w:b w:val="1"/>
                <w:bCs w:val="1"/>
                <w:color w:val="auto"/>
              </w:rPr>
              <w:t>(1)</w:t>
            </w:r>
          </w:p>
        </w:tc>
        <w:tc>
          <w:tcPr>
            <w:tcW w:w="18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69"/>
        </w:trPr>
        <w:tc>
          <w:tcPr>
            <w:tcW w:w="392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For the Three Months Ended June 30, 2022</w:t>
            </w: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Time Charter Statistics: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Average Rates Per Day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13,422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24,712</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12,149</w:t>
            </w:r>
          </w:p>
        </w:tc>
        <w:tc>
          <w:tcPr>
            <w:tcW w:w="140" w:type="dxa"/>
            <w:vAlign w:val="bottom"/>
            <w:shd w:val="clear" w:color="auto" w:fill="CFF0FC"/>
          </w:tcPr>
          <w:p>
            <w:pPr>
              <w:spacing w:after="0"/>
              <w:rPr>
                <w:sz w:val="18"/>
                <w:szCs w:val="18"/>
                <w:color w:val="auto"/>
              </w:rPr>
            </w:pPr>
          </w:p>
        </w:tc>
      </w:tr>
      <w:tr>
        <w:trPr>
          <w:trHeight w:val="213"/>
        </w:trPr>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Fleet Utilization</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85%</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r>
      <w:tr>
        <w:trPr>
          <w:trHeight w:val="219"/>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Fleet Available Days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5,311</w:t>
            </w:r>
          </w:p>
        </w:tc>
        <w:tc>
          <w:tcPr>
            <w:tcW w:w="140" w:type="dxa"/>
            <w:vAlign w:val="bottom"/>
            <w:shd w:val="clear" w:color="auto" w:fill="CFF0FC"/>
          </w:tcPr>
          <w:p>
            <w:pPr>
              <w:spacing w:after="0"/>
              <w:rPr>
                <w:sz w:val="19"/>
                <w:szCs w:val="19"/>
                <w:color w:val="auto"/>
              </w:rPr>
            </w:pP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Time charter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3,191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16,525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20,983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8,805</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49,504</w:t>
            </w:r>
          </w:p>
        </w:tc>
        <w:tc>
          <w:tcPr>
            <w:tcW w:w="140" w:type="dxa"/>
            <w:vAlign w:val="bottom"/>
            <w:shd w:val="clear" w:color="auto" w:fill="CFF0FC"/>
          </w:tcPr>
          <w:p>
            <w:pPr>
              <w:spacing w:after="0"/>
              <w:rPr>
                <w:sz w:val="18"/>
                <w:szCs w:val="18"/>
                <w:color w:val="auto"/>
              </w:rPr>
            </w:pPr>
          </w:p>
        </w:tc>
      </w:tr>
      <w:tr>
        <w:trPr>
          <w:trHeight w:val="175"/>
        </w:trPr>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Bareboat charter</w:t>
            </w:r>
          </w:p>
        </w:tc>
        <w:tc>
          <w:tcPr>
            <w:tcW w:w="14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40" w:type="dxa"/>
            <w:vAlign w:val="bottom"/>
          </w:tcPr>
          <w:p>
            <w:pPr>
              <w:spacing w:after="0"/>
              <w:rPr>
                <w:sz w:val="15"/>
                <w:szCs w:val="15"/>
                <w:color w:val="auto"/>
              </w:rPr>
            </w:pPr>
          </w:p>
        </w:tc>
      </w:tr>
      <w:tr>
        <w:trPr>
          <w:trHeight w:val="176"/>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marine services</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(143)</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(174)</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3,283</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924</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4,465</w:t>
            </w:r>
          </w:p>
        </w:tc>
        <w:tc>
          <w:tcPr>
            <w:tcW w:w="140" w:type="dxa"/>
            <w:vAlign w:val="bottom"/>
            <w:shd w:val="clear" w:color="auto" w:fill="CFF0FC"/>
          </w:tcPr>
          <w:p>
            <w:pPr>
              <w:spacing w:after="0"/>
              <w:rPr>
                <w:sz w:val="15"/>
                <w:szCs w:val="15"/>
                <w:color w:val="auto"/>
              </w:rPr>
            </w:pPr>
          </w:p>
        </w:tc>
      </w:tr>
      <w:tr>
        <w:trPr>
          <w:trHeight w:val="169"/>
        </w:trPr>
        <w:tc>
          <w:tcPr>
            <w:tcW w:w="392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3,048</w:t>
            </w:r>
          </w:p>
        </w:tc>
        <w:tc>
          <w:tcPr>
            <w:tcW w:w="28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16,351</w:t>
            </w:r>
          </w:p>
        </w:tc>
        <w:tc>
          <w:tcPr>
            <w:tcW w:w="28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21,606</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12,088</w:t>
            </w:r>
          </w:p>
        </w:tc>
        <w:tc>
          <w:tcPr>
            <w:tcW w:w="30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924</w:t>
            </w:r>
          </w:p>
        </w:tc>
        <w:tc>
          <w:tcPr>
            <w:tcW w:w="30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54,017</w:t>
            </w:r>
          </w:p>
        </w:tc>
        <w:tc>
          <w:tcPr>
            <w:tcW w:w="140" w:type="dxa"/>
            <w:vAlign w:val="bottom"/>
            <w:tcBorders>
              <w:bottom w:val="single" w:sz="8" w:color="CFF0FC"/>
            </w:tcBorders>
          </w:tcPr>
          <w:p>
            <w:pPr>
              <w:spacing w:after="0"/>
              <w:rPr>
                <w:sz w:val="14"/>
                <w:szCs w:val="14"/>
                <w:color w:val="auto"/>
              </w:rPr>
            </w:pPr>
          </w:p>
        </w:tc>
      </w:tr>
      <w:tr>
        <w:trPr>
          <w:trHeight w:val="169"/>
        </w:trPr>
        <w:tc>
          <w:tcPr>
            <w:tcW w:w="39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Direct Costs and Expenses:</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6"/>
        </w:trPr>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Operating:</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3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Personnel</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4,880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7,889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4,515</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18,346</w:t>
            </w:r>
          </w:p>
        </w:tc>
        <w:tc>
          <w:tcPr>
            <w:tcW w:w="140" w:type="dxa"/>
            <w:vAlign w:val="bottom"/>
            <w:shd w:val="clear" w:color="auto" w:fill="CFF0FC"/>
          </w:tcPr>
          <w:p>
            <w:pPr>
              <w:spacing w:after="0"/>
              <w:rPr>
                <w:sz w:val="15"/>
                <w:szCs w:val="15"/>
                <w:color w:val="auto"/>
              </w:rPr>
            </w:pPr>
          </w:p>
        </w:tc>
      </w:tr>
      <w:tr>
        <w:trPr>
          <w:trHeight w:val="175"/>
        </w:trPr>
        <w:tc>
          <w:tcPr>
            <w:tcW w:w="39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Repairs and maintenance</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8,380</w:t>
            </w:r>
          </w:p>
        </w:tc>
        <w:tc>
          <w:tcPr>
            <w:tcW w:w="140" w:type="dxa"/>
            <w:vAlign w:val="bottom"/>
          </w:tcPr>
          <w:p>
            <w:pPr>
              <w:spacing w:after="0"/>
              <w:rPr>
                <w:sz w:val="15"/>
                <w:szCs w:val="15"/>
                <w:color w:val="auto"/>
              </w:rPr>
            </w:pPr>
          </w:p>
        </w:tc>
      </w:tr>
      <w:tr>
        <w:trPr>
          <w:trHeight w:val="176"/>
        </w:trPr>
        <w:tc>
          <w:tcPr>
            <w:tcW w:w="3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Drydocking</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(30)</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(201)</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(32)</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6,737</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6,474</w:t>
            </w:r>
          </w:p>
        </w:tc>
        <w:tc>
          <w:tcPr>
            <w:tcW w:w="140" w:type="dxa"/>
            <w:vAlign w:val="bottom"/>
            <w:shd w:val="clear" w:color="auto" w:fill="CFF0FC"/>
          </w:tcPr>
          <w:p>
            <w:pPr>
              <w:spacing w:after="0"/>
              <w:rPr>
                <w:sz w:val="15"/>
                <w:szCs w:val="15"/>
                <w:color w:val="auto"/>
              </w:rPr>
            </w:pPr>
          </w:p>
        </w:tc>
      </w:tr>
      <w:tr>
        <w:trPr>
          <w:trHeight w:val="175"/>
        </w:trPr>
        <w:tc>
          <w:tcPr>
            <w:tcW w:w="39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Insurance and loss reserves</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(72)</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2,545</w:t>
            </w:r>
          </w:p>
        </w:tc>
        <w:tc>
          <w:tcPr>
            <w:tcW w:w="140" w:type="dxa"/>
            <w:vAlign w:val="bottom"/>
          </w:tcPr>
          <w:p>
            <w:pPr>
              <w:spacing w:after="0"/>
              <w:rPr>
                <w:sz w:val="15"/>
                <w:szCs w:val="15"/>
                <w:color w:val="auto"/>
              </w:rPr>
            </w:pPr>
          </w:p>
        </w:tc>
      </w:tr>
      <w:tr>
        <w:trPr>
          <w:trHeight w:val="176"/>
        </w:trPr>
        <w:tc>
          <w:tcPr>
            <w:tcW w:w="3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Fuel, lubes and supplies</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1,187</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1,230</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4,350</w:t>
            </w:r>
          </w:p>
        </w:tc>
        <w:tc>
          <w:tcPr>
            <w:tcW w:w="140" w:type="dxa"/>
            <w:vAlign w:val="bottom"/>
            <w:shd w:val="clear" w:color="auto" w:fill="CFF0FC"/>
          </w:tcPr>
          <w:p>
            <w:pPr>
              <w:spacing w:after="0"/>
              <w:rPr>
                <w:sz w:val="15"/>
                <w:szCs w:val="15"/>
                <w:color w:val="auto"/>
              </w:rPr>
            </w:pPr>
          </w:p>
        </w:tc>
      </w:tr>
      <w:tr>
        <w:trPr>
          <w:trHeight w:val="175"/>
        </w:trPr>
        <w:tc>
          <w:tcPr>
            <w:tcW w:w="39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435</w:t>
            </w:r>
          </w:p>
        </w:tc>
        <w:tc>
          <w:tcPr>
            <w:tcW w:w="2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1,311</w:t>
            </w:r>
          </w:p>
        </w:tc>
        <w:tc>
          <w:tcPr>
            <w:tcW w:w="2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1,631</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655</w:t>
            </w:r>
          </w:p>
        </w:tc>
        <w:tc>
          <w:tcPr>
            <w:tcW w:w="3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3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4,050</w:t>
            </w:r>
          </w:p>
        </w:tc>
        <w:tc>
          <w:tcPr>
            <w:tcW w:w="140" w:type="dxa"/>
            <w:vAlign w:val="bottom"/>
            <w:tcBorders>
              <w:bottom w:val="single" w:sz="8" w:color="CFF0FC"/>
            </w:tcBorders>
          </w:tcPr>
          <w:p>
            <w:pPr>
              <w:spacing w:after="0"/>
              <w:rPr>
                <w:sz w:val="15"/>
                <w:szCs w:val="15"/>
                <w:color w:val="auto"/>
              </w:rPr>
            </w:pPr>
          </w:p>
        </w:tc>
      </w:tr>
      <w:tr>
        <w:trPr>
          <w:trHeight w:val="209"/>
        </w:trPr>
        <w:tc>
          <w:tcPr>
            <w:tcW w:w="39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2,382</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10,007</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14,924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16,817</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44,145</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156"/>
        </w:trPr>
        <w:tc>
          <w:tcPr>
            <w:tcW w:w="39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Other Costs and Expenses:</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Lease expense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404</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1,008</w:t>
            </w:r>
          </w:p>
        </w:tc>
        <w:tc>
          <w:tcPr>
            <w:tcW w:w="140" w:type="dxa"/>
            <w:vAlign w:val="bottom"/>
            <w:shd w:val="clear" w:color="auto" w:fill="CFF0FC"/>
          </w:tcPr>
          <w:p>
            <w:pPr>
              <w:spacing w:after="0"/>
              <w:rPr>
                <w:sz w:val="15"/>
                <w:szCs w:val="15"/>
                <w:color w:val="auto"/>
              </w:rPr>
            </w:pPr>
          </w:p>
        </w:tc>
      </w:tr>
      <w:tr>
        <w:trPr>
          <w:trHeight w:val="176"/>
        </w:trPr>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Administrative and general</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10,210</w:t>
            </w:r>
          </w:p>
        </w:tc>
        <w:tc>
          <w:tcPr>
            <w:tcW w:w="140" w:type="dxa"/>
            <w:vAlign w:val="bottom"/>
          </w:tcPr>
          <w:p>
            <w:pPr>
              <w:spacing w:after="0"/>
              <w:rPr>
                <w:sz w:val="15"/>
                <w:szCs w:val="15"/>
                <w:color w:val="auto"/>
              </w:rPr>
            </w:pPr>
          </w:p>
        </w:tc>
      </w:tr>
      <w:tr>
        <w:trPr>
          <w:trHeight w:val="175"/>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5,010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3,785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4,870</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3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14,208</w:t>
            </w:r>
          </w:p>
        </w:tc>
        <w:tc>
          <w:tcPr>
            <w:tcW w:w="140" w:type="dxa"/>
            <w:vAlign w:val="bottom"/>
            <w:shd w:val="clear" w:color="auto" w:fill="CFF0FC"/>
          </w:tcPr>
          <w:p>
            <w:pPr>
              <w:spacing w:after="0"/>
              <w:rPr>
                <w:sz w:val="15"/>
                <w:szCs w:val="15"/>
                <w:color w:val="auto"/>
              </w:rPr>
            </w:pPr>
          </w:p>
        </w:tc>
      </w:tr>
      <w:tr>
        <w:trPr>
          <w:trHeight w:val="169"/>
        </w:trPr>
        <w:tc>
          <w:tcPr>
            <w:tcW w:w="39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25,426</w:t>
            </w:r>
          </w:p>
        </w:tc>
        <w:tc>
          <w:tcPr>
            <w:tcW w:w="140" w:type="dxa"/>
            <w:vAlign w:val="bottom"/>
            <w:tcBorders>
              <w:bottom w:val="single" w:sz="8" w:color="CFF0FC"/>
            </w:tcBorders>
          </w:tcPr>
          <w:p>
            <w:pPr>
              <w:spacing w:after="0"/>
              <w:rPr>
                <w:sz w:val="14"/>
                <w:szCs w:val="14"/>
                <w:color w:val="auto"/>
              </w:rPr>
            </w:pPr>
          </w:p>
        </w:tc>
      </w:tr>
      <w:tr>
        <w:trPr>
          <w:trHeight w:val="169"/>
        </w:trPr>
        <w:tc>
          <w:tcPr>
            <w:tcW w:w="39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Gains on Asset Dispositions and Impairments</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25</w:t>
            </w:r>
          </w:p>
        </w:tc>
        <w:tc>
          <w:tcPr>
            <w:tcW w:w="140" w:type="dxa"/>
            <w:vAlign w:val="bottom"/>
            <w:shd w:val="clear" w:color="auto" w:fill="CFF0FC"/>
          </w:tcPr>
          <w:p>
            <w:pPr>
              <w:spacing w:after="0"/>
              <w:rPr>
                <w:sz w:val="14"/>
                <w:szCs w:val="14"/>
                <w:color w:val="auto"/>
              </w:rPr>
            </w:pPr>
          </w:p>
        </w:tc>
      </w:tr>
      <w:tr>
        <w:trPr>
          <w:trHeight w:val="169"/>
        </w:trPr>
        <w:tc>
          <w:tcPr>
            <w:tcW w:w="39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Operating Loss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(15,529)</w:t>
            </w:r>
          </w:p>
        </w:tc>
        <w:tc>
          <w:tcPr>
            <w:tcW w:w="140" w:type="dxa"/>
            <w:vAlign w:val="bottom"/>
          </w:tcPr>
          <w:p>
            <w:pPr>
              <w:spacing w:after="0"/>
              <w:rPr>
                <w:sz w:val="14"/>
                <w:szCs w:val="14"/>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3" w:lineRule="exact"/>
        <w:rPr>
          <w:sz w:val="20"/>
          <w:szCs w:val="20"/>
          <w:color w:val="auto"/>
        </w:rPr>
      </w:pPr>
    </w:p>
    <w:p>
      <w:pPr>
        <w:ind w:left="460" w:hanging="371"/>
        <w:spacing w:after="0"/>
        <w:tabs>
          <w:tab w:leader="none" w:pos="4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second quarter of 2022, the Company removed from service one specialty vessel. Other activity statistics reflect the removed from service status of this vessel.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Anchor</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5"/>
                <w:szCs w:val="15"/>
                <w:b w:val="1"/>
                <w:bCs w:val="1"/>
                <w:color w:val="auto"/>
              </w:rPr>
              <w:t>handling</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b w:val="1"/>
                <w:bCs w:val="1"/>
                <w:color w:val="auto"/>
              </w:rPr>
              <w:t>towing</w:t>
            </w:r>
          </w:p>
        </w:tc>
        <w:tc>
          <w:tcPr>
            <w:tcW w:w="160" w:type="dxa"/>
            <w:vAlign w:val="bottom"/>
          </w:tcPr>
          <w:p>
            <w:pPr>
              <w:spacing w:after="0"/>
              <w:rPr>
                <w:sz w:val="14"/>
                <w:szCs w:val="14"/>
                <w:color w:val="auto"/>
              </w:rPr>
            </w:pPr>
          </w:p>
        </w:tc>
        <w:tc>
          <w:tcPr>
            <w:tcW w:w="1080" w:type="dxa"/>
            <w:vAlign w:val="bottom"/>
            <w:gridSpan w:val="2"/>
          </w:tcPr>
          <w:p>
            <w:pPr>
              <w:jc w:val="right"/>
              <w:ind w:right="620"/>
              <w:spacing w:after="0" w:line="162" w:lineRule="exact"/>
              <w:rPr>
                <w:sz w:val="20"/>
                <w:szCs w:val="20"/>
                <w:color w:val="auto"/>
              </w:rPr>
            </w:pPr>
            <w:r>
              <w:rPr>
                <w:rFonts w:ascii="Times New Roman" w:cs="Times New Roman" w:eastAsia="Times New Roman" w:hAnsi="Times New Roman"/>
                <w:sz w:val="15"/>
                <w:szCs w:val="15"/>
                <w:b w:val="1"/>
                <w:bCs w:val="1"/>
                <w:color w:val="auto"/>
              </w:rPr>
              <w:t>Fast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3"/>
        </w:trPr>
        <w:tc>
          <w:tcPr>
            <w:tcW w:w="3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16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support</w:t>
            </w:r>
          </w:p>
        </w:tc>
        <w:tc>
          <w:tcPr>
            <w:tcW w:w="16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Liftboats</w:t>
            </w:r>
          </w:p>
        </w:tc>
        <w:tc>
          <w:tcPr>
            <w:tcW w:w="10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 xml:space="preserve">activity </w:t>
            </w:r>
            <w:r>
              <w:rPr>
                <w:rFonts w:ascii="Times New Roman" w:cs="Times New Roman" w:eastAsia="Times New Roman" w:hAnsi="Times New Roman"/>
                <w:sz w:val="13"/>
                <w:szCs w:val="13"/>
                <w:b w:val="1"/>
                <w:bCs w:val="1"/>
                <w:color w:val="auto"/>
              </w:rPr>
              <w:t>(1)</w:t>
            </w:r>
          </w:p>
        </w:tc>
        <w:tc>
          <w:tcPr>
            <w:tcW w:w="18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69"/>
        </w:trPr>
        <w:tc>
          <w:tcPr>
            <w:tcW w:w="392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For the Six Months Ended June 30, 2022</w:t>
            </w: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Time Charter Statistics: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Average Rates Per Day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23,507</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11,746</w:t>
            </w:r>
          </w:p>
        </w:tc>
        <w:tc>
          <w:tcPr>
            <w:tcW w:w="140" w:type="dxa"/>
            <w:vAlign w:val="bottom"/>
            <w:shd w:val="clear" w:color="auto" w:fill="CFF0FC"/>
          </w:tcPr>
          <w:p>
            <w:pPr>
              <w:spacing w:after="0"/>
              <w:rPr>
                <w:sz w:val="18"/>
                <w:szCs w:val="18"/>
                <w:color w:val="auto"/>
              </w:rPr>
            </w:pPr>
          </w:p>
        </w:tc>
      </w:tr>
      <w:tr>
        <w:trPr>
          <w:trHeight w:val="213"/>
        </w:trPr>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Fleet Utilization</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Fleet Available Days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10,711</w:t>
            </w:r>
          </w:p>
        </w:tc>
        <w:tc>
          <w:tcPr>
            <w:tcW w:w="140" w:type="dxa"/>
            <w:vAlign w:val="bottom"/>
            <w:shd w:val="clear" w:color="auto" w:fill="CFF0FC"/>
          </w:tcPr>
          <w:p>
            <w:pPr>
              <w:spacing w:after="0"/>
              <w:rPr>
                <w:sz w:val="19"/>
                <w:szCs w:val="19"/>
                <w:color w:val="auto"/>
              </w:rPr>
            </w:pPr>
          </w:p>
        </w:tc>
      </w:tr>
      <w:tr>
        <w:trPr>
          <w:trHeight w:val="176"/>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Time charter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6,379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31,425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36,806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17,635</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92,245</w:t>
            </w:r>
          </w:p>
        </w:tc>
        <w:tc>
          <w:tcPr>
            <w:tcW w:w="140" w:type="dxa"/>
            <w:vAlign w:val="bottom"/>
            <w:shd w:val="clear" w:color="auto" w:fill="CFF0FC"/>
          </w:tcPr>
          <w:p>
            <w:pPr>
              <w:spacing w:after="0"/>
              <w:rPr>
                <w:sz w:val="15"/>
                <w:szCs w:val="15"/>
                <w:color w:val="auto"/>
              </w:rPr>
            </w:pPr>
          </w:p>
        </w:tc>
      </w:tr>
      <w:tr>
        <w:trPr>
          <w:trHeight w:val="176"/>
        </w:trPr>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Bareboat charter</w:t>
            </w:r>
          </w:p>
        </w:tc>
        <w:tc>
          <w:tcPr>
            <w:tcW w:w="14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w:t>
            </w:r>
          </w:p>
        </w:tc>
        <w:tc>
          <w:tcPr>
            <w:tcW w:w="140" w:type="dxa"/>
            <w:vAlign w:val="bottom"/>
          </w:tcPr>
          <w:p>
            <w:pPr>
              <w:spacing w:after="0"/>
              <w:rPr>
                <w:sz w:val="15"/>
                <w:szCs w:val="15"/>
                <w:color w:val="auto"/>
              </w:rPr>
            </w:pPr>
          </w:p>
        </w:tc>
      </w:tr>
      <w:tr>
        <w:trPr>
          <w:trHeight w:val="175"/>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marine services</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(303)</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(428)</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4,746</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2,063</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6,697</w:t>
            </w:r>
          </w:p>
        </w:tc>
        <w:tc>
          <w:tcPr>
            <w:tcW w:w="140" w:type="dxa"/>
            <w:vAlign w:val="bottom"/>
            <w:shd w:val="clear" w:color="auto" w:fill="CFF0FC"/>
          </w:tcPr>
          <w:p>
            <w:pPr>
              <w:spacing w:after="0"/>
              <w:rPr>
                <w:sz w:val="15"/>
                <w:szCs w:val="15"/>
                <w:color w:val="auto"/>
              </w:rPr>
            </w:pPr>
          </w:p>
        </w:tc>
      </w:tr>
      <w:tr>
        <w:trPr>
          <w:trHeight w:val="169"/>
        </w:trPr>
        <w:tc>
          <w:tcPr>
            <w:tcW w:w="392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6,076</w:t>
            </w:r>
          </w:p>
        </w:tc>
        <w:tc>
          <w:tcPr>
            <w:tcW w:w="28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30,997</w:t>
            </w:r>
          </w:p>
        </w:tc>
        <w:tc>
          <w:tcPr>
            <w:tcW w:w="28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38,091</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22,381</w:t>
            </w:r>
          </w:p>
        </w:tc>
        <w:tc>
          <w:tcPr>
            <w:tcW w:w="30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2,063</w:t>
            </w:r>
          </w:p>
        </w:tc>
        <w:tc>
          <w:tcPr>
            <w:tcW w:w="30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99,608</w:t>
            </w:r>
          </w:p>
        </w:tc>
        <w:tc>
          <w:tcPr>
            <w:tcW w:w="140" w:type="dxa"/>
            <w:vAlign w:val="bottom"/>
            <w:tcBorders>
              <w:bottom w:val="single" w:sz="8" w:color="CFF0FC"/>
            </w:tcBorders>
          </w:tcPr>
          <w:p>
            <w:pPr>
              <w:spacing w:after="0"/>
              <w:rPr>
                <w:sz w:val="14"/>
                <w:szCs w:val="14"/>
                <w:color w:val="auto"/>
              </w:rPr>
            </w:pPr>
          </w:p>
        </w:tc>
      </w:tr>
      <w:tr>
        <w:trPr>
          <w:trHeight w:val="169"/>
        </w:trPr>
        <w:tc>
          <w:tcPr>
            <w:tcW w:w="39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Direct Costs and Expenses:</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5"/>
        </w:trPr>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Operating:</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3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Personnel</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2,186</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9,950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16,082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8,550</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36,781</w:t>
            </w:r>
          </w:p>
        </w:tc>
        <w:tc>
          <w:tcPr>
            <w:tcW w:w="140" w:type="dxa"/>
            <w:vAlign w:val="bottom"/>
            <w:shd w:val="clear" w:color="auto" w:fill="CFF0FC"/>
          </w:tcPr>
          <w:p>
            <w:pPr>
              <w:spacing w:after="0"/>
              <w:rPr>
                <w:sz w:val="15"/>
                <w:szCs w:val="15"/>
                <w:color w:val="auto"/>
              </w:rPr>
            </w:pPr>
          </w:p>
        </w:tc>
      </w:tr>
      <w:tr>
        <w:trPr>
          <w:trHeight w:val="176"/>
        </w:trPr>
        <w:tc>
          <w:tcPr>
            <w:tcW w:w="39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Repairs and maintenance</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6,885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15,171</w:t>
            </w:r>
          </w:p>
        </w:tc>
        <w:tc>
          <w:tcPr>
            <w:tcW w:w="140" w:type="dxa"/>
            <w:vAlign w:val="bottom"/>
          </w:tcPr>
          <w:p>
            <w:pPr>
              <w:spacing w:after="0"/>
              <w:rPr>
                <w:sz w:val="15"/>
                <w:szCs w:val="15"/>
                <w:color w:val="auto"/>
              </w:rPr>
            </w:pPr>
          </w:p>
        </w:tc>
      </w:tr>
      <w:tr>
        <w:trPr>
          <w:trHeight w:val="175"/>
        </w:trPr>
        <w:tc>
          <w:tcPr>
            <w:tcW w:w="3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Drydocking</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(37)</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1,076</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9,138</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11,447</w:t>
            </w:r>
          </w:p>
        </w:tc>
        <w:tc>
          <w:tcPr>
            <w:tcW w:w="140" w:type="dxa"/>
            <w:vAlign w:val="bottom"/>
            <w:shd w:val="clear" w:color="auto" w:fill="CFF0FC"/>
          </w:tcPr>
          <w:p>
            <w:pPr>
              <w:spacing w:after="0"/>
              <w:rPr>
                <w:sz w:val="15"/>
                <w:szCs w:val="15"/>
                <w:color w:val="auto"/>
              </w:rPr>
            </w:pPr>
          </w:p>
        </w:tc>
      </w:tr>
      <w:tr>
        <w:trPr>
          <w:trHeight w:val="176"/>
        </w:trPr>
        <w:tc>
          <w:tcPr>
            <w:tcW w:w="39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Insurance and loss reserves</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(652)</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3,731</w:t>
            </w:r>
          </w:p>
        </w:tc>
        <w:tc>
          <w:tcPr>
            <w:tcW w:w="140" w:type="dxa"/>
            <w:vAlign w:val="bottom"/>
          </w:tcPr>
          <w:p>
            <w:pPr>
              <w:spacing w:after="0"/>
              <w:rPr>
                <w:sz w:val="15"/>
                <w:szCs w:val="15"/>
                <w:color w:val="auto"/>
              </w:rPr>
            </w:pPr>
          </w:p>
        </w:tc>
      </w:tr>
      <w:tr>
        <w:trPr>
          <w:trHeight w:val="175"/>
        </w:trPr>
        <w:tc>
          <w:tcPr>
            <w:tcW w:w="3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Fuel, lubes and supplies</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2,731</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3,135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1,835</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8,079</w:t>
            </w:r>
          </w:p>
        </w:tc>
        <w:tc>
          <w:tcPr>
            <w:tcW w:w="140" w:type="dxa"/>
            <w:vAlign w:val="bottom"/>
            <w:shd w:val="clear" w:color="auto" w:fill="CFF0FC"/>
          </w:tcPr>
          <w:p>
            <w:pPr>
              <w:spacing w:after="0"/>
              <w:rPr>
                <w:sz w:val="15"/>
                <w:szCs w:val="15"/>
                <w:color w:val="auto"/>
              </w:rPr>
            </w:pPr>
          </w:p>
        </w:tc>
      </w:tr>
      <w:tr>
        <w:trPr>
          <w:trHeight w:val="176"/>
        </w:trPr>
        <w:tc>
          <w:tcPr>
            <w:tcW w:w="39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874</w:t>
            </w:r>
          </w:p>
        </w:tc>
        <w:tc>
          <w:tcPr>
            <w:tcW w:w="2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3,252</w:t>
            </w:r>
          </w:p>
        </w:tc>
        <w:tc>
          <w:tcPr>
            <w:tcW w:w="2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2,979</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1,299</w:t>
            </w:r>
          </w:p>
        </w:tc>
        <w:tc>
          <w:tcPr>
            <w:tcW w:w="3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3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8,432</w:t>
            </w:r>
          </w:p>
        </w:tc>
        <w:tc>
          <w:tcPr>
            <w:tcW w:w="140" w:type="dxa"/>
            <w:vAlign w:val="bottom"/>
            <w:tcBorders>
              <w:bottom w:val="single" w:sz="8" w:color="CFF0FC"/>
            </w:tcBorders>
          </w:tcPr>
          <w:p>
            <w:pPr>
              <w:spacing w:after="0"/>
              <w:rPr>
                <w:sz w:val="15"/>
                <w:szCs w:val="15"/>
                <w:color w:val="auto"/>
              </w:rPr>
            </w:pPr>
          </w:p>
        </w:tc>
      </w:tr>
      <w:tr>
        <w:trPr>
          <w:trHeight w:val="169"/>
        </w:trPr>
        <w:tc>
          <w:tcPr>
            <w:tcW w:w="39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4,250</w:t>
            </w:r>
          </w:p>
        </w:tc>
        <w:tc>
          <w:tcPr>
            <w:tcW w:w="2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21,899</w:t>
            </w:r>
          </w:p>
        </w:tc>
        <w:tc>
          <w:tcPr>
            <w:tcW w:w="2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31,330</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26,729</w:t>
            </w:r>
          </w:p>
        </w:tc>
        <w:tc>
          <w:tcPr>
            <w:tcW w:w="3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(567)</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83,641</w:t>
            </w:r>
          </w:p>
        </w:tc>
        <w:tc>
          <w:tcPr>
            <w:tcW w:w="140" w:type="dxa"/>
            <w:vAlign w:val="bottom"/>
            <w:shd w:val="clear" w:color="auto" w:fill="CFF0FC"/>
          </w:tcPr>
          <w:p>
            <w:pPr>
              <w:spacing w:after="0"/>
              <w:rPr>
                <w:sz w:val="14"/>
                <w:szCs w:val="14"/>
                <w:color w:val="auto"/>
              </w:rPr>
            </w:pPr>
          </w:p>
        </w:tc>
      </w:tr>
      <w:tr>
        <w:trPr>
          <w:trHeight w:val="169"/>
        </w:trPr>
        <w:tc>
          <w:tcPr>
            <w:tcW w:w="39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Other Costs and Expenses: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Lease expense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724</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2,068</w:t>
            </w:r>
          </w:p>
        </w:tc>
        <w:tc>
          <w:tcPr>
            <w:tcW w:w="140" w:type="dxa"/>
            <w:vAlign w:val="bottom"/>
            <w:shd w:val="clear" w:color="auto" w:fill="CFF0FC"/>
          </w:tcPr>
          <w:p>
            <w:pPr>
              <w:spacing w:after="0"/>
              <w:rPr>
                <w:sz w:val="15"/>
                <w:szCs w:val="15"/>
                <w:color w:val="auto"/>
              </w:rPr>
            </w:pPr>
          </w:p>
        </w:tc>
      </w:tr>
      <w:tr>
        <w:trPr>
          <w:trHeight w:val="176"/>
        </w:trPr>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Administrative and general</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20,134</w:t>
            </w:r>
          </w:p>
        </w:tc>
        <w:tc>
          <w:tcPr>
            <w:tcW w:w="140" w:type="dxa"/>
            <w:vAlign w:val="bottom"/>
          </w:tcPr>
          <w:p>
            <w:pPr>
              <w:spacing w:after="0"/>
              <w:rPr>
                <w:sz w:val="15"/>
                <w:szCs w:val="15"/>
                <w:color w:val="auto"/>
              </w:rPr>
            </w:pPr>
          </w:p>
        </w:tc>
      </w:tr>
      <w:tr>
        <w:trPr>
          <w:trHeight w:val="175"/>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9,955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7,571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9,834</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3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28,579</w:t>
            </w:r>
          </w:p>
        </w:tc>
        <w:tc>
          <w:tcPr>
            <w:tcW w:w="140" w:type="dxa"/>
            <w:vAlign w:val="bottom"/>
            <w:shd w:val="clear" w:color="auto" w:fill="CFF0FC"/>
          </w:tcPr>
          <w:p>
            <w:pPr>
              <w:spacing w:after="0"/>
              <w:rPr>
                <w:sz w:val="15"/>
                <w:szCs w:val="15"/>
                <w:color w:val="auto"/>
              </w:rPr>
            </w:pPr>
          </w:p>
        </w:tc>
      </w:tr>
      <w:tr>
        <w:trPr>
          <w:trHeight w:val="169"/>
        </w:trPr>
        <w:tc>
          <w:tcPr>
            <w:tcW w:w="39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50,781</w:t>
            </w:r>
          </w:p>
        </w:tc>
        <w:tc>
          <w:tcPr>
            <w:tcW w:w="140" w:type="dxa"/>
            <w:vAlign w:val="bottom"/>
            <w:tcBorders>
              <w:bottom w:val="single" w:sz="8" w:color="CFF0FC"/>
            </w:tcBorders>
          </w:tcPr>
          <w:p>
            <w:pPr>
              <w:spacing w:after="0"/>
              <w:rPr>
                <w:sz w:val="14"/>
                <w:szCs w:val="14"/>
                <w:color w:val="auto"/>
              </w:rPr>
            </w:pPr>
          </w:p>
        </w:tc>
      </w:tr>
      <w:tr>
        <w:trPr>
          <w:trHeight w:val="169"/>
        </w:trPr>
        <w:tc>
          <w:tcPr>
            <w:tcW w:w="39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Gains on Asset Dispositions and Impairments</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2,164</w:t>
            </w:r>
          </w:p>
        </w:tc>
        <w:tc>
          <w:tcPr>
            <w:tcW w:w="140" w:type="dxa"/>
            <w:vAlign w:val="bottom"/>
            <w:shd w:val="clear" w:color="auto" w:fill="CFF0FC"/>
          </w:tcPr>
          <w:p>
            <w:pPr>
              <w:spacing w:after="0"/>
              <w:rPr>
                <w:sz w:val="14"/>
                <w:szCs w:val="14"/>
                <w:color w:val="auto"/>
              </w:rPr>
            </w:pPr>
          </w:p>
        </w:tc>
      </w:tr>
      <w:tr>
        <w:trPr>
          <w:trHeight w:val="209"/>
        </w:trPr>
        <w:tc>
          <w:tcPr>
            <w:tcW w:w="392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color w:val="auto"/>
              </w:rPr>
              <w:t>Operating Loss</w:t>
            </w:r>
          </w:p>
        </w:tc>
        <w:tc>
          <w:tcPr>
            <w:tcW w:w="14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(32,650)</w:t>
            </w:r>
          </w:p>
        </w:tc>
        <w:tc>
          <w:tcPr>
            <w:tcW w:w="140" w:type="dxa"/>
            <w:vAlign w:val="bottom"/>
            <w:tcBorders>
              <w:bottom w:val="single" w:sz="8" w:color="CFF0FC"/>
            </w:tcBorders>
          </w:tcPr>
          <w:p>
            <w:pPr>
              <w:spacing w:after="0"/>
              <w:rPr>
                <w:sz w:val="18"/>
                <w:szCs w:val="18"/>
                <w:color w:val="auto"/>
              </w:rPr>
            </w:pPr>
          </w:p>
        </w:tc>
      </w:tr>
      <w:tr>
        <w:trPr>
          <w:trHeight w:val="19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Historical cost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50,189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355,116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282,304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290,529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1,000,147</w:t>
            </w:r>
          </w:p>
        </w:tc>
        <w:tc>
          <w:tcPr>
            <w:tcW w:w="140" w:type="dxa"/>
            <w:vAlign w:val="bottom"/>
            <w:shd w:val="clear" w:color="auto" w:fill="CFF0FC"/>
          </w:tcPr>
          <w:p>
            <w:pPr>
              <w:spacing w:after="0"/>
              <w:rPr>
                <w:sz w:val="19"/>
                <w:szCs w:val="19"/>
                <w:color w:val="auto"/>
              </w:rPr>
            </w:pPr>
          </w:p>
        </w:tc>
      </w:tr>
      <w:tr>
        <w:trPr>
          <w:trHeight w:val="216"/>
        </w:trPr>
        <w:tc>
          <w:tcPr>
            <w:tcW w:w="3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(34,746)</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(121,226)</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(28,227)</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(119,351)</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(21,541)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(325,091)</w:t>
            </w:r>
          </w:p>
        </w:tc>
      </w:tr>
      <w:tr>
        <w:trPr>
          <w:trHeight w:val="207"/>
        </w:trPr>
        <w:tc>
          <w:tcPr>
            <w:tcW w:w="39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15,443</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233,890</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254,077</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171,178</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675,056</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3" w:lineRule="exact"/>
        <w:rPr>
          <w:sz w:val="20"/>
          <w:szCs w:val="20"/>
          <w:color w:val="auto"/>
        </w:rPr>
      </w:pPr>
    </w:p>
    <w:p>
      <w:pPr>
        <w:ind w:left="460" w:hanging="371"/>
        <w:spacing w:after="0"/>
        <w:tabs>
          <w:tab w:leader="none" w:pos="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second quarter of 2022, the Company removed from service one specialty vessel. Other activity statistics reflect the removed from service status of this vessel.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Anchor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62"/>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Specialty</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 xml:space="preserve">Liftboats </w:t>
            </w: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22"/>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69"/>
        </w:trPr>
        <w:tc>
          <w:tcPr>
            <w:tcW w:w="352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For the Three Months Ended June 30, 2021</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r>
      <w:tr>
        <w:trPr>
          <w:trHeight w:val="175"/>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Time Charter Statistics: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11,268</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7,962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11,921</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1,571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25,334</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FF0FC"/>
          </w:tcPr>
          <w:p>
            <w:pPr>
              <w:jc w:val="right"/>
              <w:ind w:right="242"/>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12,007</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Fleet Utilization</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71%</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92%</w:t>
            </w:r>
          </w:p>
        </w:tc>
        <w:tc>
          <w:tcPr>
            <w:tcW w:w="2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67%</w:t>
            </w:r>
          </w:p>
        </w:tc>
      </w:tr>
      <w:tr>
        <w:trPr>
          <w:trHeight w:val="175"/>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Fleet Available Days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2,100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2"/>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5,177</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3,640</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11,827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12,179</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13,697</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FF0FC"/>
          </w:tcPr>
          <w:p>
            <w:pPr>
              <w:jc w:val="right"/>
              <w:ind w:right="242"/>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41,474</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Bareboat charter</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marine services</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(157)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(249)</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688</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891</w:t>
            </w:r>
          </w:p>
        </w:tc>
        <w:tc>
          <w:tcPr>
            <w:tcW w:w="140" w:type="dxa"/>
            <w:vAlign w:val="bottom"/>
            <w:shd w:val="clear" w:color="auto" w:fill="CFF0FC"/>
          </w:tcPr>
          <w:p>
            <w:pPr>
              <w:spacing w:after="0"/>
              <w:rPr>
                <w:sz w:val="15"/>
                <w:szCs w:val="15"/>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3,483</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12,012</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12,296</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154</w:t>
            </w:r>
          </w:p>
        </w:tc>
        <w:tc>
          <w:tcPr>
            <w:tcW w:w="28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14,385</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469</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42,799</w:t>
            </w:r>
          </w:p>
        </w:tc>
        <w:tc>
          <w:tcPr>
            <w:tcW w:w="140" w:type="dxa"/>
            <w:vAlign w:val="bottom"/>
            <w:tcBorders>
              <w:bottom w:val="single" w:sz="8" w:color="CFF0FC"/>
            </w:tcBorders>
          </w:tcPr>
          <w:p>
            <w:pPr>
              <w:spacing w:after="0"/>
              <w:rPr>
                <w:sz w:val="14"/>
                <w:szCs w:val="14"/>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6"/>
        </w:trPr>
        <w:tc>
          <w:tcPr>
            <w:tcW w:w="3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Operating:</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Personnel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1,513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4,802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4,044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3,916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5"/>
                <w:szCs w:val="15"/>
                <w:color w:val="auto"/>
              </w:rPr>
              <w:t>(21)</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14,353</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Repairs and maintenance</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6,959</w:t>
            </w:r>
          </w:p>
        </w:tc>
        <w:tc>
          <w:tcPr>
            <w:tcW w:w="140" w:type="dxa"/>
            <w:vAlign w:val="bottom"/>
          </w:tcPr>
          <w:p>
            <w:pPr>
              <w:spacing w:after="0"/>
              <w:rPr>
                <w:sz w:val="15"/>
                <w:szCs w:val="15"/>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Drydocking</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2"/>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2,792</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Insurance and loss reserves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(138)</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2,661</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2,893</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2,957</w:t>
            </w:r>
          </w:p>
        </w:tc>
        <w:tc>
          <w:tcPr>
            <w:tcW w:w="140" w:type="dxa"/>
            <w:vAlign w:val="bottom"/>
          </w:tcPr>
          <w:p>
            <w:pPr>
              <w:spacing w:after="0"/>
              <w:rPr>
                <w:sz w:val="15"/>
                <w:szCs w:val="15"/>
                <w:color w:val="auto"/>
              </w:rPr>
            </w:pPr>
          </w:p>
        </w:tc>
      </w:tr>
      <w:tr>
        <w:trPr>
          <w:trHeight w:val="209"/>
        </w:trPr>
        <w:tc>
          <w:tcPr>
            <w:tcW w:w="35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4,193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12,899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8,617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246</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6,791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(131</w:t>
            </w:r>
          </w:p>
        </w:tc>
        <w:tc>
          <w:tcPr>
            <w:tcW w:w="260" w:type="dxa"/>
            <w:vAlign w:val="bottom"/>
            <w:tcBorders>
              <w:top w:val="single" w:sz="8" w:color="CFF0FC"/>
              <w:bottom w:val="single" w:sz="8" w:color="CFF0FC"/>
            </w:tcBorders>
            <w:shd w:val="clear" w:color="auto" w:fill="CFF0FC"/>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CFF0FC"/>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32,615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156"/>
        </w:trPr>
        <w:tc>
          <w:tcPr>
            <w:tcW w:w="35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Other Costs and Expenses:</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Lease expense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1,234</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Administrative and general</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9,152</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4,931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2,936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5,171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14,093</w:t>
            </w:r>
          </w:p>
        </w:tc>
        <w:tc>
          <w:tcPr>
            <w:tcW w:w="140" w:type="dxa"/>
            <w:vAlign w:val="bottom"/>
            <w:shd w:val="clear" w:color="auto" w:fill="CFF0FC"/>
          </w:tcPr>
          <w:p>
            <w:pPr>
              <w:spacing w:after="0"/>
              <w:rPr>
                <w:sz w:val="15"/>
                <w:szCs w:val="15"/>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24,479</w:t>
            </w:r>
          </w:p>
        </w:tc>
        <w:tc>
          <w:tcPr>
            <w:tcW w:w="140" w:type="dxa"/>
            <w:vAlign w:val="bottom"/>
            <w:tcBorders>
              <w:bottom w:val="single" w:sz="8" w:color="CFF0FC"/>
            </w:tcBorders>
          </w:tcPr>
          <w:p>
            <w:pPr>
              <w:spacing w:after="0"/>
              <w:rPr>
                <w:sz w:val="14"/>
                <w:szCs w:val="14"/>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Gains on Asset Dispositions and Impairments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22,653</w:t>
            </w:r>
          </w:p>
        </w:tc>
        <w:tc>
          <w:tcPr>
            <w:tcW w:w="140" w:type="dxa"/>
            <w:vAlign w:val="bottom"/>
            <w:shd w:val="clear" w:color="auto" w:fill="CFF0FC"/>
          </w:tcPr>
          <w:p>
            <w:pPr>
              <w:spacing w:after="0"/>
              <w:rPr>
                <w:sz w:val="14"/>
                <w:szCs w:val="14"/>
                <w:color w:val="auto"/>
              </w:rPr>
            </w:pPr>
          </w:p>
        </w:tc>
      </w:tr>
      <w:tr>
        <w:trPr>
          <w:trHeight w:val="169"/>
        </w:trPr>
        <w:tc>
          <w:tcPr>
            <w:tcW w:w="35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Operating Income for Continuing Operations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8,358</w:t>
            </w:r>
          </w:p>
        </w:tc>
        <w:tc>
          <w:tcPr>
            <w:tcW w:w="140" w:type="dxa"/>
            <w:vAlign w:val="bottom"/>
          </w:tcPr>
          <w:p>
            <w:pPr>
              <w:spacing w:after="0"/>
              <w:rPr>
                <w:sz w:val="14"/>
                <w:szCs w:val="14"/>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3" w:lineRule="exact"/>
        <w:rPr>
          <w:sz w:val="20"/>
          <w:szCs w:val="20"/>
          <w:color w:val="auto"/>
        </w:rPr>
      </w:pPr>
    </w:p>
    <w:p>
      <w:pPr>
        <w:ind w:left="460" w:hanging="371"/>
        <w:spacing w:after="0"/>
        <w:tabs>
          <w:tab w:leader="none" w:pos="4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2021, the Company removed from service four liftboats in this class. Liftboat statistics reflect the removed from service status of these vessels.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Anchor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Specialty</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 xml:space="preserve">Liftboats </w:t>
            </w: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For the Six Months Ended June 30, 2021</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Time Charter Statistics: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9,429</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7,927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12,006</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1,736</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25,950</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11,687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Fleet Utilization</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66%</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96%</w:t>
            </w:r>
          </w:p>
        </w:tc>
        <w:tc>
          <w:tcPr>
            <w:tcW w:w="1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Fleet Available Days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1,086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4,306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2,593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2,517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10,682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6,441</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22,484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22,261</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24,277</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75,764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Bareboat charter</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marine services</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(287)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(467)</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2,384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6,154</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23,180</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22,724</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336</w:t>
            </w:r>
          </w:p>
        </w:tc>
        <w:tc>
          <w:tcPr>
            <w:tcW w:w="28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25,762</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1,155</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79,311</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Operating:</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Personnel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2,497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8,843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8,202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7,722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27,771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Repairs and maintenance</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10,799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Drydocking</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1,376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2,356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5,009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Insurance and loss reserves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5,095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(308)</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6,075</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21,986</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16,377</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381</w:t>
            </w:r>
          </w:p>
        </w:tc>
        <w:tc>
          <w:tcPr>
            <w:tcW w:w="2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14,082</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21</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58,922</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Other Costs and Expenses: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Lease expense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762</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2,312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Administrative and general</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10,027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5,913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10,830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1,132</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28,891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48,966</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Gains on Asset Dispositions and Impairments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20,380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2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color w:val="auto"/>
              </w:rPr>
              <w:t>Operating Loss for Continuing Operations</w:t>
            </w:r>
          </w:p>
        </w:tc>
        <w:tc>
          <w:tcPr>
            <w:tcW w:w="1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(8,197)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June 30, 2021</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Historical cost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50,189</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363,021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229,218</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303,278</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23,398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972,267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(32,768)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(107,298)</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(14,352)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(3,138)</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(111,673)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(19,653)</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(288,882)</w:t>
            </w:r>
          </w:p>
        </w:tc>
        <w:tc>
          <w:tcPr>
            <w:tcW w:w="0" w:type="dxa"/>
            <w:vAlign w:val="bottom"/>
          </w:tcPr>
          <w:p>
            <w:pPr>
              <w:spacing w:after="0"/>
              <w:rPr>
                <w:sz w:val="1"/>
                <w:szCs w:val="1"/>
                <w:color w:val="auto"/>
              </w:rPr>
            </w:pPr>
          </w:p>
        </w:tc>
      </w:tr>
      <w:tr>
        <w:trPr>
          <w:trHeight w:val="20"/>
        </w:trPr>
        <w:tc>
          <w:tcPr>
            <w:tcW w:w="35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17,421</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255,723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214,866</w:t>
            </w:r>
          </w:p>
        </w:tc>
        <w:tc>
          <w:tcPr>
            <w:tcW w:w="20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191,605</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3,745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683,385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60" w:hanging="371"/>
        <w:spacing w:after="0"/>
        <w:tabs>
          <w:tab w:leader="none" w:pos="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2021, the Company removed from service four liftboats in this class. Liftboat statistics reflect the removed from service status of these vessels.</w:t>
      </w:r>
    </w:p>
    <w:p>
      <w:pPr>
        <w:spacing w:after="0" w:line="3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Fleet Counts. </w:t>
      </w:r>
      <w:r>
        <w:rPr>
          <w:rFonts w:ascii="Times New Roman" w:cs="Times New Roman" w:eastAsia="Times New Roman" w:hAnsi="Times New Roman"/>
          <w:sz w:val="22"/>
          <w:szCs w:val="22"/>
          <w:color w:val="auto"/>
        </w:rPr>
        <w:t>The Company’s fleet count as of June 30, 2022 and December 31, 2021 was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Joint Ventured</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Leased-in</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Managed</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1340" w:type="dxa"/>
            <w:vAlign w:val="bottom"/>
            <w:tcBorders>
              <w:top w:val="single" w:sz="8" w:color="CFF0FC"/>
            </w:tcBorders>
            <w:shd w:val="clear" w:color="auto" w:fill="CFF0FC"/>
          </w:tcPr>
          <w:p>
            <w:pPr>
              <w:spacing w:after="0"/>
              <w:rPr>
                <w:sz w:val="18"/>
                <w:szCs w:val="18"/>
                <w:color w:val="auto"/>
              </w:rPr>
            </w:pPr>
          </w:p>
        </w:tc>
        <w:tc>
          <w:tcPr>
            <w:tcW w:w="3860" w:type="dxa"/>
            <w:vAlign w:val="bottom"/>
            <w:tcBorders>
              <w:top w:val="single" w:sz="8" w:color="CFF0FC"/>
            </w:tcBorders>
            <w:gridSpan w:val="2"/>
            <w:shd w:val="clear" w:color="auto" w:fill="CFF0FC"/>
          </w:tcPr>
          <w:p>
            <w:pPr>
              <w:ind w:left="7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AHTS</w:t>
            </w:r>
          </w:p>
        </w:tc>
        <w:tc>
          <w:tcPr>
            <w:tcW w:w="3740" w:type="dxa"/>
            <w:vAlign w:val="bottom"/>
            <w:tcBorders>
              <w:top w:val="single" w:sz="8" w:color="auto"/>
            </w:tcBorders>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r>
      <w:tr>
        <w:trPr>
          <w:trHeight w:val="219"/>
        </w:trPr>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FSV</w:t>
            </w:r>
          </w:p>
        </w:tc>
        <w:tc>
          <w:tcPr>
            <w:tcW w:w="4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9"/>
                <w:szCs w:val="19"/>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Supply</w:t>
            </w:r>
          </w:p>
        </w:tc>
        <w:tc>
          <w:tcPr>
            <w:tcW w:w="4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r>
      <w:tr>
        <w:trPr>
          <w:trHeight w:val="219"/>
        </w:trPr>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Liftboats</w:t>
            </w:r>
          </w:p>
        </w:tc>
        <w:tc>
          <w:tcPr>
            <w:tcW w:w="4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9"/>
                <w:szCs w:val="19"/>
                <w:color w:val="auto"/>
              </w:rPr>
            </w:pPr>
          </w:p>
        </w:tc>
      </w:tr>
      <w:tr>
        <w:trPr>
          <w:trHeight w:val="207"/>
        </w:trPr>
        <w:tc>
          <w:tcPr>
            <w:tcW w:w="13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1340" w:type="dxa"/>
            <w:vAlign w:val="bottom"/>
          </w:tcPr>
          <w:p>
            <w:pPr>
              <w:spacing w:after="0"/>
              <w:rPr>
                <w:sz w:val="18"/>
                <w:szCs w:val="18"/>
                <w:color w:val="auto"/>
              </w:rPr>
            </w:pPr>
          </w:p>
        </w:tc>
        <w:tc>
          <w:tcPr>
            <w:tcW w:w="506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AHTS</w:t>
            </w:r>
          </w:p>
        </w:tc>
        <w:tc>
          <w:tcPr>
            <w:tcW w:w="3740" w:type="dxa"/>
            <w:vAlign w:val="bottom"/>
            <w:tcBorders>
              <w:top w:val="single" w:sz="8" w:color="auto"/>
            </w:tcBorders>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r>
      <w:tr>
        <w:trPr>
          <w:trHeight w:val="219"/>
        </w:trPr>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FSV</w:t>
            </w:r>
          </w:p>
        </w:tc>
        <w:tc>
          <w:tcPr>
            <w:tcW w:w="4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9"/>
                <w:szCs w:val="19"/>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Supply</w:t>
            </w:r>
          </w:p>
        </w:tc>
        <w:tc>
          <w:tcPr>
            <w:tcW w:w="4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r>
      <w:tr>
        <w:trPr>
          <w:trHeight w:val="219"/>
        </w:trPr>
        <w:tc>
          <w:tcPr>
            <w:tcW w:w="13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15"/>
                <w:szCs w:val="15"/>
                <w:color w:val="auto"/>
              </w:rPr>
              <w:t xml:space="preserve">Specialty </w:t>
            </w:r>
            <w:r>
              <w:rPr>
                <w:rFonts w:ascii="Times New Roman" w:cs="Times New Roman" w:eastAsia="Times New Roman" w:hAnsi="Times New Roman"/>
                <w:sz w:val="25"/>
                <w:szCs w:val="25"/>
                <w:color w:val="auto"/>
                <w:vertAlign w:val="superscript"/>
              </w:rPr>
              <w:t>(1)</w:t>
            </w:r>
          </w:p>
        </w:tc>
        <w:tc>
          <w:tcPr>
            <w:tcW w:w="4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9"/>
                <w:szCs w:val="19"/>
                <w:color w:val="auto"/>
              </w:rPr>
            </w:pPr>
          </w:p>
        </w:tc>
      </w:tr>
      <w:tr>
        <w:trPr>
          <w:trHeight w:val="216"/>
        </w:trPr>
        <w:tc>
          <w:tcPr>
            <w:tcW w:w="13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Liftboats </w:t>
            </w:r>
            <w:r>
              <w:rPr>
                <w:rFonts w:ascii="Times New Roman" w:cs="Times New Roman" w:eastAsia="Times New Roman" w:hAnsi="Times New Roman"/>
                <w:sz w:val="25"/>
                <w:szCs w:val="25"/>
                <w:color w:val="auto"/>
                <w:vertAlign w:val="superscript"/>
              </w:rPr>
              <w:t>(2)</w:t>
            </w:r>
          </w:p>
        </w:tc>
        <w:tc>
          <w:tcPr>
            <w:tcW w:w="4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r>
      <w:tr>
        <w:trPr>
          <w:trHeight w:val="207"/>
        </w:trPr>
        <w:tc>
          <w:tcPr>
            <w:tcW w:w="1340" w:type="dxa"/>
            <w:vAlign w:val="bottom"/>
            <w:tcBorders>
              <w:top w:val="single" w:sz="8" w:color="CFF0FC"/>
              <w:bottom w:val="single" w:sz="8" w:color="CFF0FC"/>
            </w:tcBorders>
            <w:shd w:val="clear" w:color="auto" w:fill="CFF0FC"/>
          </w:tcPr>
          <w:p>
            <w:pPr>
              <w:spacing w:after="0"/>
              <w:rPr>
                <w:sz w:val="17"/>
                <w:szCs w:val="17"/>
                <w:color w:val="auto"/>
              </w:rPr>
            </w:pPr>
          </w:p>
        </w:tc>
        <w:tc>
          <w:tcPr>
            <w:tcW w:w="37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460" w:hanging="371"/>
        <w:spacing w:after="0" w:line="233" w:lineRule="auto"/>
        <w:tabs>
          <w:tab w:leader="none" w:pos="4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owned vessel classified as a Crew Transfer Continuing Operations as of December 31, 2020 was reclassified as a specialty vessel as of January 12, 2021 and removed from service in the second quarter of 2022. Removed from service vessels are not counted in active fleet count.</w:t>
      </w:r>
    </w:p>
    <w:p>
      <w:pPr>
        <w:ind w:left="460" w:hanging="371"/>
        <w:spacing w:after="0"/>
        <w:tabs>
          <w:tab w:leader="none" w:pos="4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second quarter of 2021, the Company removed from service four liftboats. Removed from service vessels are not counted in active fleet count.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auto"/>
        </w:rPr>
        <w:t>Operating Income (Loss)</w:t>
      </w:r>
    </w:p>
    <w:p>
      <w:pPr>
        <w:spacing w:after="0" w:line="164"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United States, primarily Gulf of Mexico. </w:t>
      </w:r>
      <w:r>
        <w:rPr>
          <w:rFonts w:ascii="Times New Roman" w:cs="Times New Roman" w:eastAsia="Times New Roman" w:hAnsi="Times New Roman"/>
          <w:sz w:val="22"/>
          <w:szCs w:val="22"/>
          <w:color w:val="auto"/>
        </w:rPr>
        <w:t>For the three and six months ended June 30, 2022 and 2021 the Company’s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time charter statistics and direct vessel profit (loss) in the United States was as follows (in thousands, except statistics):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4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Rates Per Day Worked: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15,728</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17,792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16,740</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16,692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Utilization:</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53"/>
        </w:trPr>
        <w:tc>
          <w:tcPr>
            <w:tcW w:w="3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3680" w:type="dxa"/>
            <w:vAlign w:val="bottom"/>
          </w:tcPr>
          <w:p>
            <w:pPr>
              <w:ind w:left="500"/>
              <w:spacing w:after="0" w:line="257" w:lineRule="exact"/>
              <w:rPr>
                <w:sz w:val="20"/>
                <w:szCs w:val="20"/>
                <w:color w:val="auto"/>
              </w:rPr>
            </w:pPr>
            <w:r>
              <w:rPr>
                <w:rFonts w:ascii="Times New Roman" w:cs="Times New Roman" w:eastAsia="Times New Roman" w:hAnsi="Times New Roman"/>
                <w:sz w:val="16"/>
                <w:szCs w:val="16"/>
                <w:color w:val="auto"/>
              </w:rPr>
              <w:t xml:space="preserve">Liftboats </w:t>
            </w:r>
            <w:r>
              <w:rPr>
                <w:rFonts w:ascii="Times New Roman" w:cs="Times New Roman" w:eastAsia="Times New Roman" w:hAnsi="Times New Roman"/>
                <w:sz w:val="27"/>
                <w:szCs w:val="27"/>
                <w:color w:val="auto"/>
                <w:vertAlign w:val="superscript"/>
              </w:rPr>
              <w:t>(1)</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41%</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Available Days: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tcBorders>
              <w:bottom w:val="single" w:sz="8" w:color="CFF0FC"/>
            </w:tcBorders>
          </w:tcPr>
          <w:p>
            <w:pPr>
              <w:ind w:left="500"/>
              <w:spacing w:after="0" w:line="216" w:lineRule="exact"/>
              <w:rPr>
                <w:sz w:val="20"/>
                <w:szCs w:val="20"/>
                <w:color w:val="auto"/>
              </w:rPr>
            </w:pPr>
            <w:r>
              <w:rPr>
                <w:rFonts w:ascii="Times New Roman" w:cs="Times New Roman" w:eastAsia="Times New Roman" w:hAnsi="Times New Roman"/>
                <w:sz w:val="15"/>
                <w:szCs w:val="15"/>
                <w:color w:val="auto"/>
              </w:rPr>
              <w:t xml:space="preserve">Liftboats </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2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2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2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right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9,759</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80%</w:t>
            </w:r>
          </w:p>
        </w:tc>
        <w:tc>
          <w:tcPr>
            <w:tcW w:w="3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75%</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17,623</w:t>
            </w: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4,908</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2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20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12,158</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22,074</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7,344</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3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2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Personnel</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10,696</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Repairs and maintenance</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Drydocking</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6,957</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Fuel, lubes and supplies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0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13,416</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4,086</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23,422</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106%</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8,162</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Vessel (Loss) Profit</w:t>
            </w: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20" w:type="dxa"/>
            <w:vAlign w:val="bottom"/>
            <w:vMerge w:val="continue"/>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200" w:type="dxa"/>
            <w:vAlign w:val="bottom"/>
            <w:vMerge w:val="continue"/>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220" w:type="dxa"/>
            <w:vAlign w:val="bottom"/>
            <w:vMerge w:val="continue"/>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460" w:hanging="371"/>
        <w:spacing w:after="0"/>
        <w:tabs>
          <w:tab w:leader="none" w:pos="4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2021, the Company removed from service four liftboats in this class. Liftboat Utilization and Available Days reflects the removed from service status of these vessels.</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Quarter compared with Prior Year Quarter</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Operating Revenues</w:t>
      </w:r>
      <w:r>
        <w:rPr>
          <w:rFonts w:ascii="Times New Roman" w:cs="Times New Roman" w:eastAsia="Times New Roman" w:hAnsi="Times New Roman"/>
          <w:sz w:val="22"/>
          <w:szCs w:val="22"/>
          <w:color w:val="auto"/>
        </w:rPr>
        <w:t>. Charter revenues were $5.9 million higher in the Current Year Quarter compared with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 Quarter. Charter revenues were $3.0 million higher due to the acquisition of an additional three PSVs in this region as a result of the Merger of OSV Partners I, $2.6 million higher due to the repositioning of vessels between geographic regions and $0.3 million higher due to improved utilization of the core fleet. Other marine services were $1.7 million higher primarily due to business interruption insurance revenue and higher management fees and liftboat catering revenues. As of June 30, 2022, the Company had three of 14 owned and leased-in vessels (one AHTS vessels, one FSV, and one liftboat) cold-stacked in this region compared with five of ten vessels (one AHTS vessel, one FSV, and three liftboats) as of June 30, 2021. As of June 30, 2021, the Company removed from service four liftboats in this region.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8" w:name="page39"/>
    <w:bookmarkEnd w:id="38"/>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Direct Operating Expenses</w:t>
      </w:r>
      <w:r>
        <w:rPr>
          <w:rFonts w:ascii="Times New Roman" w:cs="Times New Roman" w:eastAsia="Times New Roman" w:hAnsi="Times New Roman"/>
          <w:sz w:val="22"/>
          <w:szCs w:val="22"/>
          <w:color w:val="auto"/>
        </w:rPr>
        <w:t>. Direct operating expenses were $9.3 million higher in the Current Year Quarter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Year Quarter. Direct operating expenses were $5.8 million higher due to the repositioning of vessels between geographic regions, $1.8 million higher for the core fleet primarily due to the timing of certain drydocking and repair expenditures and $1.7 million higher due to net fleet additions. The Current Year Quarter drydocking and repair expenditures included $0.8 million of costs pending adjustment of insurance claims.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Six Months compared with Prior Year Six Months</w:t>
      </w:r>
    </w:p>
    <w:p>
      <w:pPr>
        <w:spacing w:after="0" w:line="23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Charter revenues were $11.6 million higher in the Current Year Six Months. Charter revenues were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$5.9 million higher due to the repositioning of vessels between geographic regions, $4.5 million higher due to the acquisition of an additional three PSVs in this region as a result of the Merger of OSV Partners I and $1.2 million higher due to improved utilization of the core fleet. Other marine services were $3.2 million higher primarily due to business interruption insurance revenue and higher management fees and liftboat catering revenues.</w:t>
      </w:r>
    </w:p>
    <w:p>
      <w:pPr>
        <w:spacing w:after="0" w:line="20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$15.3 million higher in the Current Year Six Months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compared with the Prior Year Six Months. Direct operating expenses were $8.3 million higher due to the repositioning of vessels between geographic regions, $3.6 million higher for the core fleet primarily due to the timing of certain drydocking and repair expenditures and $3.4 million higher due to net fleet additions. The Current Year Six Months drydocking and repair expenditures included $0.8 million of costs pending adjustment of insurance claims.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9" w:name="page40"/>
    <w:bookmarkEnd w:id="39"/>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Africa and Europe, continuing operations. </w:t>
      </w:r>
      <w:r>
        <w:rPr>
          <w:rFonts w:ascii="Times New Roman" w:cs="Times New Roman" w:eastAsia="Times New Roman" w:hAnsi="Times New Roman"/>
          <w:sz w:val="22"/>
          <w:szCs w:val="22"/>
          <w:color w:val="auto"/>
        </w:rPr>
        <w:t>For the three and six months ended June 30, 2022 and 2021 the Company’s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time charter statistics and direct vessel profit in Africa and Europe was as follows (in thousands, except statistics):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4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8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Rates Per Day Worked:</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11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9,971</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10,685</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12,224</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10,685</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11,231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Utilization:</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98%</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98%</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72%</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85%</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Available Days: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1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14,930</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11,437</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102%</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27,210</w:t>
            </w: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98%</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21,939</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(224)</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(493)</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8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16,002</w:t>
            </w:r>
          </w:p>
        </w:tc>
        <w:tc>
          <w:tcPr>
            <w:tcW w:w="2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11,213</w:t>
            </w:r>
          </w:p>
        </w:tc>
        <w:tc>
          <w:tcPr>
            <w:tcW w:w="22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27,666</w:t>
            </w: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21,446</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6"/>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8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Personnel</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7,062</w:t>
            </w: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Repairs and maintenance</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Drydocking</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Fuel, lubes and supplies</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8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9,988</w:t>
            </w:r>
          </w:p>
        </w:tc>
        <w:tc>
          <w:tcPr>
            <w:tcW w:w="2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62%</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10,133</w:t>
            </w:r>
          </w:p>
        </w:tc>
        <w:tc>
          <w:tcPr>
            <w:tcW w:w="22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19,672</w:t>
            </w: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71%</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16,432</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 Vessel Profit</w:t>
            </w:r>
          </w:p>
        </w:tc>
        <w:tc>
          <w:tcPr>
            <w:tcW w:w="8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6,014</w:t>
            </w:r>
          </w:p>
        </w:tc>
        <w:tc>
          <w:tcPr>
            <w:tcW w:w="2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7,994</w:t>
            </w:r>
          </w:p>
        </w:tc>
        <w:tc>
          <w:tcPr>
            <w:tcW w:w="2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22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Quarter compared with Prior Year Quarter</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Charter revenues were $3.5 million higher in the Current Year Quarter compared with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 Quarter. Charter revenues were $2.8 million higher due to the reactivation of vessels from cold-stacked status, $0.4 million higher due to the repositioning of vessels between geographic regions and $0.4 million higher for the core fleet as a result of increased day rates and utilization. Charter revenues were $0.1 million lower due to net asset dispositions. Other marine services were $1.3 million higher following the receipt of cash from the settlement of a mediation in our favor. As of June 30, 2022, the Company had no owned or leased-in vessels cold stacked in this region, compared with one of 13 owned and leased-in vessels (one FSV) cold-stacked in this region as of June 30, 2021.</w:t>
      </w:r>
    </w:p>
    <w:p>
      <w:pPr>
        <w:spacing w:after="0" w:line="13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$0.1 million lower in the Current Year Quarter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Year Quarter. Direct operating expenses were $0.4 million lower due to net asset dispositions and $0.4 million lower for the core fleet primarily due to the timing of certain drydocking and repair expenditures. Direct operating expenses were $0.7 million higher due to the repositioning of vessels between geographic regions.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0" w:name="page41"/>
    <w:bookmarkEnd w:id="40"/>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Six Months compared with Prior Year Six Months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Operating Revenues. </w:t>
      </w:r>
      <w:r>
        <w:rPr>
          <w:rFonts w:ascii="Times New Roman" w:cs="Times New Roman" w:eastAsia="Times New Roman" w:hAnsi="Times New Roman"/>
          <w:sz w:val="21"/>
          <w:szCs w:val="21"/>
          <w:color w:val="auto"/>
        </w:rPr>
        <w:t>Charter revenues were $5.3 million higher in the Current Year Six Months compared with the Prior</w:t>
      </w:r>
    </w:p>
    <w:p>
      <w:pPr>
        <w:spacing w:after="0" w:line="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Year Six Months. Charter revenues were $6.1 million higher due to the reactivation of vessels from cold-stacked status and $0.8 million lower due to the repositioning of vessels between geographic regions. Other marine services were $0.9 million higher primarily due to the receipt of cash from the settlement of a mediation in our favor.</w:t>
      </w:r>
    </w:p>
    <w:p>
      <w:pPr>
        <w:spacing w:after="0" w:line="14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Direct Operating Expenses</w:t>
      </w:r>
      <w:r>
        <w:rPr>
          <w:rFonts w:ascii="Times New Roman" w:cs="Times New Roman" w:eastAsia="Times New Roman" w:hAnsi="Times New Roman"/>
          <w:sz w:val="22"/>
          <w:szCs w:val="22"/>
          <w:color w:val="auto"/>
        </w:rPr>
        <w:t>. Direct operating expenses were $3.2 million higher in the Current Year Six Months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compared with the Prior Year Six Months. Direct operating expenses were $2.8 million higher due to the repositioning of vessels between geographic regions and $1.3 million higher due to the reactivation of vessels from cold-stacked status. Direct operating expenses were $0.6 million lower for the core fleet and $0.3 million lower due to net asset dispositions.</w:t>
      </w:r>
    </w:p>
    <w:p>
      <w:pPr>
        <w:spacing w:after="0" w:line="129"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Middle East and Asia. </w:t>
      </w:r>
      <w:r>
        <w:rPr>
          <w:rFonts w:ascii="Times New Roman" w:cs="Times New Roman" w:eastAsia="Times New Roman" w:hAnsi="Times New Roman"/>
          <w:sz w:val="22"/>
          <w:szCs w:val="22"/>
          <w:color w:val="auto"/>
        </w:rPr>
        <w:t>For the three and six months ended June 30, 2022 and 2021 the Company’s time charter statistics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direct vessel profit in the Middle East and Asia was as follows (in thousands, except statistics):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376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FF0FC"/>
            </w:tcBorders>
          </w:tcPr>
          <w:p>
            <w:pPr>
              <w:spacing w:after="0"/>
              <w:rPr>
                <w:sz w:val="18"/>
                <w:szCs w:val="18"/>
                <w:color w:val="auto"/>
              </w:rPr>
            </w:pPr>
          </w:p>
        </w:tc>
      </w:tr>
      <w:tr>
        <w:trPr>
          <w:trHeight w:val="225"/>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Rates Per Day Worked:</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5,557</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5,619</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5,669</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5,834</w:t>
            </w:r>
          </w:p>
        </w:tc>
        <w:tc>
          <w:tcPr>
            <w:tcW w:w="140" w:type="dxa"/>
            <w:vAlign w:val="bottom"/>
            <w:shd w:val="clear" w:color="auto" w:fill="CFF0FC"/>
          </w:tcPr>
          <w:p>
            <w:pPr>
              <w:spacing w:after="0"/>
              <w:rPr>
                <w:sz w:val="19"/>
                <w:szCs w:val="19"/>
                <w:color w:val="auto"/>
              </w:rPr>
            </w:pPr>
          </w:p>
        </w:tc>
      </w:tr>
      <w:tr>
        <w:trPr>
          <w:trHeight w:val="213"/>
        </w:trPr>
        <w:tc>
          <w:tcPr>
            <w:tcW w:w="3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260" w:type="dxa"/>
            <w:vAlign w:val="bottom"/>
          </w:tcPr>
          <w:p>
            <w:pPr>
              <w:spacing w:after="0"/>
              <w:rPr>
                <w:sz w:val="18"/>
                <w:szCs w:val="18"/>
                <w:color w:val="auto"/>
              </w:rPr>
            </w:pPr>
          </w:p>
        </w:tc>
        <w:tc>
          <w:tcPr>
            <w:tcW w:w="13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7,685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7,354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7,532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7,188</w:t>
            </w:r>
          </w:p>
        </w:tc>
        <w:tc>
          <w:tcPr>
            <w:tcW w:w="140" w:type="dxa"/>
            <w:vAlign w:val="bottom"/>
          </w:tcPr>
          <w:p>
            <w:pPr>
              <w:spacing w:after="0"/>
              <w:rPr>
                <w:sz w:val="18"/>
                <w:szCs w:val="18"/>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9,870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7,694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9,173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7,881</w:t>
            </w:r>
          </w:p>
        </w:tc>
        <w:tc>
          <w:tcPr>
            <w:tcW w:w="140" w:type="dxa"/>
            <w:vAlign w:val="bottom"/>
            <w:shd w:val="clear" w:color="auto" w:fill="CFF0FC"/>
          </w:tcPr>
          <w:p>
            <w:pPr>
              <w:spacing w:after="0"/>
              <w:rPr>
                <w:sz w:val="19"/>
                <w:szCs w:val="19"/>
                <w:color w:val="auto"/>
              </w:rPr>
            </w:pPr>
          </w:p>
        </w:tc>
      </w:tr>
      <w:tr>
        <w:trPr>
          <w:trHeight w:val="213"/>
        </w:trPr>
        <w:tc>
          <w:tcPr>
            <w:tcW w:w="3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260" w:type="dxa"/>
            <w:vAlign w:val="bottom"/>
          </w:tcPr>
          <w:p>
            <w:pPr>
              <w:spacing w:after="0"/>
              <w:rPr>
                <w:sz w:val="18"/>
                <w:szCs w:val="18"/>
                <w:color w:val="auto"/>
              </w:rPr>
            </w:pPr>
          </w:p>
        </w:tc>
        <w:tc>
          <w:tcPr>
            <w:tcW w:w="13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29,000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25,213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29,000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25,213</w:t>
            </w:r>
          </w:p>
        </w:tc>
        <w:tc>
          <w:tcPr>
            <w:tcW w:w="140" w:type="dxa"/>
            <w:vAlign w:val="bottom"/>
          </w:tcPr>
          <w:p>
            <w:pPr>
              <w:spacing w:after="0"/>
              <w:rPr>
                <w:sz w:val="18"/>
                <w:szCs w:val="18"/>
                <w:color w:val="auto"/>
              </w:rPr>
            </w:pPr>
          </w:p>
        </w:tc>
      </w:tr>
      <w:tr>
        <w:trPr>
          <w:trHeight w:val="219"/>
        </w:trPr>
        <w:tc>
          <w:tcPr>
            <w:tcW w:w="3760" w:type="dxa"/>
            <w:vAlign w:val="bottom"/>
            <w:shd w:val="clear" w:color="auto" w:fill="CFF0FC"/>
          </w:tcPr>
          <w:p>
            <w:pPr>
              <w:ind w:left="500"/>
              <w:spacing w:after="0" w:line="219" w:lineRule="exact"/>
              <w:rPr>
                <w:sz w:val="20"/>
                <w:szCs w:val="20"/>
                <w:color w:val="auto"/>
              </w:rPr>
            </w:pPr>
            <w:r>
              <w:rPr>
                <w:rFonts w:ascii="Times New Roman" w:cs="Times New Roman" w:eastAsia="Times New Roman" w:hAnsi="Times New Roman"/>
                <w:sz w:val="15"/>
                <w:szCs w:val="15"/>
                <w:color w:val="auto"/>
              </w:rPr>
              <w:t xml:space="preserve">Specialty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1,571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1,736</w:t>
            </w:r>
          </w:p>
        </w:tc>
        <w:tc>
          <w:tcPr>
            <w:tcW w:w="140" w:type="dxa"/>
            <w:vAlign w:val="bottom"/>
            <w:shd w:val="clear" w:color="auto" w:fill="CFF0FC"/>
          </w:tcPr>
          <w:p>
            <w:pPr>
              <w:spacing w:after="0"/>
              <w:rPr>
                <w:sz w:val="19"/>
                <w:szCs w:val="19"/>
                <w:color w:val="auto"/>
              </w:rPr>
            </w:pPr>
          </w:p>
        </w:tc>
      </w:tr>
      <w:tr>
        <w:trPr>
          <w:trHeight w:val="210"/>
        </w:trPr>
        <w:tc>
          <w:tcPr>
            <w:tcW w:w="3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260" w:type="dxa"/>
            <w:vAlign w:val="bottom"/>
          </w:tcPr>
          <w:p>
            <w:pPr>
              <w:spacing w:after="0"/>
              <w:rPr>
                <w:sz w:val="18"/>
                <w:szCs w:val="18"/>
                <w:color w:val="auto"/>
              </w:rPr>
            </w:pPr>
          </w:p>
        </w:tc>
        <w:tc>
          <w:tcPr>
            <w:tcW w:w="13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9,673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9,292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9,775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9,300</w:t>
            </w:r>
          </w:p>
        </w:tc>
        <w:tc>
          <w:tcPr>
            <w:tcW w:w="14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Utilization:</w:t>
            </w:r>
          </w:p>
        </w:tc>
        <w:tc>
          <w:tcPr>
            <w:tcW w:w="304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3"/>
        </w:trPr>
        <w:tc>
          <w:tcPr>
            <w:tcW w:w="32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30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100%</w:t>
            </w: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25%</w:t>
            </w:r>
          </w:p>
        </w:tc>
        <w:tc>
          <w:tcPr>
            <w:tcW w:w="1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99%</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9"/>
        </w:trPr>
        <w:tc>
          <w:tcPr>
            <w:tcW w:w="3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30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91%</w:t>
            </w:r>
          </w:p>
        </w:tc>
        <w:tc>
          <w:tcPr>
            <w:tcW w:w="194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86%</w:t>
            </w:r>
          </w:p>
        </w:tc>
        <w:tc>
          <w:tcPr>
            <w:tcW w:w="1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93%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32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30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91%</w:t>
            </w: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75%</w:t>
            </w:r>
          </w:p>
        </w:tc>
        <w:tc>
          <w:tcPr>
            <w:tcW w:w="1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75%</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3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30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50%</w:t>
            </w:r>
          </w:p>
        </w:tc>
        <w:tc>
          <w:tcPr>
            <w:tcW w:w="194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c>
          <w:tcPr>
            <w:tcW w:w="1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67%</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6"/>
        </w:trPr>
        <w:tc>
          <w:tcPr>
            <w:tcW w:w="3220" w:type="dxa"/>
            <w:vAlign w:val="bottom"/>
          </w:tcPr>
          <w:p>
            <w:pPr>
              <w:ind w:left="500"/>
              <w:spacing w:after="0" w:line="216" w:lineRule="exact"/>
              <w:rPr>
                <w:sz w:val="20"/>
                <w:szCs w:val="20"/>
                <w:color w:val="auto"/>
              </w:rPr>
            </w:pPr>
            <w:r>
              <w:rPr>
                <w:rFonts w:ascii="Times New Roman" w:cs="Times New Roman" w:eastAsia="Times New Roman" w:hAnsi="Times New Roman"/>
                <w:sz w:val="15"/>
                <w:szCs w:val="15"/>
                <w:color w:val="auto"/>
              </w:rPr>
              <w:t xml:space="preserve">Specialty </w:t>
            </w:r>
            <w:r>
              <w:rPr>
                <w:rFonts w:ascii="Times New Roman" w:cs="Times New Roman" w:eastAsia="Times New Roman" w:hAnsi="Times New Roman"/>
                <w:sz w:val="25"/>
                <w:szCs w:val="25"/>
                <w:color w:val="auto"/>
                <w:vertAlign w:val="superscript"/>
              </w:rPr>
              <w:t>(1)</w:t>
            </w:r>
          </w:p>
        </w:tc>
        <w:tc>
          <w:tcPr>
            <w:tcW w:w="30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92%</w:t>
            </w:r>
          </w:p>
        </w:tc>
        <w:tc>
          <w:tcPr>
            <w:tcW w:w="1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6"/>
        </w:trPr>
        <w:tc>
          <w:tcPr>
            <w:tcW w:w="3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30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87%</w:t>
            </w:r>
          </w:p>
        </w:tc>
        <w:tc>
          <w:tcPr>
            <w:tcW w:w="194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81%</w:t>
            </w:r>
          </w:p>
        </w:tc>
        <w:tc>
          <w:tcPr>
            <w:tcW w:w="1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82%</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Available Days: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line="219" w:lineRule="exact"/>
              <w:rPr>
                <w:sz w:val="20"/>
                <w:szCs w:val="20"/>
                <w:color w:val="auto"/>
              </w:rPr>
            </w:pPr>
            <w:r>
              <w:rPr>
                <w:rFonts w:ascii="Times New Roman" w:cs="Times New Roman" w:eastAsia="Times New Roman" w:hAnsi="Times New Roman"/>
                <w:sz w:val="15"/>
                <w:szCs w:val="15"/>
                <w:color w:val="auto"/>
              </w:rPr>
              <w:t xml:space="preserve">Specialty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3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3,672</w:t>
            </w:r>
          </w:p>
        </w:tc>
        <w:tc>
          <w:tcPr>
            <w:tcW w:w="22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13,752</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26,327</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13,783</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28,075</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26,718</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3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Personnel</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11,722</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10,586</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Repairs and maintenance</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4,377</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Drydocking</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Fuel, lubes and supplies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10,954</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25,734</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20,536</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Vessel Profit</w:t>
            </w: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2,829</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6,182</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60" w:hanging="371"/>
        <w:spacing w:after="0"/>
        <w:tabs>
          <w:tab w:leader="none" w:pos="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second quarter of 2022, the Company removed from service one specialty vessel in this region. Specialty statistics reflect the removed from service status of this vessel.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Quarter compared with Prior Year Quarter</w:t>
      </w:r>
    </w:p>
    <w:p>
      <w:pPr>
        <w:spacing w:after="0" w:line="16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Charter revenues were $0.2 million higher in the Current Year Quarter compared with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 Quarter. Charter revenues were $1.5 million higher due to the acquisition of an additional two PSVs in this region as a result of the Merger of OSV Partners I. Charter revenues were $1.2 million lower due to the repositioning of vessels between geographic regions and $0.1 million lower for the core fleet. As of June 30, 2022, the Company had no owned or leased-in vessels cold-stacked in this region compared with two of 20 owned and leased-in vessels (one FSV and one Supply) as of June 30, 2021. In the second quarter of 2022, the Company removed from service one specialty vessel in this region.</w:t>
      </w:r>
    </w:p>
    <w:p>
      <w:pPr>
        <w:spacing w:after="0" w:line="14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$2.8 million higher in the Current Year Quarter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Year Quarter. Direct operating expenses were $1.9 million higher for the core fleet primarily due to the timing of certain drydocking and repair expenditures and $1.2 million higher due to net fleet additions. Direct operating expenses were $0.3 million lower due to the repositioning of vessels between geographic regions. The Current Year Quarter drydocking and repair expenditures included $1.2 million of costs pending adjustment of insurance claims.</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Six Months compared with Prior Year Six Months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Operating Revenues. </w:t>
      </w:r>
      <w:r>
        <w:rPr>
          <w:rFonts w:ascii="Times New Roman" w:cs="Times New Roman" w:eastAsia="Times New Roman" w:hAnsi="Times New Roman"/>
          <w:sz w:val="21"/>
          <w:szCs w:val="21"/>
          <w:color w:val="auto"/>
        </w:rPr>
        <w:t>Charter revenues were $1.2 million higher in the Current Year Six Months compared with the Prior</w:t>
      </w:r>
    </w:p>
    <w:p>
      <w:pPr>
        <w:spacing w:after="0" w:line="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Year Six Months. Charter revenues were $1.9 million higher due to the acquisition of an additional two PSVs in this region as a result of the Merger of OSV Partners I and $1.0 million higher for the core fleet. Charter revenues were $1.7 million lower due to the repositioning of vessels between geographic regions.</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$5.2 million higher in the Current Year Six Months</w:t>
      </w:r>
    </w:p>
    <w:p>
      <w:pPr>
        <w:spacing w:after="0" w:line="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compared with the Prior Year Six Months. Direct operating expenses were $3.8 million higher for the core fleet primarily due to the timing of certain drydocking and repair expenditures and $2.7 million higher due to net fleet additions. Direct operating expenses were $1.3 million lower due to the repositioning of vessels between geographic regions. The Current Year Six Months drydocking and repair expenditures included $1.2 million of costs pending adjustment of insurance claims.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2" w:name="page43"/>
    <w:bookmarkEnd w:id="42"/>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Latin America (Brazil, Mexico, Central and South America). </w:t>
      </w:r>
      <w:r>
        <w:rPr>
          <w:rFonts w:ascii="Times New Roman" w:cs="Times New Roman" w:eastAsia="Times New Roman" w:hAnsi="Times New Roman"/>
          <w:sz w:val="22"/>
          <w:szCs w:val="22"/>
          <w:color w:val="auto"/>
        </w:rPr>
        <w:t>For the three and six months ended June 30, 2022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2021 the Company’s time charter statistics and direct vessel profit in Latin America was as follows (in thousands, except statistics):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4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Rates Per Day Worked: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7,587</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25,175</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37,756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25,835</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38,817</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Utilization:</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98%</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94%</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89%</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Available Days: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22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12,866</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22,590</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11,491</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13,223</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21,793</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23,803</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Personnel</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24%</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6,440</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Repairs and maintenance</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Drydocking</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Fuel, lubes and supplies</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7,442</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14,813</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68%</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13,792</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 Vessel Profit</w:t>
            </w: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60" w:type="dxa"/>
            <w:vAlign w:val="bottom"/>
            <w:vMerge w:val="continue"/>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2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5,781</w:t>
            </w:r>
          </w:p>
        </w:tc>
        <w:tc>
          <w:tcPr>
            <w:tcW w:w="2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6,980</w:t>
            </w:r>
          </w:p>
        </w:tc>
        <w:tc>
          <w:tcPr>
            <w:tcW w:w="2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10,011</w:t>
            </w:r>
          </w:p>
        </w:tc>
        <w:tc>
          <w:tcPr>
            <w:tcW w:w="2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Quarter compared with Prior Year Quarter</w:t>
      </w:r>
    </w:p>
    <w:p>
      <w:pPr>
        <w:spacing w:after="0" w:line="17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Operating Revenues. </w:t>
      </w:r>
      <w:r>
        <w:rPr>
          <w:rFonts w:ascii="Times New Roman" w:cs="Times New Roman" w:eastAsia="Times New Roman" w:hAnsi="Times New Roman"/>
          <w:sz w:val="21"/>
          <w:szCs w:val="21"/>
          <w:color w:val="auto"/>
        </w:rPr>
        <w:t>Charter revenues were $1.9 million lower in the Current Year Quarter compared with the Prior Year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Quarter. Charter revenues were $2.9 million lower due to the repositioning of vessels between geographic regions and $1.0 million higher for the core fleet. As of June 30, 2022, the Company had no owned or leased-in vessels cold-stacked in this region.</w:t>
      </w:r>
    </w:p>
    <w:p>
      <w:pPr>
        <w:spacing w:after="0" w:line="11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$0.5 million lower in the Current Year Quarter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Year Quarter primarily due to the repositioning of vessels between geographic regions.</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Six Months compared with Prior Year Six Months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Operating Revenues. </w:t>
      </w:r>
      <w:r>
        <w:rPr>
          <w:rFonts w:ascii="Times New Roman" w:cs="Times New Roman" w:eastAsia="Times New Roman" w:hAnsi="Times New Roman"/>
          <w:sz w:val="21"/>
          <w:szCs w:val="21"/>
          <w:color w:val="auto"/>
        </w:rPr>
        <w:t>Charter revenues were $2.1 million lower in the Current Year Six Months compared with the Prior</w:t>
      </w:r>
    </w:p>
    <w:p>
      <w:pPr>
        <w:spacing w:after="0" w:line="4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Year Six Months. Charter revenues were $3.7 million lower due to the repositioning of vessels between geographic regions and $1.6 million higher for the core fleet.</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$1.0 million higher in the Current Year Six Months</w:t>
      </w:r>
    </w:p>
    <w:p>
      <w:pPr>
        <w:spacing w:after="0" w:line="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compared with the Prior Year Six Months. Direct operating expenses were $2.2 million higher for the core fleet and $1.2 million lower primarily due to the repositioning of vessels between geographic regions.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3" w:name="page44"/>
    <w:bookmarkEnd w:id="43"/>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Other Operating Expenses</w:t>
      </w:r>
    </w:p>
    <w:p>
      <w:pPr>
        <w:spacing w:after="0" w:line="177"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Lease Expense. </w:t>
      </w:r>
      <w:r>
        <w:rPr>
          <w:rFonts w:ascii="Times New Roman" w:cs="Times New Roman" w:eastAsia="Times New Roman" w:hAnsi="Times New Roman"/>
          <w:sz w:val="22"/>
          <w:szCs w:val="22"/>
          <w:color w:val="auto"/>
        </w:rPr>
        <w:t>Leased-in equipment expense for the Current Year Quarter and Current Year Six Months was essentially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flat compared with the Prior Year Quarter and Prior Year Six Months.</w:t>
      </w:r>
    </w:p>
    <w:p>
      <w:pPr>
        <w:spacing w:after="0" w:line="10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Administrative and general. </w:t>
      </w:r>
      <w:r>
        <w:rPr>
          <w:rFonts w:ascii="Times New Roman" w:cs="Times New Roman" w:eastAsia="Times New Roman" w:hAnsi="Times New Roman"/>
          <w:sz w:val="22"/>
          <w:szCs w:val="22"/>
          <w:color w:val="auto"/>
        </w:rPr>
        <w:t>Administrative and general expenses for the Current Year Quarter and Current Year Six</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Months were $1.1 million higher and $2.4 million higher compared to the Prior Year Quarter and Prior Year Six Months, respectively, due to increases in salaries and benefits expenses in the Current Year Quarter and Current Year Six Months.</w:t>
      </w:r>
    </w:p>
    <w:p>
      <w:pPr>
        <w:spacing w:after="0" w:line="12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Depreciation and amortization. </w:t>
      </w:r>
      <w:r>
        <w:rPr>
          <w:rFonts w:ascii="Times New Roman" w:cs="Times New Roman" w:eastAsia="Times New Roman" w:hAnsi="Times New Roman"/>
          <w:sz w:val="22"/>
          <w:szCs w:val="22"/>
          <w:color w:val="auto"/>
        </w:rPr>
        <w:t>Depreciation and amortization expense for the Current Year Quarter and Current Year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Six Months were $0.1 million higher and $0.3 million lower compared to the Prior Year Quarter and Prior Year Six Months, respectively, primarily due to net fleet changes.</w:t>
      </w:r>
    </w:p>
    <w:p>
      <w:pPr>
        <w:spacing w:after="0" w:line="16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Gains (Losses) on Asset Dispositions and Impairments, Net. </w:t>
      </w:r>
      <w:r>
        <w:rPr>
          <w:rFonts w:ascii="Times New Roman" w:cs="Times New Roman" w:eastAsia="Times New Roman" w:hAnsi="Times New Roman"/>
          <w:sz w:val="22"/>
          <w:szCs w:val="22"/>
          <w:color w:val="auto"/>
        </w:rPr>
        <w:t>During the Current Year Quarter, the Company sold one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FSV and other equipment for net cash proceeds of $1.4 million, after transaction costs. The Company classified the FSV as held for sale and recorded impairment charges of $0.9 million during the first quarter of 2022. During the Prior Year Quarter, the Company sold one FSV and set off debt payments with hull and machinery insurance proceeds for the liftboat SEACOR Power of $25.0 million, for a total of $28.6 million in cash, resulting in gains of $23.3 million.</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During the Current Year Six Months, the Company sold one FSV, one liftboat, which was previously removed from service, office space and other equipment for net cash proceeds of $6.7 million, after transaction costs, and a gain of $2.2 million, which included impairment charges of $0.9 million for the FSV classified as held for sale during the first quarter of 2022 and sold during the second quarter of 2022. During the Prior Year Six Months, the Company sold one PSV vessel, three FSVs and set off debt payments with hull and machinery insurance proceeds for the liftboat SEACOR Power of $25.0 million, for a total of $30.1 million in cash, resulting in gains of $20.9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Income (Expense), Net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periods ended June 30, the Company’s other income (expense) was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18"/>
                <w:szCs w:val="18"/>
                <w:color w:val="auto"/>
              </w:rPr>
            </w:pPr>
          </w:p>
        </w:tc>
        <w:tc>
          <w:tcPr>
            <w:tcW w:w="244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8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11"/>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4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40" w:type="dxa"/>
            <w:vAlign w:val="bottom"/>
          </w:tcPr>
          <w:p>
            <w:pPr>
              <w:spacing w:after="0"/>
              <w:rPr>
                <w:sz w:val="18"/>
                <w:szCs w:val="18"/>
                <w:color w:val="auto"/>
              </w:rPr>
            </w:pP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(6,989)</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(7,310)</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(13,616)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(15,328)</w:t>
            </w: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SEACOR Holdings guarantee fees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Gain on debt extinguishment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61,994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61,994</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Derivative gains (losses),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Foreign currency gains (losses), net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(657)</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(1,123)</w:t>
            </w: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58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(5,637)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54,191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47,041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Interest income. </w:t>
      </w:r>
      <w:r>
        <w:rPr>
          <w:rFonts w:ascii="Times New Roman" w:cs="Times New Roman" w:eastAsia="Times New Roman" w:hAnsi="Times New Roman"/>
          <w:sz w:val="22"/>
          <w:szCs w:val="22"/>
          <w:color w:val="auto"/>
        </w:rPr>
        <w:t>Interest income for the Current Year Quarter compared with the Prior Year Quarter was essentially flat.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Interest income for the Current Year Six Months compared with the Prior Year Six Months decreased primarily due to interest received from the IRS due to delays in the payment of the CARES Act tax refunds in the Prior Year Six Months.</w:t>
      </w:r>
    </w:p>
    <w:p>
      <w:pPr>
        <w:spacing w:after="0" w:line="19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Interest expense. </w:t>
      </w:r>
      <w:r>
        <w:rPr>
          <w:rFonts w:ascii="Times New Roman" w:cs="Times New Roman" w:eastAsia="Times New Roman" w:hAnsi="Times New Roman"/>
          <w:sz w:val="22"/>
          <w:szCs w:val="22"/>
          <w:color w:val="auto"/>
        </w:rPr>
        <w:t>Interest expense was lower in the Current Year Quarter and Current Year Six Months compared with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Prior Year Quarter and Prior Year Six Months primarily due to the extinguishment of $117.3 million of principal outstanding under the FGUSA Credit Facility. This decrease was offset by increases in interest associated with the Tarahumara Shipyard Financing following delivery of one PSV in 2021 and the debt assumed as a result of the Merger of OSV Partners I.</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4" w:name="page45"/>
    <w:bookmarkEnd w:id="44"/>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Derivative (losses) gains, net. </w:t>
      </w:r>
      <w:r>
        <w:rPr>
          <w:rFonts w:ascii="Times New Roman" w:cs="Times New Roman" w:eastAsia="Times New Roman" w:hAnsi="Times New Roman"/>
          <w:sz w:val="22"/>
          <w:szCs w:val="22"/>
          <w:color w:val="auto"/>
        </w:rPr>
        <w:t>Net derivative (losses) gains for the Current Year Quarter compared with the Prior Year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Quarter was essentially flat. Net derivative (losses) gains for the Current Year Six Months compared to the Prior Year Six Months decreased due to the Company not having any open forward currency exchange contracts since March 31, 2021.</w:t>
      </w:r>
    </w:p>
    <w:p>
      <w:pPr>
        <w:spacing w:after="0" w:line="13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Foreign currency gains (losses), net. </w:t>
      </w:r>
      <w:r>
        <w:rPr>
          <w:rFonts w:ascii="Times New Roman" w:cs="Times New Roman" w:eastAsia="Times New Roman" w:hAnsi="Times New Roman"/>
          <w:sz w:val="22"/>
          <w:szCs w:val="22"/>
          <w:color w:val="auto"/>
        </w:rPr>
        <w:t>Foreign currency gains for the Current Year Quarter and Current Year Six Months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compared to foreign currency losses for the Prior Year Quarter and Prior Year Six Months was primarily due to various changes in foreign currencies.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 Benefit</w:t>
      </w:r>
    </w:p>
    <w:p>
      <w:pPr>
        <w:spacing w:after="0" w:line="17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During the six months ended June 30, 2022, the Company’s effective income tax rate of 9.20% was primarily due to foreign taxes not creditable against U.S. income taxes and foreign losses for which there is no benefit in the 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in Earnings of 50% or Less Owned Companies</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Equity in earnings of 50% or less owned companies for the Current Year Quarter compared with the Prior Year Quarter were $1.8 million lower and earnings for the Current Year Six Months compared with the Prior Year Six Months were essentially flat due to the following changes in equity earnings gains (losses)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276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18"/>
                <w:szCs w:val="18"/>
                <w:color w:val="auto"/>
              </w:rPr>
            </w:pPr>
          </w:p>
        </w:tc>
        <w:tc>
          <w:tcPr>
            <w:tcW w:w="244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840" w:type="dxa"/>
            <w:vAlign w:val="bottom"/>
            <w:tcBorders>
              <w:bottom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11"/>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MexMar</w:t>
            </w:r>
          </w:p>
        </w:tc>
        <w:tc>
          <w:tcPr>
            <w:tcW w:w="7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MEXMAR Offshore</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24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SEACOR Arabia</w:t>
            </w: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(160)</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(1,093)</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(823)</w:t>
            </w: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OSV Partners</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(1,029)</w:t>
            </w:r>
          </w:p>
        </w:tc>
      </w:tr>
      <w:tr>
        <w:trPr>
          <w:trHeight w:val="21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Offshore Vessel Holdings</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1,027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r>
      <w:tr>
        <w:trPr>
          <w:trHeight w:val="209"/>
        </w:trPr>
        <w:tc>
          <w:tcPr>
            <w:tcW w:w="584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222222"/>
        </w:rPr>
        <w:t xml:space="preserve">OSV Partners. </w:t>
      </w:r>
      <w:r>
        <w:rPr>
          <w:rFonts w:ascii="Times New Roman" w:cs="Times New Roman" w:eastAsia="Times New Roman" w:hAnsi="Times New Roman"/>
          <w:sz w:val="21"/>
          <w:szCs w:val="21"/>
          <w:color w:val="222222"/>
        </w:rPr>
        <w:t>On December 31, 2021, SEACOR Marine, SEACOR Offshore OSV and OSV Partners I entered into the</w:t>
      </w:r>
    </w:p>
    <w:p>
      <w:pPr>
        <w:spacing w:after="0" w:line="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222222"/>
        </w:rPr>
        <w:t>Merger Agreement pursuant to which OSV Partners I merged with and into SEACOR Offshore OSV, with SEACOR Offshore OSV surviving the merger. As a result of the Merger, the five 201’, 1,900 tons deadweight capacity, PSVs owned by OSV Partners I are now 100% owned by the Company and no longer included as equity in earnings.</w:t>
      </w:r>
    </w:p>
    <w:p>
      <w:pPr>
        <w:spacing w:after="0" w:line="14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222222"/>
        </w:rPr>
        <w:t xml:space="preserve">MEXMAR Offshore. </w:t>
      </w:r>
      <w:r>
        <w:rPr>
          <w:rFonts w:ascii="Times New Roman" w:cs="Times New Roman" w:eastAsia="Times New Roman" w:hAnsi="Times New Roman"/>
          <w:sz w:val="22"/>
          <w:szCs w:val="22"/>
          <w:color w:val="222222"/>
        </w:rPr>
        <w:t>On December 9, 2021, the Company transferred its 49% interest in MEXMAR Offshore</w:t>
      </w:r>
      <w:r>
        <w:rPr>
          <w:rFonts w:ascii="Times New Roman" w:cs="Times New Roman" w:eastAsia="Times New Roman" w:hAnsi="Times New Roman"/>
          <w:sz w:val="22"/>
          <w:szCs w:val="22"/>
          <w:b w:val="1"/>
          <w:bCs w:val="1"/>
          <w:i w:val="1"/>
          <w:iCs w:val="1"/>
          <w:color w:val="222222"/>
        </w:rPr>
        <w:t xml:space="preserve"> </w:t>
      </w:r>
      <w:r>
        <w:rPr>
          <w:rFonts w:ascii="Times New Roman" w:cs="Times New Roman" w:eastAsia="Times New Roman" w:hAnsi="Times New Roman"/>
          <w:sz w:val="22"/>
          <w:szCs w:val="22"/>
          <w:color w:val="222222"/>
        </w:rPr>
        <w:t>International LLC (“MEXMAR Offshore”) to a subsidiary of CME for nominal consideration and a transaction fee of $0.2 million. As of December 31, 2021, the Company does not have any ownership interest in MEXMAR Offshore.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Company’s ongoing liquidity requirements arise primarily from working capital needs, capital commitments and its obligations to service outstanding debt and comply with covenants under its debt facilities. The Company may use its liquidity to fund capital expenditures, make acquisitions or to make other investments. Sources of liquidity are cash balances, construction reserve funds and cash flows from operations. From time to time, the Company may secure additional liquidity through asset sales or the issuance of debt, shares of Common Stock or common stock of its subsidiaries, preferred stock or a combination thereof.</w:t>
      </w:r>
    </w:p>
    <w:p>
      <w:pPr>
        <w:spacing w:after="0" w:line="14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As of June 30, 2022, the Company had unfunded capital commitments of $1.1 million for miscellaneous vessel equipment, $0.3 million of which is payable during the remainder of 2022 and $0.8 million of which 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22"/>
          <w:szCs w:val="22"/>
          <w:color w:val="auto"/>
        </w:rPr>
        <w:t>payable during 2023. The Company has indefinitely deferred an additional $9.4 million of orders with respect to one FSV that the Company had previously reported as unfunded capital commitments.</w:t>
      </w:r>
    </w:p>
    <w:p>
      <w:pPr>
        <w:spacing w:after="0" w:line="13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As of June 30, 2022, the Company had outstanding debt of $352.1 million, net of debt discount and issue costs. The Company’s contractual long-term debt maturities as of June 30, 2022,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Actual</w:t>
            </w:r>
          </w:p>
        </w:tc>
      </w:tr>
      <w:tr>
        <w:trPr>
          <w:trHeight w:val="212"/>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Remainder 2022</w:t>
            </w:r>
          </w:p>
        </w:tc>
        <w:tc>
          <w:tcPr>
            <w:tcW w:w="38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15,218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241,517</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55,334</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11,365</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Years subsequent to 2026</w:t>
            </w:r>
          </w:p>
        </w:tc>
        <w:tc>
          <w:tcPr>
            <w:tcW w:w="38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48,779</w:t>
            </w:r>
          </w:p>
        </w:tc>
        <w:tc>
          <w:tcPr>
            <w:tcW w:w="100" w:type="dxa"/>
            <w:vAlign w:val="bottom"/>
            <w:tcBorders>
              <w:bottom w:val="single" w:sz="8" w:color="CFF0FC"/>
            </w:tcBorders>
          </w:tcPr>
          <w:p>
            <w:pPr>
              <w:spacing w:after="0"/>
              <w:rPr>
                <w:sz w:val="18"/>
                <w:szCs w:val="18"/>
                <w:color w:val="auto"/>
              </w:rPr>
            </w:pPr>
          </w:p>
        </w:tc>
      </w:tr>
      <w:tr>
        <w:trPr>
          <w:trHeight w:val="209"/>
        </w:trPr>
        <w:tc>
          <w:tcPr>
            <w:tcW w:w="5460" w:type="dxa"/>
            <w:vAlign w:val="bottom"/>
            <w:tcBorders>
              <w:bottom w:val="single" w:sz="8" w:color="CFF0FC"/>
            </w:tcBorders>
            <w:shd w:val="clear" w:color="auto" w:fill="CFF0FC"/>
          </w:tcPr>
          <w:p>
            <w:pPr>
              <w:spacing w:after="0"/>
              <w:rPr>
                <w:sz w:val="18"/>
                <w:szCs w:val="18"/>
                <w:color w:val="auto"/>
              </w:rPr>
            </w:pPr>
          </w:p>
        </w:tc>
        <w:tc>
          <w:tcPr>
            <w:tcW w:w="38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384,842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As of June 30, 2022, the Company held balances of cash, cash equivalents, restricted cash and construction reserve funds totaling $25.9 million. As of June 30, 2021, the Company held balances of cash, cash equivalents, restricted cash and construction reserve funds totaling $51.3 million, of which $2.7 million was construction reserve funds held as cash. Additionally, the Company had $1.1 million available borrowing capacity under subsidiary credit facilities as of June 30, 2022, compared to $0.7 million as of June 30, 2021.</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Summary of Cash Flows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is a summary of the Company’s cash flows (in thousands) for the six months ended for the following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6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6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provided by or (used in):</w:t>
            </w:r>
          </w:p>
        </w:tc>
        <w:tc>
          <w:tcPr>
            <w:tcW w:w="7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6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Activities</w:t>
            </w:r>
          </w:p>
        </w:tc>
        <w:tc>
          <w:tcPr>
            <w:tcW w:w="174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(5,845)</w:t>
            </w:r>
          </w:p>
        </w:tc>
        <w:tc>
          <w:tcPr>
            <w:tcW w:w="110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9,539</w:t>
            </w:r>
          </w:p>
        </w:tc>
        <w:tc>
          <w:tcPr>
            <w:tcW w:w="120" w:type="dxa"/>
            <w:vAlign w:val="bottom"/>
          </w:tcPr>
          <w:p>
            <w:pPr>
              <w:spacing w:after="0"/>
              <w:rPr>
                <w:sz w:val="18"/>
                <w:szCs w:val="18"/>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Investing Activities</w:t>
            </w:r>
          </w:p>
        </w:tc>
        <w:tc>
          <w:tcPr>
            <w:tcW w:w="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68,262</w:t>
            </w:r>
          </w:p>
        </w:tc>
        <w:tc>
          <w:tcPr>
            <w:tcW w:w="120" w:type="dxa"/>
            <w:vAlign w:val="bottom"/>
            <w:shd w:val="clear" w:color="auto" w:fill="CFF0FC"/>
          </w:tcPr>
          <w:p>
            <w:pPr>
              <w:spacing w:after="0"/>
              <w:rPr>
                <w:sz w:val="19"/>
                <w:szCs w:val="19"/>
                <w:color w:val="auto"/>
              </w:rPr>
            </w:pPr>
          </w:p>
        </w:tc>
      </w:tr>
      <w:tr>
        <w:trPr>
          <w:trHeight w:val="213"/>
        </w:trPr>
        <w:tc>
          <w:tcPr>
            <w:tcW w:w="6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Financing Activities</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(16,462)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(65,846)</w:t>
            </w:r>
          </w:p>
        </w:tc>
      </w:tr>
      <w:tr>
        <w:trPr>
          <w:trHeight w:val="219"/>
        </w:trPr>
        <w:tc>
          <w:tcPr>
            <w:tcW w:w="6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Effects of Exchange Rate Changes on Cash, Restricted Cash and Cash Equivalents</w:t>
            </w:r>
          </w:p>
        </w:tc>
        <w:tc>
          <w:tcPr>
            <w:tcW w:w="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6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Decrease in Cash, Restricted Cash and Cash Equivalents from Discontinued Operations</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(171)</w:t>
            </w:r>
          </w:p>
        </w:tc>
      </w:tr>
      <w:tr>
        <w:trPr>
          <w:trHeight w:val="210"/>
        </w:trPr>
        <w:tc>
          <w:tcPr>
            <w:tcW w:w="6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Restricted Cash and Cash Equivalents</w:t>
            </w:r>
          </w:p>
        </w:tc>
        <w:tc>
          <w:tcPr>
            <w:tcW w:w="76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(15,316)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6" w:name="page47"/>
    <w:bookmarkEnd w:id="46"/>
    <w:p>
      <w:pPr>
        <w:ind w:left="760"/>
        <w:spacing w:after="0"/>
        <w:rPr>
          <w:sz w:val="20"/>
          <w:szCs w:val="20"/>
          <w:color w:val="auto"/>
        </w:rPr>
      </w:pPr>
      <w:r>
        <w:rPr>
          <w:rFonts w:ascii="Times New Roman" w:cs="Times New Roman" w:eastAsia="Times New Roman" w:hAnsi="Times New Roman"/>
          <w:sz w:val="22"/>
          <w:szCs w:val="22"/>
          <w:b w:val="1"/>
          <w:bCs w:val="1"/>
          <w:color w:val="auto"/>
        </w:rPr>
        <w:t>Operating Activities</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Cash flows provided by continuing operating activities decreased by $15.5 million in the Current Year Six Months compared with the Prior Year Six Months primarily due to income tax refunds received in 2021 partially offset by working capital timing. The components of cash flows provided by and/or used in continuing operating activities during the Current Year Six Months and Prior Year Six Months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772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top w:val="single" w:sz="8" w:color="auto"/>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DVP:</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United States, primarily Gulf of Mexico</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(1,348)</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(818)</w:t>
            </w: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Africa and Europe, Continuing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Middle East and Asia</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6,182</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Latin America</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10,011</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leased-in equipment</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(1,098)</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(4,599)</w:t>
            </w: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Administrative and general (excluding provisions for bad debts and amortization of share awards)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(17,464)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(15,142)</w:t>
            </w: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SEACOR Holdings management and guarantee fees</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net (excluding non-cash losses)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(41)</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Dividends received from 50% or less owned companies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7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before interest and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(10,876)</w:t>
            </w: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vested</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(732)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(272)</w:t>
            </w: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Director share awards</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settlements on derivative transactions,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(651)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(1,333)</w:t>
            </w:r>
          </w:p>
        </w:tc>
      </w:tr>
      <w:tr>
        <w:trPr>
          <w:trHeight w:val="216"/>
        </w:trPr>
        <w:tc>
          <w:tcPr>
            <w:tcW w:w="772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Interest paid, excluding capitalized interest </w:t>
            </w:r>
            <w:r>
              <w:rPr>
                <w:rFonts w:ascii="Times New Roman" w:cs="Times New Roman" w:eastAsia="Times New Roman" w:hAnsi="Times New Roman"/>
                <w:sz w:val="25"/>
                <w:szCs w:val="25"/>
                <w:color w:val="auto"/>
                <w:vertAlign w:val="superscript"/>
              </w:rPr>
              <w:t>(1)</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(10,341)</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(11,745)</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received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Income taxes refunded,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31,400</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flows (used in) provided by operating activities</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20" w:hanging="372"/>
        <w:spacing w:after="0" w:line="298" w:lineRule="auto"/>
        <w:tabs>
          <w:tab w:leader="none" w:pos="3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During the Current Year Six Months, the Company paid no capitalized interest. During the Prior Year Six Months, capitalized interest paid and included in purchases of property and equipment for continuing operations was $0.3 million.</w:t>
      </w:r>
    </w:p>
    <w:p>
      <w:pPr>
        <w:spacing w:after="0" w:line="1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Investing Activities</w:t>
      </w:r>
    </w:p>
    <w:p>
      <w:pPr>
        <w:spacing w:after="0" w:line="18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During the Current Year Six Months, net cash provided by investing activities was $7.0 million, primarily as a result of the following:</w:t>
      </w:r>
    </w:p>
    <w:p>
      <w:pPr>
        <w:spacing w:after="0" w:line="50" w:lineRule="exact"/>
        <w:rPr>
          <w:sz w:val="20"/>
          <w:szCs w:val="20"/>
          <w:color w:val="auto"/>
        </w:rPr>
      </w:pPr>
    </w:p>
    <w:p>
      <w:pPr>
        <w:ind w:left="1260" w:hanging="510"/>
        <w:spacing w:after="0"/>
        <w:tabs>
          <w:tab w:leader="none" w:pos="12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were less than $0.1 million;</w:t>
      </w:r>
    </w:p>
    <w:p>
      <w:pPr>
        <w:spacing w:after="0" w:line="98" w:lineRule="exact"/>
        <w:rPr>
          <w:rFonts w:ascii="Times New Roman" w:cs="Times New Roman" w:eastAsia="Times New Roman" w:hAnsi="Times New Roman"/>
          <w:sz w:val="22"/>
          <w:szCs w:val="22"/>
          <w:color w:val="auto"/>
        </w:rPr>
      </w:pPr>
    </w:p>
    <w:p>
      <w:pPr>
        <w:ind w:left="1260" w:hanging="510"/>
        <w:spacing w:after="0" w:line="258" w:lineRule="auto"/>
        <w:tabs>
          <w:tab w:leader="none" w:pos="12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sold one FSV, one liftboat, which was previously removed from service, office space and other equipment for net cash proceeds of $6.7 million, after transaction costs, and a gain of $2.2 million; and</w:t>
      </w:r>
    </w:p>
    <w:p>
      <w:pPr>
        <w:spacing w:after="0" w:line="50" w:lineRule="exact"/>
        <w:rPr>
          <w:rFonts w:ascii="Times New Roman" w:cs="Times New Roman" w:eastAsia="Times New Roman" w:hAnsi="Times New Roman"/>
          <w:sz w:val="22"/>
          <w:szCs w:val="22"/>
          <w:color w:val="auto"/>
        </w:rPr>
      </w:pPr>
    </w:p>
    <w:p>
      <w:pPr>
        <w:ind w:left="1260" w:hanging="510"/>
        <w:spacing w:after="0" w:line="258" w:lineRule="auto"/>
        <w:tabs>
          <w:tab w:leader="none" w:pos="12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received $0.4 million from investments in, and advances to, its 50% or less owned companies for principal payments on notes.</w:t>
      </w:r>
    </w:p>
    <w:p>
      <w:pPr>
        <w:spacing w:after="0" w:line="11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During the Prior Year Six Months, net cash provided by investing activities was $68.3 million, primarily as a result of the following:</w:t>
      </w:r>
    </w:p>
    <w:p>
      <w:pPr>
        <w:spacing w:after="0" w:line="50" w:lineRule="exact"/>
        <w:rPr>
          <w:sz w:val="20"/>
          <w:szCs w:val="20"/>
          <w:color w:val="auto"/>
        </w:rPr>
      </w:pPr>
    </w:p>
    <w:p>
      <w:pPr>
        <w:ind w:left="1260" w:hanging="510"/>
        <w:spacing w:after="0"/>
        <w:tabs>
          <w:tab w:leader="none" w:pos="1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were $3.7 million;</w:t>
      </w:r>
    </w:p>
    <w:p>
      <w:pPr>
        <w:spacing w:after="0" w:line="98" w:lineRule="exact"/>
        <w:rPr>
          <w:rFonts w:ascii="Times New Roman" w:cs="Times New Roman" w:eastAsia="Times New Roman" w:hAnsi="Times New Roman"/>
          <w:sz w:val="22"/>
          <w:szCs w:val="22"/>
          <w:color w:val="auto"/>
        </w:rPr>
      </w:pPr>
    </w:p>
    <w:p>
      <w:pPr>
        <w:ind w:left="1260" w:right="20" w:hanging="510"/>
        <w:spacing w:after="0" w:line="258" w:lineRule="auto"/>
        <w:tabs>
          <w:tab w:leader="none" w:pos="1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sold three FSVs, one PSV and reduced debt payments with hull and machinery insurance proceeds from the SEACOR Power of $25.0 million, for a total of $30.1 million;</w:t>
      </w:r>
    </w:p>
    <w:p>
      <w:pPr>
        <w:spacing w:after="0" w:line="50" w:lineRule="exact"/>
        <w:rPr>
          <w:rFonts w:ascii="Times New Roman" w:cs="Times New Roman" w:eastAsia="Times New Roman" w:hAnsi="Times New Roman"/>
          <w:sz w:val="22"/>
          <w:szCs w:val="22"/>
          <w:color w:val="auto"/>
        </w:rPr>
      </w:pPr>
    </w:p>
    <w:p>
      <w:pPr>
        <w:ind w:left="1260" w:right="20" w:hanging="510"/>
        <w:spacing w:after="0" w:line="282" w:lineRule="auto"/>
        <w:tabs>
          <w:tab w:leader="none" w:pos="126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completed the sale of Windcat Workboats for net proceeds of $38.7 million ($42.2 million cash, less $3.5 million cash held at Windcat Workboats that was included in the assets purchased by the Windcat Buyer);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ind w:left="1260" w:hanging="510"/>
        <w:spacing w:after="0"/>
        <w:tabs>
          <w:tab w:leader="none" w:pos="12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investments in, and advances to, its 50% or less owned companies of $0.7 million; and</w:t>
      </w:r>
    </w:p>
    <w:p>
      <w:pPr>
        <w:spacing w:after="0" w:line="98" w:lineRule="exact"/>
        <w:rPr>
          <w:rFonts w:ascii="Times New Roman" w:cs="Times New Roman" w:eastAsia="Times New Roman" w:hAnsi="Times New Roman"/>
          <w:sz w:val="22"/>
          <w:szCs w:val="22"/>
          <w:color w:val="auto"/>
        </w:rPr>
      </w:pPr>
    </w:p>
    <w:p>
      <w:pPr>
        <w:ind w:left="1260" w:hanging="510"/>
        <w:spacing w:after="0" w:line="258" w:lineRule="auto"/>
        <w:tabs>
          <w:tab w:leader="none" w:pos="12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received $3.8 million from investments in, and advances to, its 50% or less owned companies for principal payments on notes.</w:t>
      </w:r>
    </w:p>
    <w:p>
      <w:pPr>
        <w:spacing w:after="0" w:line="1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Financing Activities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During the Current Year Six Months, net cash used in financing activities was $16.5 million, primarily as a result of the following:</w:t>
      </w:r>
    </w:p>
    <w:p>
      <w:pPr>
        <w:spacing w:after="0" w:line="50" w:lineRule="exact"/>
        <w:rPr>
          <w:sz w:val="20"/>
          <w:szCs w:val="20"/>
          <w:color w:val="auto"/>
        </w:rPr>
      </w:pPr>
    </w:p>
    <w:p>
      <w:pPr>
        <w:ind w:left="1260" w:hanging="510"/>
        <w:spacing w:after="0"/>
        <w:tabs>
          <w:tab w:leader="none" w:pos="12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scheduled payments on long-term debt and other obligations of $16.5 million;</w:t>
      </w:r>
    </w:p>
    <w:p>
      <w:pPr>
        <w:spacing w:after="0" w:line="98" w:lineRule="exact"/>
        <w:rPr>
          <w:rFonts w:ascii="Times New Roman" w:cs="Times New Roman" w:eastAsia="Times New Roman" w:hAnsi="Times New Roman"/>
          <w:sz w:val="22"/>
          <w:szCs w:val="22"/>
          <w:color w:val="auto"/>
        </w:rPr>
      </w:pPr>
    </w:p>
    <w:p>
      <w:pPr>
        <w:ind w:left="1260" w:hanging="510"/>
        <w:spacing w:after="0"/>
        <w:tabs>
          <w:tab w:leader="none" w:pos="12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received $0.2 million proceeds from the exercise of stock options; and</w:t>
      </w:r>
    </w:p>
    <w:p>
      <w:pPr>
        <w:spacing w:after="0" w:line="98" w:lineRule="exact"/>
        <w:rPr>
          <w:rFonts w:ascii="Times New Roman" w:cs="Times New Roman" w:eastAsia="Times New Roman" w:hAnsi="Times New Roman"/>
          <w:sz w:val="22"/>
          <w:szCs w:val="22"/>
          <w:color w:val="auto"/>
        </w:rPr>
      </w:pPr>
    </w:p>
    <w:p>
      <w:pPr>
        <w:ind w:left="1260" w:hanging="510"/>
        <w:spacing w:after="0"/>
        <w:tabs>
          <w:tab w:leader="none" w:pos="12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payments on finance leases of $0.1 million.</w:t>
      </w:r>
    </w:p>
    <w:p>
      <w:pPr>
        <w:spacing w:after="0" w:line="16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During the Prior Year Six Months, net cash used in financing activities was $65.8 million; primarily as a result of the following:</w:t>
      </w:r>
    </w:p>
    <w:p>
      <w:pPr>
        <w:spacing w:after="0" w:line="50" w:lineRule="exact"/>
        <w:rPr>
          <w:sz w:val="20"/>
          <w:szCs w:val="20"/>
          <w:color w:val="auto"/>
        </w:rPr>
      </w:pPr>
    </w:p>
    <w:p>
      <w:pPr>
        <w:ind w:left="1260" w:hanging="510"/>
        <w:spacing w:after="0"/>
        <w:tabs>
          <w:tab w:leader="none" w:pos="12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scheduled payments on long-term debt and obligations of $65.1 million; and</w:t>
      </w:r>
    </w:p>
    <w:p>
      <w:pPr>
        <w:spacing w:after="0" w:line="111" w:lineRule="exact"/>
        <w:rPr>
          <w:rFonts w:ascii="Times New Roman" w:cs="Times New Roman" w:eastAsia="Times New Roman" w:hAnsi="Times New Roman"/>
          <w:sz w:val="22"/>
          <w:szCs w:val="22"/>
          <w:color w:val="auto"/>
        </w:rPr>
      </w:pPr>
    </w:p>
    <w:p>
      <w:pPr>
        <w:ind w:left="1260" w:hanging="510"/>
        <w:spacing w:after="0"/>
        <w:tabs>
          <w:tab w:leader="none" w:pos="12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payments on debt extinguishment costs of $0.8 million.</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Short and Long-Term Liquidity Requirements</w:t>
      </w:r>
    </w:p>
    <w:p>
      <w:pPr>
        <w:spacing w:after="0" w:line="17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needs, debt service requirements and covenant compliance over the short to medium term.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continuously monitors the Company’s liquidity to ensure it is sufficient to meet its needs as well as to ensure compliance with covenants in its credit facilities.</w:t>
      </w:r>
    </w:p>
    <w:p>
      <w:pPr>
        <w:spacing w:after="0" w:line="15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While the COVID-19 pandemic initially reduced the demand for the Company’s products and services, the COVID-19 pandemic has not had a material impact on the Company’s liquidity or on the Company’s ability to meet its financial maintenance covenants in its various credit facilities. However, if the COVID-19 pandemic does not fully abate, new vaccine resistant strains appear, or certain countries implement new shutdowns, the effects of the pandemic on the Company's business may become more severe, for example by further reducing demand for the Company’s products and services or causing customers not to make their payments on time, and this may have a material impact on the Company.</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Debt Securities and Credit Agreements</w:t>
      </w:r>
    </w:p>
    <w:p>
      <w:pPr>
        <w:spacing w:after="0" w:line="17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For a discussion of the Company’s debt securities and credit agreements, see “Note 4. Long-Term Debt” in the unaudited consolidated financial statements included in Part I. Item 1. “Financial Statements” elsewhere in this Quarterly Report on Form 10-Q and in “Note 8. Long-Term Debt” in the Company’s audited consolidated financial statements included in its 2021 Annual Report. Other then as set forth below there has not been any material changes to the agreement’s governing the Company’s long-term debt during the period.</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On June 15, 2022, SEACOR Marine, SMFH, and certain vessel-owning subsidiaries of SEACOR Marine, entered into SMFH Amendment No. 4 to that certain SMFH Credit Facility and, in connection therewith, SEACOR Marine entered into the A&amp;R SMFH Guaranty. SMFH Amendment No. 4 and the A&amp;R SMFH Guaranty provide for, among other things, the amendment of the definition of Cash and Cash Equivalents to include 35% of the accounts receivable as reported in SEACOR Marine’s financial statements for the second, third and fourth quarter of fiscal year 2022.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SMFH Credit Facility requires the Company to maintain a minimum balance of Cash and Cash Equivalents equal to the greater of (i) $35.0 million and (ii) 7.5% of Total Debt. As of June 30, 2022, the Company's Cash and Cash Equivalents balance used to test compliance with this covenant was $45.3 million or 15.0% of Total Debt. The Company expects that cash flow from operations, together with accounts receivable balances of the Company for the second, third and fourth quarter of fiscal year 2022, will be sufficient to maintain compliance with this covenant for the foreseeable future. However, if significant events such as the COVID-19 pandemic or the Russia/Ukraine conflict result in a decrease in demand for the Company’s services, it may require us to seek further amendments to this covenant.</w:t>
      </w:r>
    </w:p>
    <w:p>
      <w:pPr>
        <w:spacing w:after="0" w:line="15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On August 2, 2022, SEACOR Marine, SEACOR Offshore Eight LLC, a wholly-owned subsidiary of SEACOR Marine, and certain vessel owning wholly-owned subsidiaries of SEACOR Marine, entered into the 2022 88/888 Amendment to the SEACOR 88/888 Term Loan. The SEACOR 88/888 Term Loan is secured by two vessels and SEACOR Marine has provided a limited guaranty of such loan under which claims recoverable from SEACOR Marine shall not exceed the lesser of (x) $5.5 million and (y) 50% of the obligations outstanding at the time a claim is made thereunder. The 2022 88/888 Amendment provides for, among other things, (i) the extension of the maturity date of the SEACOR 88/888 Term Loan from June 29, 2023 to July 1, 2024, and (ii) the amendment of the applicable interest rate margin over SOFR from 3.75% to 4.75%.</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Future Cash Requirements</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discussion of the Company’s future cash requirements, refer to “Management’s Discussion and Analysis of Financial Condition and Results of Operations - Liquidity and Capital Resources” in the Company’s 2021 Annual Report. There has been no material change in the Company’s future cash requirements.</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Contingencies</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discussion of the Company’s contingencies, see “Note 9. Commitments and Contingencies” in the unaudited consolidated financial statements included in Part I. Item 1. “Financial Statements” elsewhere in this Quarterly Report on Form 10-Q.</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b w:val="1"/>
          <w:bCs w:val="1"/>
          <w:color w:val="auto"/>
        </w:rPr>
        <w:t>ITEM 3.QUANTITATIVE AND QUALITATIVE DISCLOSURES ABOUT MARKET RISK</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discussion of the Company’s exposure to market risk, refer to “Quantitative and Qualitative Disclosures About Market Risk” included in the Company’s 2021 Annual Report. There has been no material change in the Company’s exposure to market risk during the six months ended June 30, 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4.CONTROLS AND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Evaluation of Disclosure Controls and Procedures</w:t>
      </w:r>
    </w:p>
    <w:p>
      <w:pPr>
        <w:spacing w:after="0" w:line="17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With the participation of the Company’s principal executive officer and principal financial officer, management evaluated the effectiveness of the Company’s disclosure controls and procedures (as defined in Rules 13a-15(e) and 15d-15(e) under the Exchange Act, as of June 30, 2022. Based on their evaluation, the Company’s principal executive officer and principal financial officer concluded that the Company’s disclosure controls and procedures were effective as of June 30, 2022 to provide reasonable assurance that information required to be disclosed by the Company in reports filed or submitted under the Exchange Act is (i) recorded, processed, summarized and reported within the time periods specified in the Securities and Exchange Commission's rules and forms and (ii) accumulated and communicated to the Company's management, including its Chief Executive Officer and Chief Financial Officer, as appropriate to allow timely decisions regarding required disclosure.</w:t>
      </w:r>
    </w:p>
    <w:p>
      <w:pPr>
        <w:spacing w:after="0" w:line="13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Internal Control Over Financial Reporting</w:t>
      </w:r>
    </w:p>
    <w:p>
      <w:pPr>
        <w:spacing w:after="0" w:line="17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2"/>
          <w:szCs w:val="22"/>
          <w:color w:val="auto"/>
        </w:rPr>
        <w:t>There have been no changes in the Company’s internal control over financial reporting (as defined in Rules 13a-15(f) and 15d-15(f) under the Exchange Act) that occurred during the Current Year Quarter that have materially affected, or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1.LEGAL PROCEEDINGS</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description of developments with respect to pending legal proceedings described in the Company’s 2021 Annual Report, see “Note 9. Commitments and Contingencies” included in Part I. Item 1. “Financial Statements” elsewhere in this Quarterly Report on Form 10-Q.</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1A.RISK FACTORS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a discussion of the Company’s risk factors, refer to “Risk Factors” included in the Company’s 2021 Annual Report.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have been no material changes in the Company’s risk factors during the Current Year Quarter.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2.UNREGISTERED SALES OF EQUITY SECURITIES AND USE OF PROCEEDS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(b) None.</w:t>
      </w:r>
    </w:p>
    <w:p>
      <w:pPr>
        <w:spacing w:after="0" w:line="112" w:lineRule="exact"/>
        <w:rPr>
          <w:sz w:val="20"/>
          <w:szCs w:val="20"/>
          <w:color w:val="auto"/>
        </w:rPr>
      </w:pPr>
    </w:p>
    <w:p>
      <w:pPr>
        <w:ind w:left="1260" w:hanging="510"/>
        <w:spacing w:after="0" w:line="258" w:lineRule="auto"/>
        <w:tabs>
          <w:tab w:leader="none" w:pos="12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table provides information with respect to purchases by the Company of shares of its Common Stock during the Current Year Quarter: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 Number</w:t>
            </w:r>
          </w:p>
        </w:tc>
      </w:t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Shares that may</w:t>
            </w:r>
          </w:p>
        </w:tc>
      </w:tr>
      <w:tr>
        <w:trPr>
          <w:trHeight w:val="203"/>
        </w:trPr>
        <w:tc>
          <w:tcPr>
            <w:tcW w:w="3660" w:type="dxa"/>
            <w:vAlign w:val="bottom"/>
          </w:tcPr>
          <w:p>
            <w:pPr>
              <w:spacing w:after="0"/>
              <w:rPr>
                <w:sz w:val="17"/>
                <w:szCs w:val="17"/>
                <w:color w:val="auto"/>
              </w:rPr>
            </w:pP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Average Price per</w:t>
            </w:r>
          </w:p>
        </w:tc>
        <w:tc>
          <w:tcPr>
            <w:tcW w:w="1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Part of a Publicly</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 Purchased Under</w:t>
            </w:r>
          </w:p>
        </w:tc>
      </w:tr>
      <w:tr>
        <w:trPr>
          <w:trHeight w:val="215"/>
        </w:trPr>
        <w:tc>
          <w:tcPr>
            <w:tcW w:w="3660" w:type="dxa"/>
            <w:vAlign w:val="bottom"/>
          </w:tcPr>
          <w:p>
            <w:pPr>
              <w:spacing w:after="0"/>
              <w:rPr>
                <w:sz w:val="18"/>
                <w:szCs w:val="18"/>
                <w:color w:val="auto"/>
              </w:rPr>
            </w:pP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 Withheld</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Announced Plan</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the Plan</w:t>
            </w:r>
          </w:p>
        </w:tc>
      </w:tr>
      <w:tr>
        <w:trPr>
          <w:trHeight w:val="210"/>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April 1, 2022 to April 30, 2022</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ind w:left="1500"/>
              <w:spacing w:after="0" w:line="193" w:lineRule="exact"/>
              <w:rPr>
                <w:sz w:val="20"/>
                <w:szCs w:val="20"/>
                <w:color w:val="auto"/>
              </w:rPr>
            </w:pPr>
            <w:r>
              <w:rPr>
                <w:rFonts w:ascii="Calibri" w:cs="Calibri" w:eastAsia="Calibri" w:hAnsi="Calibri"/>
                <w:sz w:val="16"/>
                <w:szCs w:val="16"/>
                <w:color w:val="auto"/>
                <w:w w:val="96"/>
              </w:rPr>
              <w:t>—</w:t>
            </w:r>
          </w:p>
        </w:tc>
        <w:tc>
          <w:tcPr>
            <w:tcW w:w="30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ind w:left="1480"/>
              <w:spacing w:after="0" w:line="193" w:lineRule="exact"/>
              <w:rPr>
                <w:sz w:val="20"/>
                <w:szCs w:val="20"/>
                <w:color w:val="auto"/>
              </w:rPr>
            </w:pPr>
            <w:r>
              <w:rPr>
                <w:rFonts w:ascii="Calibri" w:cs="Calibri" w:eastAsia="Calibri" w:hAnsi="Calibri"/>
                <w:sz w:val="16"/>
                <w:szCs w:val="16"/>
                <w:color w:val="auto"/>
                <w:w w:val="96"/>
              </w:rPr>
              <w:t>—</w:t>
            </w:r>
          </w:p>
        </w:tc>
        <w:tc>
          <w:tcPr>
            <w:tcW w:w="120" w:type="dxa"/>
            <w:vAlign w:val="bottom"/>
            <w:tcBorders>
              <w:top w:val="single" w:sz="8" w:color="CFF0FC"/>
            </w:tcBorders>
            <w:shd w:val="clear" w:color="auto" w:fill="CFF0FC"/>
          </w:tcPr>
          <w:p>
            <w:pPr>
              <w:spacing w:after="0"/>
              <w:rPr>
                <w:sz w:val="18"/>
                <w:szCs w:val="18"/>
                <w:color w:val="auto"/>
              </w:rPr>
            </w:pPr>
          </w:p>
        </w:tc>
      </w:tr>
      <w:tr>
        <w:trPr>
          <w:trHeight w:val="250"/>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May 1, 2022 to May 31, 2022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tcPr>
          <w:p>
            <w:pPr>
              <w:spacing w:after="0"/>
              <w:rPr>
                <w:sz w:val="21"/>
                <w:szCs w:val="21"/>
                <w:color w:val="auto"/>
              </w:rPr>
            </w:pPr>
          </w:p>
        </w:tc>
        <w:tc>
          <w:tcPr>
            <w:tcW w:w="1660" w:type="dxa"/>
            <w:vAlign w:val="bottom"/>
            <w:tcBorders>
              <w:bottom w:val="single" w:sz="8" w:color="auto"/>
            </w:tcBorders>
          </w:tcPr>
          <w:p>
            <w:pPr>
              <w:ind w:left="1500"/>
              <w:spacing w:after="0"/>
              <w:rPr>
                <w:sz w:val="20"/>
                <w:szCs w:val="20"/>
                <w:color w:val="auto"/>
              </w:rPr>
            </w:pPr>
            <w:r>
              <w:rPr>
                <w:rFonts w:ascii="Calibri" w:cs="Calibri" w:eastAsia="Calibri" w:hAnsi="Calibri"/>
                <w:sz w:val="16"/>
                <w:szCs w:val="16"/>
                <w:color w:val="auto"/>
                <w:w w:val="96"/>
              </w:rPr>
              <w:t>—</w:t>
            </w:r>
          </w:p>
        </w:tc>
        <w:tc>
          <w:tcPr>
            <w:tcW w:w="300" w:type="dxa"/>
            <w:vAlign w:val="bottom"/>
            <w:tcBorders>
              <w:bottom w:val="single" w:sz="8" w:color="CFF0FC"/>
            </w:tcBorders>
          </w:tcPr>
          <w:p>
            <w:pPr>
              <w:spacing w:after="0"/>
              <w:rPr>
                <w:sz w:val="21"/>
                <w:szCs w:val="21"/>
                <w:color w:val="auto"/>
              </w:rPr>
            </w:pPr>
          </w:p>
        </w:tc>
        <w:tc>
          <w:tcPr>
            <w:tcW w:w="1640" w:type="dxa"/>
            <w:vAlign w:val="bottom"/>
            <w:tcBorders>
              <w:bottom w:val="single" w:sz="8" w:color="auto"/>
            </w:tcBorders>
          </w:tcPr>
          <w:p>
            <w:pPr>
              <w:ind w:left="1480"/>
              <w:spacing w:after="0"/>
              <w:rPr>
                <w:sz w:val="20"/>
                <w:szCs w:val="20"/>
                <w:color w:val="auto"/>
              </w:rPr>
            </w:pPr>
            <w:r>
              <w:rPr>
                <w:rFonts w:ascii="Calibri" w:cs="Calibri" w:eastAsia="Calibri" w:hAnsi="Calibri"/>
                <w:sz w:val="16"/>
                <w:szCs w:val="16"/>
                <w:color w:val="auto"/>
                <w:w w:val="96"/>
              </w:rPr>
              <w:t>—</w:t>
            </w:r>
          </w:p>
        </w:tc>
        <w:tc>
          <w:tcPr>
            <w:tcW w:w="120" w:type="dxa"/>
            <w:vAlign w:val="bottom"/>
            <w:tcBorders>
              <w:bottom w:val="single" w:sz="8" w:color="CFF0FC"/>
            </w:tcBorders>
          </w:tcPr>
          <w:p>
            <w:pPr>
              <w:spacing w:after="0"/>
              <w:rPr>
                <w:sz w:val="21"/>
                <w:szCs w:val="21"/>
                <w:color w:val="auto"/>
              </w:rPr>
            </w:pPr>
          </w:p>
        </w:tc>
      </w:tr>
      <w:tr>
        <w:trPr>
          <w:trHeight w:val="25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June 1, 2022 to June 30, 2022</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30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280" w:type="dxa"/>
            <w:vAlign w:val="bottom"/>
            <w:shd w:val="clear" w:color="auto" w:fill="CFF0FC"/>
          </w:tcPr>
          <w:p>
            <w:pPr>
              <w:spacing w:after="0"/>
              <w:rPr>
                <w:sz w:val="22"/>
                <w:szCs w:val="22"/>
                <w:color w:val="auto"/>
              </w:rPr>
            </w:pPr>
          </w:p>
        </w:tc>
        <w:tc>
          <w:tcPr>
            <w:tcW w:w="1960" w:type="dxa"/>
            <w:vAlign w:val="bottom"/>
            <w:gridSpan w:val="2"/>
            <w:shd w:val="clear" w:color="auto" w:fill="CFF0FC"/>
          </w:tcPr>
          <w:p>
            <w:pPr>
              <w:ind w:left="1500"/>
              <w:spacing w:after="0"/>
              <w:rPr>
                <w:sz w:val="20"/>
                <w:szCs w:val="20"/>
                <w:color w:val="auto"/>
              </w:rPr>
            </w:pPr>
            <w:r>
              <w:rPr>
                <w:rFonts w:ascii="Calibri" w:cs="Calibri" w:eastAsia="Calibri" w:hAnsi="Calibri"/>
                <w:sz w:val="16"/>
                <w:szCs w:val="16"/>
                <w:color w:val="auto"/>
              </w:rPr>
              <w:t>—</w:t>
            </w:r>
          </w:p>
        </w:tc>
        <w:tc>
          <w:tcPr>
            <w:tcW w:w="1760" w:type="dxa"/>
            <w:vAlign w:val="bottom"/>
            <w:gridSpan w:val="2"/>
            <w:shd w:val="clear" w:color="auto" w:fill="CFF0FC"/>
          </w:tcPr>
          <w:p>
            <w:pPr>
              <w:ind w:left="1480"/>
              <w:spacing w:after="0"/>
              <w:rPr>
                <w:sz w:val="20"/>
                <w:szCs w:val="20"/>
                <w:color w:val="auto"/>
              </w:rPr>
            </w:pPr>
            <w:r>
              <w:rPr>
                <w:rFonts w:ascii="Calibri" w:cs="Calibri" w:eastAsia="Calibri" w:hAnsi="Calibri"/>
                <w:sz w:val="16"/>
                <w:szCs w:val="16"/>
                <w:color w:val="auto"/>
              </w:rPr>
              <w:t>—</w:t>
            </w:r>
          </w:p>
        </w:tc>
      </w:tr>
    </w:tbl>
    <w:p>
      <w:pPr>
        <w:spacing w:after="0" w:line="18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the three months ended June 30, 2022, the Company acquired for treasury 6,500 shares of Common Stock for an aggregate purchase price of $59,670 from its directors and/or employees to cover their tax withholding obligations upon the lapsing of restrictions on share awards. These shares were purchased in accordance with the terms of the Company’s 2017 Equity Incentive Plan or 2020 Equity Incentive Plan, as applicable.</w:t>
      </w:r>
    </w:p>
    <w:p>
      <w:pPr>
        <w:spacing w:after="0" w:line="17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DEFAULT UPON SENIOR SECURITIES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4.MINE SAFETY DISCLOSURES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5.OTHER INFORMATION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b w:val="1"/>
          <w:bCs w:val="1"/>
          <w:color w:val="auto"/>
        </w:rPr>
        <w:t>ITEM 6.EXHIBITS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60" w:type="dxa"/>
            <w:vAlign w:val="bottom"/>
            <w:gridSpan w:val="12"/>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Amendment No. 4 to Credit Agreement and Parent Guaranty, dated as of June 15, 2022, by and among SEACOR Marine Foreign Holdings</w:t>
              </w:r>
            </w:hyperlink>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8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Inc., SEACOR Marine Holdings Inc., DNB Bank ASA, New York Branch, DNB Capital LLC, Clifford Capital Pte. Ltd., Hancock Whitney</w:t>
              </w:r>
            </w:hyperlink>
          </w:p>
        </w:tc>
      </w:tr>
      <w:tr>
        <w:trPr>
          <w:trHeight w:val="196"/>
        </w:trPr>
        <w:tc>
          <w:tcPr>
            <w:tcW w:w="1160" w:type="dxa"/>
            <w:vAlign w:val="bottom"/>
          </w:tcPr>
          <w:p>
            <w:pPr>
              <w:spacing w:after="0"/>
              <w:rPr>
                <w:sz w:val="17"/>
                <w:szCs w:val="17"/>
                <w:color w:val="auto"/>
              </w:rPr>
            </w:pPr>
          </w:p>
        </w:tc>
        <w:tc>
          <w:tcPr>
            <w:tcW w:w="9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Bank, Citicorp North America, Inc., and the entities identified on schedules thereto (incorporated herein by reference to Exhibit 10.1 of</w:t>
              </w:r>
            </w:hyperlink>
          </w:p>
        </w:tc>
        <w:tc>
          <w:tcPr>
            <w:tcW w:w="32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SEACOR Marine Holdings Inc.’s Period Filing on Form 8-K filed with the Commission on June 17, 2022 (SEC File No. 001-37966))</w:t>
              </w:r>
              <w:r>
                <w:rPr>
                  <w:rFonts w:ascii="Times New Roman" w:cs="Times New Roman" w:eastAsia="Times New Roman" w:hAnsi="Times New Roman"/>
                  <w:sz w:val="18"/>
                  <w:szCs w:val="18"/>
                  <w:color w:val="000000"/>
                </w:rPr>
                <w:t>.</w:t>
              </w:r>
            </w:hyperlink>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8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60" w:type="dxa"/>
            <w:vAlign w:val="bottom"/>
            <w:gridSpan w:val="12"/>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Amended and Restated Guaranty, dated as of June 15, 2022, by SEACOR Marine Holdings Inc. in favor of DNB Bank ASA, New York</w:t>
              </w:r>
            </w:hyperlink>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8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Branch, as security trustee (incorporated herein by reference to Exhibit 10.2 of SEACOR Marine Holdings Inc.’s Period Filing on Form 8-</w:t>
              </w:r>
            </w:hyperlink>
          </w:p>
        </w:tc>
      </w:tr>
      <w:tr>
        <w:trPr>
          <w:trHeight w:val="196"/>
        </w:trPr>
        <w:tc>
          <w:tcPr>
            <w:tcW w:w="1160" w:type="dxa"/>
            <w:vAlign w:val="bottom"/>
          </w:tcPr>
          <w:p>
            <w:pPr>
              <w:spacing w:after="0"/>
              <w:rPr>
                <w:sz w:val="17"/>
                <w:szCs w:val="17"/>
                <w:color w:val="auto"/>
              </w:rPr>
            </w:pPr>
          </w:p>
        </w:tc>
        <w:tc>
          <w:tcPr>
            <w:tcW w:w="100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K filed with the Commission on June 17, 2022 (SEC File No. 001-37966))</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8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8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SEACOR Marine Holdings Inc. 2022 Equity Incentive Plan (incorporated herein by reference to Annex A of SEACOR Marine Holdings</w:t>
              </w:r>
            </w:hyperlink>
          </w:p>
        </w:tc>
        <w:tc>
          <w:tcPr>
            <w:tcW w:w="20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12"/>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Inc.’s definitive proxy statement on Schedule 14A as file with the Commission on April 22, 2022 (SEC File No. 001-37966))</w:t>
              </w:r>
              <w:r>
                <w:rPr>
                  <w:rFonts w:ascii="Times New Roman" w:cs="Times New Roman" w:eastAsia="Times New Roman" w:hAnsi="Times New Roman"/>
                  <w:sz w:val="18"/>
                  <w:szCs w:val="18"/>
                  <w:color w:val="000000"/>
                </w:rPr>
                <w:t>.</w:t>
              </w:r>
            </w:hyperlink>
          </w:p>
        </w:tc>
      </w:tr>
      <w:tr>
        <w:trPr>
          <w:trHeight w:val="3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Director Restricted Stock Grant Agreement under the SEACOR Marine Holdings Inc. 2022 Equity Incentive Plan.</w:t>
            </w:r>
          </w:p>
        </w:tc>
        <w:tc>
          <w:tcPr>
            <w:tcW w:w="140" w:type="dxa"/>
            <w:vAlign w:val="bottom"/>
            <w:tcBorders>
              <w:top w:val="single" w:sz="8" w:color="0000EE"/>
            </w:tcBorders>
          </w:tcPr>
          <w:p>
            <w:pPr>
              <w:spacing w:after="0"/>
              <w:rPr>
                <w:sz w:val="24"/>
                <w:szCs w:val="24"/>
                <w:color w:val="auto"/>
              </w:rPr>
            </w:pPr>
          </w:p>
        </w:tc>
        <w:tc>
          <w:tcPr>
            <w:tcW w:w="1040" w:type="dxa"/>
            <w:vAlign w:val="bottom"/>
            <w:gridSpan w:val="8"/>
          </w:tcPr>
          <w:p>
            <w:pPr>
              <w:spacing w:after="0"/>
              <w:rPr>
                <w:sz w:val="24"/>
                <w:szCs w:val="24"/>
                <w:color w:val="auto"/>
              </w:rPr>
            </w:pPr>
          </w:p>
        </w:tc>
      </w:tr>
      <w:tr>
        <w:trPr>
          <w:trHeight w:val="34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by the Principal Executive Officer pursuant to Rule 13a-14(a) and Rule 15d-14(a) of the Securities Exchange Act, as</w:t>
            </w:r>
          </w:p>
        </w:tc>
        <w:tc>
          <w:tcPr>
            <w:tcW w:w="70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9360" w:type="dxa"/>
            <w:vAlign w:val="bottom"/>
            <w:gridSpan w:val="11"/>
          </w:tcPr>
          <w:p>
            <w:pPr>
              <w:spacing w:after="0"/>
              <w:rPr>
                <w:sz w:val="17"/>
                <w:szCs w:val="17"/>
                <w:color w:val="auto"/>
              </w:rPr>
            </w:pPr>
          </w:p>
        </w:tc>
      </w:tr>
      <w:tr>
        <w:trPr>
          <w:trHeight w:val="3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by the Principal Financial Officer pursuant to Rule 13a-14(a) and Rule 15d-14(a) of the Securities Exchange Act, as amended.</w:t>
            </w:r>
          </w:p>
        </w:tc>
        <w:tc>
          <w:tcPr>
            <w:tcW w:w="20" w:type="dxa"/>
            <w:vAlign w:val="bottom"/>
          </w:tcPr>
          <w:p>
            <w:pPr>
              <w:spacing w:after="0"/>
              <w:rPr>
                <w:sz w:val="24"/>
                <w:szCs w:val="24"/>
                <w:color w:val="auto"/>
              </w:rPr>
            </w:pPr>
          </w:p>
        </w:tc>
      </w:tr>
    </w:tbl>
    <w:p>
      <w:pPr>
        <w:spacing w:after="0" w:line="157" w:lineRule="exact"/>
        <w:rPr>
          <w:sz w:val="20"/>
          <w:szCs w:val="20"/>
          <w:color w:val="auto"/>
        </w:rPr>
      </w:pPr>
    </w:p>
    <w:p>
      <w:pPr>
        <w:ind w:left="1160" w:right="340" w:hanging="1152"/>
        <w:spacing w:after="0" w:line="282" w:lineRule="auto"/>
        <w:tabs>
          <w:tab w:leader="none" w:pos="1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 by the Principal Executive Officer and Chief Financial Officer pursuant to 18 U.S.C. Section 1350, as adopted pursuant to Section 906 of the Sarbanes-Oxley Act of 2002.</w:t>
      </w:r>
    </w:p>
    <w:p>
      <w:pPr>
        <w:sectPr>
          <w:pgSz w:w="11900" w:h="16838" w:orient="portrait"/>
          <w:cols w:equalWidth="0" w:num="1">
            <w:col w:w="11240"/>
          </w:cols>
          <w:pgMar w:left="320" w:top="338" w:right="339" w:bottom="1440" w:gutter="0" w:footer="0" w:header="0"/>
        </w:sectPr>
      </w:pP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94" w:lineRule="exact"/>
        <w:rPr>
          <w:sz w:val="20"/>
          <w:szCs w:val="20"/>
          <w:color w:val="auto"/>
        </w:rPr>
      </w:pPr>
    </w:p>
    <w:p>
      <w:pPr>
        <w:sectPr>
          <w:pgSz w:w="11900" w:h="16838" w:orient="portrait"/>
          <w:cols w:equalWidth="0" w:num="2">
            <w:col w:w="800" w:space="360"/>
            <w:col w:w="10080"/>
          </w:cols>
          <w:pgMar w:left="320" w:top="33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Schema</w:t>
      </w:r>
    </w:p>
    <w:p>
      <w:pPr>
        <w:spacing w:after="0" w:line="169" w:lineRule="exact"/>
        <w:rPr>
          <w:sz w:val="20"/>
          <w:szCs w:val="20"/>
          <w:color w:val="auto"/>
        </w:rPr>
      </w:pPr>
    </w:p>
    <w:p>
      <w:pPr>
        <w:sectPr>
          <w:pgSz w:w="11900" w:h="16838" w:orient="portrait"/>
          <w:cols w:equalWidth="0" w:num="2">
            <w:col w:w="860" w:space="300"/>
            <w:col w:w="10080"/>
          </w:cols>
          <w:pgMar w:left="320" w:top="33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p>
      <w:pPr>
        <w:spacing w:after="0" w:line="169" w:lineRule="exact"/>
        <w:rPr>
          <w:sz w:val="20"/>
          <w:szCs w:val="20"/>
          <w:color w:val="auto"/>
        </w:rPr>
      </w:pPr>
    </w:p>
    <w:p>
      <w:pPr>
        <w:sectPr>
          <w:pgSz w:w="11900" w:h="16838" w:orient="portrait"/>
          <w:cols w:equalWidth="0" w:num="2">
            <w:col w:w="860" w:space="300"/>
            <w:col w:w="10080"/>
          </w:cols>
          <w:pgMar w:left="320" w:top="33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p>
      <w:pPr>
        <w:spacing w:after="0" w:line="169" w:lineRule="exact"/>
        <w:rPr>
          <w:sz w:val="20"/>
          <w:szCs w:val="20"/>
          <w:color w:val="auto"/>
        </w:rPr>
      </w:pPr>
    </w:p>
    <w:p>
      <w:pPr>
        <w:sectPr>
          <w:pgSz w:w="11900" w:h="16838" w:orient="portrait"/>
          <w:cols w:equalWidth="0" w:num="2">
            <w:col w:w="840" w:space="320"/>
            <w:col w:w="10080"/>
          </w:cols>
          <w:pgMar w:left="320" w:top="33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p>
      <w:pPr>
        <w:spacing w:after="0" w:line="169" w:lineRule="exact"/>
        <w:rPr>
          <w:sz w:val="20"/>
          <w:szCs w:val="20"/>
          <w:color w:val="auto"/>
        </w:rPr>
      </w:pPr>
    </w:p>
    <w:p>
      <w:pPr>
        <w:sectPr>
          <w:pgSz w:w="11900" w:h="16838" w:orient="portrait"/>
          <w:cols w:equalWidth="0" w:num="2">
            <w:col w:w="860" w:space="300"/>
            <w:col w:w="10080"/>
          </w:cols>
          <w:pgMar w:left="320" w:top="33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p>
      <w:pPr>
        <w:spacing w:after="0" w:line="169" w:lineRule="exact"/>
        <w:rPr>
          <w:sz w:val="20"/>
          <w:szCs w:val="20"/>
          <w:color w:val="auto"/>
        </w:rPr>
      </w:pPr>
    </w:p>
    <w:p>
      <w:pPr>
        <w:sectPr>
          <w:pgSz w:w="11900" w:h="16838" w:orient="portrait"/>
          <w:cols w:equalWidth="0" w:num="2">
            <w:col w:w="840" w:space="320"/>
            <w:col w:w="10080"/>
          </w:cols>
          <w:pgMar w:left="320" w:top="338" w:right="339" w:bottom="1440" w:gutter="0" w:footer="0" w:header="0"/>
          <w:type w:val="continuous"/>
        </w:sectPr>
      </w:pPr>
    </w:p>
    <w:p>
      <w:pPr>
        <w:ind w:left="1160" w:right="540" w:hanging="1152"/>
        <w:spacing w:after="0" w:line="282" w:lineRule="auto"/>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Quarterly Report on Form 10-Q for the quarter ended June 30, 2022, has been formatted in Inline XBRL.</w:t>
      </w:r>
    </w:p>
    <w:p>
      <w:pPr>
        <w:spacing w:after="0" w:line="364"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w:t>
      </w:r>
    </w:p>
    <w:p>
      <w:pPr>
        <w:spacing w:after="0" w:line="50"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50" w:lineRule="exact"/>
        <w:rPr>
          <w:sz w:val="20"/>
          <w:szCs w:val="20"/>
          <w:color w:val="auto"/>
        </w:rPr>
      </w:pPr>
    </w:p>
    <w:p>
      <w:pPr>
        <w:ind w:left="38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56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SEACOR Marine Holdings Inc.</w:t>
            </w:r>
          </w:p>
        </w:tc>
      </w:tr>
      <w:tr>
        <w:trPr>
          <w:trHeight w:val="282"/>
        </w:trPr>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(Registrant)</w:t>
            </w:r>
          </w:p>
        </w:tc>
      </w:tr>
      <w:tr>
        <w:trPr>
          <w:trHeight w:val="474"/>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August 3, 2022</w:t>
            </w:r>
          </w:p>
        </w:tc>
        <w:tc>
          <w:tcPr>
            <w:tcW w:w="32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By:</w:t>
            </w: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John Gellert</w:t>
            </w:r>
          </w:p>
        </w:tc>
      </w:tr>
      <w:tr>
        <w:trPr>
          <w:trHeight w:val="205"/>
        </w:trPr>
        <w:tc>
          <w:tcPr>
            <w:tcW w:w="5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400" w:type="dxa"/>
            <w:vAlign w:val="bottom"/>
          </w:tcPr>
          <w:p>
            <w:pPr>
              <w:spacing w:after="0" w:line="205" w:lineRule="exact"/>
              <w:rPr>
                <w:sz w:val="20"/>
                <w:szCs w:val="20"/>
                <w:color w:val="auto"/>
              </w:rPr>
            </w:pPr>
            <w:r>
              <w:rPr>
                <w:rFonts w:ascii="Times New Roman" w:cs="Times New Roman" w:eastAsia="Times New Roman" w:hAnsi="Times New Roman"/>
                <w:sz w:val="22"/>
                <w:szCs w:val="22"/>
                <w:color w:val="auto"/>
              </w:rPr>
              <w:t xml:space="preserve">John Gellert, </w:t>
            </w:r>
            <w:r>
              <w:rPr>
                <w:rFonts w:ascii="Times New Roman" w:cs="Times New Roman" w:eastAsia="Times New Roman" w:hAnsi="Times New Roman"/>
                <w:sz w:val="22"/>
                <w:szCs w:val="22"/>
                <w:i w:val="1"/>
                <w:iCs w:val="1"/>
                <w:color w:val="auto"/>
              </w:rPr>
              <w:t>President,</w:t>
            </w:r>
          </w:p>
        </w:tc>
      </w:tr>
      <w:tr>
        <w:trPr>
          <w:trHeight w:val="243"/>
        </w:trPr>
        <w:tc>
          <w:tcPr>
            <w:tcW w:w="5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Chief Executive Officer</w:t>
            </w:r>
          </w:p>
        </w:tc>
      </w:tr>
      <w:tr>
        <w:trPr>
          <w:trHeight w:val="286"/>
        </w:trPr>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(Principal Executive Officer)</w:t>
            </w:r>
          </w:p>
        </w:tc>
      </w:tr>
      <w:tr>
        <w:trPr>
          <w:trHeight w:val="474"/>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August 3, 2022</w:t>
            </w:r>
          </w:p>
        </w:tc>
        <w:tc>
          <w:tcPr>
            <w:tcW w:w="32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By:</w:t>
            </w: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Jesús Llorca</w:t>
            </w:r>
          </w:p>
        </w:tc>
      </w:tr>
      <w:tr>
        <w:trPr>
          <w:trHeight w:val="205"/>
        </w:trPr>
        <w:tc>
          <w:tcPr>
            <w:tcW w:w="5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400" w:type="dxa"/>
            <w:vAlign w:val="bottom"/>
          </w:tcPr>
          <w:p>
            <w:pPr>
              <w:spacing w:after="0" w:line="205" w:lineRule="exact"/>
              <w:rPr>
                <w:sz w:val="20"/>
                <w:szCs w:val="20"/>
                <w:color w:val="auto"/>
              </w:rPr>
            </w:pPr>
            <w:r>
              <w:rPr>
                <w:rFonts w:ascii="Times New Roman" w:cs="Times New Roman" w:eastAsia="Times New Roman" w:hAnsi="Times New Roman"/>
                <w:sz w:val="22"/>
                <w:szCs w:val="22"/>
                <w:color w:val="auto"/>
                <w:w w:val="99"/>
              </w:rPr>
              <w:t xml:space="preserve">Jesús Llorca, </w:t>
            </w:r>
            <w:r>
              <w:rPr>
                <w:rFonts w:ascii="Times New Roman" w:cs="Times New Roman" w:eastAsia="Times New Roman" w:hAnsi="Times New Roman"/>
                <w:sz w:val="22"/>
                <w:szCs w:val="22"/>
                <w:i w:val="1"/>
                <w:iCs w:val="1"/>
                <w:color w:val="auto"/>
                <w:w w:val="99"/>
              </w:rPr>
              <w:t>Executive Vice President</w:t>
            </w:r>
          </w:p>
        </w:tc>
      </w:tr>
      <w:tr>
        <w:trPr>
          <w:trHeight w:val="243"/>
        </w:trPr>
        <w:tc>
          <w:tcPr>
            <w:tcW w:w="5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and Chief Financial Officer</w:t>
            </w:r>
          </w:p>
        </w:tc>
      </w:tr>
      <w:tr>
        <w:trPr>
          <w:trHeight w:val="286"/>
        </w:trPr>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(Principal Financial Officer)</w:t>
            </w:r>
          </w:p>
        </w:tc>
      </w:tr>
      <w:tr>
        <w:trPr>
          <w:trHeight w:val="474"/>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August 3, 2022</w:t>
            </w:r>
          </w:p>
        </w:tc>
        <w:tc>
          <w:tcPr>
            <w:tcW w:w="32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By:</w:t>
            </w: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Gregory S. Rossmiller</w:t>
            </w:r>
          </w:p>
        </w:tc>
      </w:tr>
      <w:tr>
        <w:trPr>
          <w:trHeight w:val="205"/>
        </w:trPr>
        <w:tc>
          <w:tcPr>
            <w:tcW w:w="5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400" w:type="dxa"/>
            <w:vAlign w:val="bottom"/>
          </w:tcPr>
          <w:p>
            <w:pPr>
              <w:spacing w:after="0" w:line="205" w:lineRule="exact"/>
              <w:rPr>
                <w:sz w:val="20"/>
                <w:szCs w:val="20"/>
                <w:color w:val="auto"/>
              </w:rPr>
            </w:pPr>
            <w:r>
              <w:rPr>
                <w:rFonts w:ascii="Times New Roman" w:cs="Times New Roman" w:eastAsia="Times New Roman" w:hAnsi="Times New Roman"/>
                <w:sz w:val="22"/>
                <w:szCs w:val="22"/>
                <w:color w:val="auto"/>
              </w:rPr>
              <w:t>Gregory S. Rossmiller,</w:t>
            </w:r>
          </w:p>
        </w:tc>
      </w:tr>
      <w:tr>
        <w:trPr>
          <w:trHeight w:val="243"/>
        </w:trPr>
        <w:tc>
          <w:tcPr>
            <w:tcW w:w="5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Senior Vice President</w:t>
            </w:r>
          </w:p>
        </w:tc>
      </w:tr>
      <w:tr>
        <w:trPr>
          <w:trHeight w:val="243"/>
        </w:trPr>
        <w:tc>
          <w:tcPr>
            <w:tcW w:w="5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and Chief Accounting Officer</w:t>
            </w:r>
          </w:p>
        </w:tc>
      </w:tr>
      <w:tr>
        <w:trPr>
          <w:trHeight w:val="286"/>
        </w:trPr>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08"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4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b w:val="1"/>
          <w:bCs w:val="1"/>
          <w:u w:val="single" w:color="auto"/>
          <w:color w:val="auto"/>
        </w:rPr>
        <w:t>FORM OF DIRECTOR RESTRICTED STOCK GRANT AGREEMENT</w:t>
      </w:r>
    </w:p>
    <w:p>
      <w:pPr>
        <w:spacing w:after="0" w:line="245"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DIRECTOR RESTRICTED STOCK GRANT AGREEMENT PURSUANT TO THE SEACOR MARINE HOLDINGS INC. 2022 EQUITY INCENTIVE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THIS DIRECTOR RESTRICTED STOCK GRANT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[_________], 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between SEACOR Marine Holdings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[__________]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W I T N E S S E T H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Grantee is a non-employee director of the Company; and</w:t>
      </w:r>
    </w:p>
    <w:p>
      <w:pPr>
        <w:spacing w:after="0" w:line="20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desires to issue and grant to the Grantee, and the Grantee desires to accept, Shares, upon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subject to the conditions herein set forth;</w:t>
      </w:r>
    </w:p>
    <w:p>
      <w:pPr>
        <w:spacing w:after="0" w:line="15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premises and the mutual covenants herein contained, the parties hereto, intending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legally bound, hereby agree as follows:</w:t>
      </w:r>
    </w:p>
    <w:p>
      <w:pPr>
        <w:spacing w:after="0" w:line="150" w:lineRule="exact"/>
        <w:rPr>
          <w:sz w:val="20"/>
          <w:szCs w:val="20"/>
          <w:color w:val="auto"/>
        </w:rPr>
      </w:pPr>
    </w:p>
    <w:p>
      <w:pPr>
        <w:jc w:val="both"/>
        <w:ind w:firstLine="8"/>
        <w:spacing w:after="0" w:line="235" w:lineRule="auto"/>
        <w:tabs>
          <w:tab w:leader="none" w:pos="81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Restricted Stock</w:t>
      </w:r>
      <w:r>
        <w:rPr>
          <w:rFonts w:ascii="Times New Roman" w:cs="Times New Roman" w:eastAsia="Times New Roman" w:hAnsi="Times New Roman"/>
          <w:sz w:val="22"/>
          <w:szCs w:val="22"/>
          <w:color w:val="auto"/>
        </w:rPr>
        <w:t>. The Company hereby grants to the Grantee a total of [__________] restricted Shares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Except as otherwise provided herein including, without limitation, the provisions of Paragraph 4 hereof, the Grantee shall have with respect to the Restricted Stock all of the rights of a holder of Shares, including the right to receive dividends, if paid, and the right to vote the Shares, provided, however, that the amount of any dividend otherwise payable on the Restricted Stock prior to the date on which the Restricted Stock has become vested shall instead be held in escrow from and after the dividend payment date until the Restricted Stock vests, at which time the amount of the dividend shall be paid to the Grantee (or, if such Restricted Stock is forfeited prior to becoming vested, the amount of any dividend related to such Restricted Stock shall also be forfeited). Unless otherwise directed by the Committee, the Restricted Stock shall be held in book entry form with appropriate restrictions relating to the transfer of such Shares.</w:t>
      </w:r>
    </w:p>
    <w:p>
      <w:pPr>
        <w:spacing w:after="0" w:line="173" w:lineRule="exact"/>
        <w:rPr>
          <w:rFonts w:ascii="Times New Roman" w:cs="Times New Roman" w:eastAsia="Times New Roman" w:hAnsi="Times New Roman"/>
          <w:sz w:val="22"/>
          <w:szCs w:val="22"/>
          <w:b w:val="1"/>
          <w:bCs w:val="1"/>
          <w:color w:val="auto"/>
        </w:rPr>
      </w:pPr>
    </w:p>
    <w:p>
      <w:pPr>
        <w:ind w:left="820" w:hanging="812"/>
        <w:spacing w:after="0"/>
        <w:tabs>
          <w:tab w:leader="none" w:pos="82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color w:val="auto"/>
        </w:rPr>
        <w:t>Subject to the terms and conditions set forth herein, including, without limitation, the provisions of Paragraph 5 hereof, beneficial ownership without the restrictions set forth in Paragraph 1 hereof (“</w:t>
      </w:r>
      <w:r>
        <w:rPr>
          <w:rFonts w:ascii="Times New Roman" w:cs="Times New Roman" w:eastAsia="Times New Roman" w:hAnsi="Times New Roman"/>
          <w:sz w:val="21"/>
          <w:szCs w:val="21"/>
          <w:u w:val="single" w:color="auto"/>
          <w:color w:val="auto"/>
        </w:rPr>
        <w:t>Beneficial Ownership</w:t>
      </w:r>
      <w:r>
        <w:rPr>
          <w:rFonts w:ascii="Times New Roman" w:cs="Times New Roman" w:eastAsia="Times New Roman" w:hAnsi="Times New Roman"/>
          <w:sz w:val="21"/>
          <w:szCs w:val="21"/>
          <w:color w:val="auto"/>
        </w:rPr>
        <w:t>”) of the Restricted Stock shall vest in the Grantee on [__________] (such date, the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provided, however, that, if any scheduled Vesting Date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occurs during a trading “blackout” period with respect to the Grantee (a “</w:t>
      </w:r>
      <w:r>
        <w:rPr>
          <w:rFonts w:ascii="Times New Roman" w:cs="Times New Roman" w:eastAsia="Times New Roman" w:hAnsi="Times New Roman"/>
          <w:sz w:val="21"/>
          <w:szCs w:val="21"/>
          <w:u w:val="single" w:color="auto"/>
          <w:color w:val="auto"/>
        </w:rPr>
        <w:t>Blackout Period</w:t>
      </w:r>
      <w:r>
        <w:rPr>
          <w:rFonts w:ascii="Times New Roman" w:cs="Times New Roman" w:eastAsia="Times New Roman" w:hAnsi="Times New Roman"/>
          <w:sz w:val="21"/>
          <w:szCs w:val="21"/>
          <w:color w:val="auto"/>
        </w:rPr>
        <w:t>”), then the Restricted Stock otherwise ordinarily scheduled to vest on such Vesting Date shall instead vest on the earlier of (a) the first day following the termination of the applicable Blackout Period, or (b) December 31 of the year in which the Vesting Date was originally scheduled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403860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both"/>
        <w:spacing w:after="0" w:line="244" w:lineRule="auto"/>
        <w:rPr>
          <w:sz w:val="20"/>
          <w:szCs w:val="20"/>
          <w:color w:val="auto"/>
        </w:rPr>
      </w:pPr>
      <w:r>
        <w:rPr>
          <w:rFonts w:ascii="Times New Roman" w:cs="Times New Roman" w:eastAsia="Times New Roman" w:hAnsi="Times New Roman"/>
          <w:sz w:val="22"/>
          <w:szCs w:val="22"/>
          <w:color w:val="auto"/>
        </w:rPr>
        <w:t>Notwithstanding the foregoing, Beneficial Ownership of all of the aforementioned shares of Restricted Stock shall vest immediately, without any action on the part of the Company (or its successor as applicable) or the Grantee if, prior to a Forfeiture (as defined below) by the Grantee pursuant to Paragraph 4 hereof, any of the following events occur:</w:t>
      </w:r>
    </w:p>
    <w:p>
      <w:pPr>
        <w:spacing w:after="0" w:line="173" w:lineRule="exact"/>
        <w:rPr>
          <w:sz w:val="20"/>
          <w:szCs w:val="20"/>
          <w:color w:val="auto"/>
        </w:rPr>
      </w:pPr>
    </w:p>
    <w:p>
      <w:pPr>
        <w:ind w:left="1700" w:hanging="842"/>
        <w:spacing w:after="0"/>
        <w:tabs>
          <w:tab w:leader="none" w:pos="17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death of the Grantee; and</w:t>
      </w:r>
    </w:p>
    <w:p>
      <w:pPr>
        <w:spacing w:after="0" w:line="206" w:lineRule="exact"/>
        <w:rPr>
          <w:rFonts w:ascii="Times New Roman" w:cs="Times New Roman" w:eastAsia="Times New Roman" w:hAnsi="Times New Roman"/>
          <w:sz w:val="22"/>
          <w:szCs w:val="22"/>
          <w:color w:val="auto"/>
        </w:rPr>
      </w:pPr>
    </w:p>
    <w:p>
      <w:pPr>
        <w:ind w:left="1700" w:hanging="842"/>
        <w:spacing w:after="0" w:line="258" w:lineRule="auto"/>
        <w:tabs>
          <w:tab w:leader="none" w:pos="17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Grantee’s formal retirement from service with the Company under acceptable circumstances as determined by the Committee in its sole discretion.</w:t>
      </w:r>
    </w:p>
    <w:p>
      <w:pPr>
        <w:spacing w:after="0" w:line="154" w:lineRule="exact"/>
        <w:rPr>
          <w:rFonts w:ascii="Times New Roman" w:cs="Times New Roman" w:eastAsia="Times New Roman" w:hAnsi="Times New Roman"/>
          <w:sz w:val="22"/>
          <w:szCs w:val="22"/>
          <w:color w:val="auto"/>
        </w:rPr>
      </w:pPr>
    </w:p>
    <w:p>
      <w:pPr>
        <w:jc w:val="both"/>
        <w:ind w:firstLine="8"/>
        <w:spacing w:after="0" w:line="235" w:lineRule="auto"/>
        <w:tabs>
          <w:tab w:leader="none" w:pos="81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Restricted Stock</w:t>
      </w:r>
      <w:r>
        <w:rPr>
          <w:rFonts w:ascii="Times New Roman" w:cs="Times New Roman" w:eastAsia="Times New Roman" w:hAnsi="Times New Roman"/>
          <w:sz w:val="22"/>
          <w:szCs w:val="22"/>
          <w:color w:val="auto"/>
        </w:rPr>
        <w:t>. Except as expressly provided in Paragraph 2 hereof, prior to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on which Restricted Stock vests hereunder, no unvested Restricted Stock (nor any interest therein) may be sold, assigned, transferred, pledged, hypothecated or otherwise disposed of, shall not be assignable by operation of law and shall not be subject to execution, attachment or similar process. Any attempted sale, assignment, transfer, pledge, hypothecation or other disposition of any unvested Restricted Stock contrary to the provisions hereof shall be null and void and without effect. Notwithstanding the foregoing, unvested Restricted Stock may be transferred by the Grantee solely to the Grantee’s spouse, siblings, parents, children and grandchildren or trusts for the benefit of such persons or partnerships, corporations, limited liability companies or other entities owned solely by such persons, including trusts for such persons.</w:t>
      </w:r>
    </w:p>
    <w:p>
      <w:pPr>
        <w:spacing w:after="0" w:line="178" w:lineRule="exact"/>
        <w:rPr>
          <w:rFonts w:ascii="Times New Roman" w:cs="Times New Roman" w:eastAsia="Times New Roman" w:hAnsi="Times New Roman"/>
          <w:sz w:val="22"/>
          <w:szCs w:val="22"/>
          <w:b w:val="1"/>
          <w:bCs w:val="1"/>
          <w:color w:val="auto"/>
        </w:rPr>
      </w:pPr>
    </w:p>
    <w:p>
      <w:pPr>
        <w:ind w:left="820" w:hanging="812"/>
        <w:spacing w:after="0"/>
        <w:tabs>
          <w:tab w:leader="none" w:pos="8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Forfeiture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A. Except upon occurrence of the events set forth in Paragraphs 2 hereof, or as otherwise provided pursuant to Paragraph 5 hereof, or as otherwise provided by the Committee, upon termination of the Grantee’s service with the Company prior to vesting of Beneficial Ownership in all of the Restricted Stock, and notwithstanding the provisions of Paragraph 2 hereof, Beneficial Ownership of the remaining unvested Restricted Stock shall not vest in the Grantee and all such unvested Restricted Stock shall immediately thereupon be forfeited by the Grantee to the Company (a “</w:t>
      </w: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without any consideration therefor.</w:t>
      </w:r>
    </w:p>
    <w:p>
      <w:pPr>
        <w:spacing w:after="0" w:line="181"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B. From and after the occurrence of such Forfeiture, and notwithstanding any provision herein to the contrary including, without limitation, the provisions of Paragraph 1 hereof, the Grantee shall have no rights to or interests in any of the forfeited Restricted Stock.</w:t>
      </w:r>
    </w:p>
    <w:p>
      <w:pPr>
        <w:spacing w:after="0" w:line="169" w:lineRule="exact"/>
        <w:rPr>
          <w:sz w:val="20"/>
          <w:szCs w:val="20"/>
          <w:color w:val="auto"/>
        </w:rPr>
      </w:pPr>
    </w:p>
    <w:p>
      <w:pPr>
        <w:ind w:left="820" w:hanging="812"/>
        <w:spacing w:after="0"/>
        <w:tabs>
          <w:tab w:leader="none" w:pos="82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 Provisions; Change of Control</w:t>
      </w:r>
    </w:p>
    <w:p>
      <w:pPr>
        <w:spacing w:after="0" w:line="210"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color w:val="auto"/>
        </w:rPr>
        <w:t>The Restricted Stock shall be subject to adjustment as provided in Section 4(b) of the Plan (as defined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2" w:lineRule="exact"/>
        <w:rPr>
          <w:sz w:val="20"/>
          <w:szCs w:val="20"/>
          <w:color w:val="auto"/>
        </w:rPr>
      </w:pPr>
    </w:p>
    <w:p>
      <w:pPr>
        <w:ind w:left="880"/>
        <w:spacing w:after="0"/>
        <w:tabs>
          <w:tab w:leader="none" w:pos="23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The Restricted Stock shall be subject to Section 12 of the Plan upon and following a Change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Control.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55" w:name="page56"/>
    <w:bookmarkEnd w:id="55"/>
    <w:p>
      <w:pPr>
        <w:ind w:left="820" w:hanging="812"/>
        <w:spacing w:after="0"/>
        <w:tabs>
          <w:tab w:leader="none" w:pos="82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of Grantee</w:t>
      </w:r>
      <w:r>
        <w:rPr>
          <w:rFonts w:ascii="Times New Roman" w:cs="Times New Roman" w:eastAsia="Times New Roman" w:hAnsi="Times New Roman"/>
          <w:sz w:val="22"/>
          <w:szCs w:val="22"/>
          <w:color w:val="auto"/>
        </w:rPr>
        <w:t>.  The Grantee hereby represents and warrants to the Company as</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follows:</w:t>
      </w:r>
    </w:p>
    <w:p>
      <w:pPr>
        <w:spacing w:after="0" w:line="182"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A. The Grantee has the legal right and capacity to enter into this Agreement and fully understands the terms and conditions of this Agreement.</w:t>
      </w:r>
    </w:p>
    <w:p>
      <w:pPr>
        <w:spacing w:after="0" w:line="158"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B. The Grantee is acquiring the Restricted Stock for investment purposes only and not with a view to, or in connection with, the public distribution thereof in violation of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C. If any Restricted Stock shall be registered under the Securities Act, no public offering (otherwise than on a national securities exchange, as defined in the Securities Exchange Act of 1934, as amended) of any Shares acquired hereunder shall be made by the Grantee (or any other person) under such circumstances that he or she (or such person) may be deemed an underwriter, as defined in the Securities Act.</w:t>
      </w:r>
    </w:p>
    <w:p>
      <w:pPr>
        <w:spacing w:after="0" w:line="180"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D. The Grantee understands and agrees that none of the Restricted Stock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and then only in accordance with the SEACOR Marine Holdings Inc. Insider Trading and Tipping Procedures and Guidelines (the “</w:t>
      </w:r>
      <w:r>
        <w:rPr>
          <w:rFonts w:ascii="Times New Roman" w:cs="Times New Roman" w:eastAsia="Times New Roman" w:hAnsi="Times New Roman"/>
          <w:sz w:val="22"/>
          <w:szCs w:val="22"/>
          <w:u w:val="single" w:color="auto"/>
          <w:color w:val="auto"/>
        </w:rPr>
        <w:t>Insider Trading Policy</w:t>
      </w:r>
      <w:r>
        <w:rPr>
          <w:rFonts w:ascii="Times New Roman" w:cs="Times New Roman" w:eastAsia="Times New Roman" w:hAnsi="Times New Roman"/>
          <w:sz w:val="22"/>
          <w:szCs w:val="22"/>
          <w:color w:val="auto"/>
        </w:rPr>
        <w:t>”). The Grantee further understands that the Company has no obligation to cause or to refrain from causing the resale of any of the Restricted Stock or any other Shares or shares of its capital stock to be registered under the Securities Act or to comply with any exemption under the Securities Act which would permit the shares of the Restricted Stock to be sold or otherwise transferred by the Grantee. The Grantee further understands that, without approval in writing pursuant to the Insider Trading Policy, no trade may be executed in any interest or position relating to the future price of Company securities, such as a put option, call option, or short sale (which prohibition includes, among other things, establishing any “collar” or other mechanism for the purpose of establishing a price).</w:t>
      </w:r>
    </w:p>
    <w:p>
      <w:pPr>
        <w:spacing w:after="0" w:line="187"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E. 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176" w:lineRule="exact"/>
        <w:rPr>
          <w:sz w:val="20"/>
          <w:szCs w:val="20"/>
          <w:color w:val="auto"/>
        </w:rPr>
      </w:pPr>
    </w:p>
    <w:p>
      <w:pPr>
        <w:jc w:val="both"/>
        <w:ind w:firstLine="8"/>
        <w:spacing w:after="0" w:line="235" w:lineRule="auto"/>
        <w:tabs>
          <w:tab w:leader="none" w:pos="81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required or permitted hereunder shall be deemed given, if to the Grantee, when delivered (a)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nationally recognized overnight delivery service (receipt requested), (b) by e-mail or other electronic means, or (c) by certified or registered mail, return receipt requested, postage prepaid, at such address as the Company shall maintain for the Grantee in its personnel records or such other address as he or she may designate in writing to the Company. Grantee will promptly notify the Company in writing upon any change in Grantee’s mailing address or e-mail address. Any notice required or permitted hereunder shall be deemed given, if to the Company, when delivered by certified or registered mail, return receipt requested, postage prepaid, to the Company, at 12121 Wickchester Lane, Suite 500, Houston, TX, 77079, Attention: General Counsel or such other address as the Company may designate in writing to the Grantee.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jc w:val="both"/>
        <w:ind w:firstLine="8"/>
        <w:spacing w:after="0" w:line="246" w:lineRule="auto"/>
        <w:tabs>
          <w:tab w:leader="none" w:pos="81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Grantee acknowledges and agrees that Grantee is not an employee of the Company and that,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independent contractor, Grantee will be required to pay (and the Company will not withhold or remit), and will be solely responsible for, any applicable taxes in connection with the Restricted Stock, unless otherwise determined by the Committee.</w:t>
      </w:r>
    </w:p>
    <w:p>
      <w:pPr>
        <w:spacing w:after="0" w:line="167"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81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Failure to Enforce Not a Waiver</w:t>
      </w:r>
      <w:r>
        <w:rPr>
          <w:rFonts w:ascii="Times New Roman" w:cs="Times New Roman" w:eastAsia="Times New Roman" w:hAnsi="Times New Roman"/>
          <w:sz w:val="22"/>
          <w:szCs w:val="22"/>
          <w:color w:val="auto"/>
        </w:rPr>
        <w:t>. The failure of the Company to enforce at any time any provision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in no way be construed to be a waiver of such provision or of any other provision hereof.</w:t>
      </w:r>
    </w:p>
    <w:p>
      <w:pPr>
        <w:spacing w:after="0" w:line="149"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91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and Termination</w:t>
      </w:r>
      <w:r>
        <w:rPr>
          <w:rFonts w:ascii="Times New Roman" w:cs="Times New Roman" w:eastAsia="Times New Roman" w:hAnsi="Times New Roman"/>
          <w:sz w:val="22"/>
          <w:szCs w:val="22"/>
          <w:color w:val="auto"/>
        </w:rPr>
        <w:t>. Subject to the terms of the Plan, this Agreement may not be amended or terminated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such amendment or termination is in writing and duly executed by each of the parties hereto.</w:t>
      </w:r>
    </w:p>
    <w:p>
      <w:pPr>
        <w:spacing w:after="0" w:line="149"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90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Tenure</w:t>
      </w:r>
      <w:r>
        <w:rPr>
          <w:rFonts w:ascii="Times New Roman" w:cs="Times New Roman" w:eastAsia="Times New Roman" w:hAnsi="Times New Roman"/>
          <w:sz w:val="22"/>
          <w:szCs w:val="22"/>
          <w:color w:val="auto"/>
        </w:rPr>
        <w:t>. The Grantee’s right to continue to serve the Company or any of its Affiliates as a non-employee director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shall not be enlarged or otherwise affected by the award hereunder.</w:t>
      </w:r>
    </w:p>
    <w:p>
      <w:pPr>
        <w:spacing w:after="0" w:line="149"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91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each of which shall be deemed to be an original,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which together shall constitute but one and the same instrument.</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91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 and Binding Effect</w:t>
      </w:r>
      <w:r>
        <w:rPr>
          <w:rFonts w:ascii="Times New Roman" w:cs="Times New Roman" w:eastAsia="Times New Roman" w:hAnsi="Times New Roman"/>
          <w:sz w:val="22"/>
          <w:szCs w:val="22"/>
          <w:color w:val="auto"/>
        </w:rPr>
        <w:t>. This Agreement shall be binding upon and shall inure to the benefit of the Company,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successors and assigns, and the Grantee, his or her executors, administrators, personal representatives and heirs. In the event that any part of this Agreement shall be held to be invalid or unenforceable, the remaining parts hereof shall nevertheless continue to be valid and enforceable as though the invalid portions were not a part hereof.</w:t>
      </w:r>
    </w:p>
    <w:p>
      <w:pPr>
        <w:spacing w:after="0" w:line="171"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91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contains the entire understanding of the parties hereto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and supersedes all prior agreements, discussions and understandings with respect to such subject matter.</w:t>
      </w:r>
    </w:p>
    <w:p>
      <w:pPr>
        <w:spacing w:after="0" w:line="149"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91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Delaware, without giving effect to principles and provisions thereof relating to conflict or choice of laws.</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91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r>
        <w:rPr>
          <w:rFonts w:ascii="Times New Roman" w:cs="Times New Roman" w:eastAsia="Times New Roman" w:hAnsi="Times New Roman"/>
          <w:sz w:val="22"/>
          <w:szCs w:val="22"/>
          <w:color w:val="auto"/>
        </w:rPr>
        <w:t>. The Restricted Stock and the Shares issued upon vesting of the Restricted Stock will be subject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clawback provisions as may be required to be made pursuant to any applicable law, government regulation or stock exchange listing requirement, or other applicable Company policy.</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38" w:lineRule="auto"/>
        <w:tabs>
          <w:tab w:leader="none" w:pos="91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2022 Equity Incentive Plan Controls</w:t>
      </w:r>
      <w:r>
        <w:rPr>
          <w:rFonts w:ascii="Times New Roman" w:cs="Times New Roman" w:eastAsia="Times New Roman" w:hAnsi="Times New Roman"/>
          <w:sz w:val="22"/>
          <w:szCs w:val="22"/>
          <w:color w:val="auto"/>
        </w:rPr>
        <w:t>. This Agreement is subject to all terms and provisions of the SEACOR Marine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Holdings Inc. 2022 Equity Incentive Plan (and as amended, modified or supplemented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are incorporated herein by reference. In the event of any conflict, the terms and provisions of the Plan shall control over the terms and provisions of this Agreement. All capitalized terms herein shall have the meanings given to such terms by the Plan unless otherwise defined herein or unless the context clearly indicates otherwise.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Company has executed this Agreement on the date and year first above written.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SEACOR MARINE HOLDINGS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4201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[Title]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hereby accepts, and agrees to, all terms and provisions of the foregoing Restricted Stock Grant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10795</wp:posOffset>
            </wp:positionV>
            <wp:extent cx="28886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10795</wp:posOffset>
            </wp:positionV>
            <wp:extent cx="28886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-3810</wp:posOffset>
            </wp:positionV>
            <wp:extent cx="28886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740"/>
          </w:cols>
          <w:pgMar w:left="320" w:top="108" w:right="8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15d-14(a),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Gellert, certify that:</w:t>
      </w:r>
    </w:p>
    <w:p>
      <w:pPr>
        <w:spacing w:after="0" w:line="225" w:lineRule="exact"/>
        <w:rPr>
          <w:sz w:val="20"/>
          <w:szCs w:val="20"/>
          <w:color w:val="auto"/>
        </w:rPr>
      </w:pPr>
    </w:p>
    <w:p>
      <w:pPr>
        <w:ind w:left="780" w:hanging="772"/>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SEACOR Marine Holdings Inc.;</w:t>
      </w:r>
    </w:p>
    <w:p>
      <w:pPr>
        <w:spacing w:after="0" w:line="225" w:lineRule="exact"/>
        <w:rPr>
          <w:rFonts w:ascii="Times New Roman" w:cs="Times New Roman" w:eastAsia="Times New Roman" w:hAnsi="Times New Roman"/>
          <w:sz w:val="18"/>
          <w:szCs w:val="18"/>
          <w:color w:val="auto"/>
        </w:rPr>
      </w:pPr>
    </w:p>
    <w:p>
      <w:pPr>
        <w:ind w:left="780" w:right="60" w:hanging="772"/>
        <w:spacing w:after="0" w:line="266"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80" w:hanging="772"/>
        <w:spacing w:after="0" w:line="282"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80" w:right="200" w:hanging="772"/>
        <w:spacing w:after="0" w:line="282"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540" w:right="40" w:hanging="763"/>
        <w:spacing w:after="0" w:line="266"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160" w:hanging="763"/>
        <w:spacing w:after="0" w:line="266"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60" w:hanging="763"/>
        <w:spacing w:after="0" w:line="266"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60" w:hanging="763"/>
        <w:spacing w:after="0" w:line="266"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80" w:right="100" w:hanging="772"/>
        <w:spacing w:after="0" w:line="282"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40" w:right="220" w:hanging="763"/>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40" w:right="460" w:hanging="763"/>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3, 2022</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Gellert</w:t>
            </w:r>
          </w:p>
        </w:tc>
      </w:tr>
      <w:tr>
        <w:trPr>
          <w:trHeight w:val="189"/>
        </w:trPr>
        <w:tc>
          <w:tcPr>
            <w:tcW w:w="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John Gellert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6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RULE 15d-14(a),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Jesús Llorca, certify that:</w:t>
      </w:r>
    </w:p>
    <w:p>
      <w:pPr>
        <w:spacing w:after="0" w:line="225" w:lineRule="exact"/>
        <w:rPr>
          <w:sz w:val="20"/>
          <w:szCs w:val="20"/>
          <w:color w:val="auto"/>
        </w:rPr>
      </w:pPr>
    </w:p>
    <w:p>
      <w:pPr>
        <w:ind w:left="780" w:hanging="772"/>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SEACOR Marine Holdings Inc.;</w:t>
      </w:r>
    </w:p>
    <w:p>
      <w:pPr>
        <w:spacing w:after="0" w:line="225" w:lineRule="exact"/>
        <w:rPr>
          <w:rFonts w:ascii="Times New Roman" w:cs="Times New Roman" w:eastAsia="Times New Roman" w:hAnsi="Times New Roman"/>
          <w:sz w:val="18"/>
          <w:szCs w:val="18"/>
          <w:color w:val="auto"/>
        </w:rPr>
      </w:pPr>
    </w:p>
    <w:p>
      <w:pPr>
        <w:ind w:left="780" w:right="60" w:hanging="772"/>
        <w:spacing w:after="0" w:line="266" w:lineRule="auto"/>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80" w:hanging="772"/>
        <w:spacing w:after="0" w:line="282" w:lineRule="auto"/>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80" w:right="200" w:hanging="772"/>
        <w:spacing w:after="0" w:line="282" w:lineRule="auto"/>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540" w:right="40" w:hanging="763"/>
        <w:spacing w:after="0" w:line="266"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160" w:hanging="763"/>
        <w:spacing w:after="0" w:line="266"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60" w:hanging="763"/>
        <w:spacing w:after="0" w:line="266"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60" w:hanging="763"/>
        <w:spacing w:after="0" w:line="266"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80" w:right="100" w:hanging="772"/>
        <w:spacing w:after="0" w:line="282" w:lineRule="auto"/>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40" w:right="220" w:hanging="763"/>
        <w:spacing w:after="0" w:line="282"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40" w:right="460" w:hanging="763"/>
        <w:spacing w:after="0" w:line="282"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5620"/>
        <w:spacing w:after="0"/>
        <w:tabs>
          <w:tab w:leader="none" w:pos="6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3, 2022</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tabs>
          <w:tab w:leader="none" w:pos="6340" w:val="left"/>
        </w:tabs>
        <w:rPr>
          <w:sz w:val="20"/>
          <w:szCs w:val="20"/>
          <w:color w:val="auto"/>
        </w:rPr>
      </w:pPr>
      <w:r>
        <w:rPr>
          <w:rFonts w:ascii="Times New Roman" w:cs="Times New Roman" w:eastAsia="Times New Roman" w:hAnsi="Times New Roman"/>
          <w:sz w:val="18"/>
          <w:szCs w:val="18"/>
          <w:color w:val="auto"/>
        </w:rPr>
        <w:t>Name:</w:t>
        <w:tab/>
        <w:t>Jesús Llorca</w:t>
      </w:r>
    </w:p>
    <w:p>
      <w:pPr>
        <w:spacing w:after="0" w:line="23" w:lineRule="exact"/>
        <w:rPr>
          <w:sz w:val="20"/>
          <w:szCs w:val="20"/>
          <w:color w:val="auto"/>
        </w:rPr>
      </w:pPr>
    </w:p>
    <w:p>
      <w:pPr>
        <w:ind w:left="5620"/>
        <w:spacing w:after="0"/>
        <w:tabs>
          <w:tab w:leader="none" w:pos="6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BY SECTION 906 OF THE SARBANES-OXLEY ACT OF 2002</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June 30, 2022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3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3, 2022</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Gellert</w:t>
            </w:r>
          </w:p>
        </w:tc>
      </w:tr>
      <w:tr>
        <w:trPr>
          <w:trHeight w:val="189"/>
        </w:trPr>
        <w:tc>
          <w:tcPr>
            <w:tcW w:w="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John Gellert</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66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7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3, 2022</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tabs>
          <w:tab w:leader="none" w:pos="64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Jesús Llorca</w:t>
      </w:r>
    </w:p>
    <w:p>
      <w:pPr>
        <w:spacing w:after="0" w:line="23" w:lineRule="exact"/>
        <w:rPr>
          <w:sz w:val="20"/>
          <w:szCs w:val="20"/>
          <w:color w:val="auto"/>
        </w:rPr>
      </w:pPr>
    </w:p>
    <w:p>
      <w:pPr>
        <w:ind w:left="56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2"/>
    </w:lvl>
  </w:abstractNum>
  <w:abstractNum w:abstractNumId="5">
    <w:nsid w:val="1E7FF521"/>
    <w:multiLevelType w:val="hybridMultilevel"/>
    <w:lvl w:ilvl="0">
      <w:lvlJc w:val="left"/>
      <w:lvlText w:val="%1."/>
      <w:numFmt w:val="decimal"/>
      <w:start w:val="3"/>
    </w:lvl>
  </w:abstractNum>
  <w:abstractNum w:abstractNumId="6">
    <w:nsid w:val="7C3DBD3D"/>
    <w:multiLevelType w:val="hybridMultilevel"/>
    <w:lvl w:ilvl="0">
      <w:lvlJc w:val="left"/>
      <w:lvlText w:val="%1."/>
      <w:numFmt w:val="decimal"/>
      <w:start w:val="4"/>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5"/>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6"/>
    </w:lvl>
  </w:abstractNum>
  <w:abstractNum w:abstractNumId="11">
    <w:nsid w:val="3006C83E"/>
    <w:multiLevelType w:val="hybridMultilevel"/>
    <w:lvl w:ilvl="0">
      <w:lvlJc w:val="left"/>
      <w:lvlText w:val="%1."/>
      <w:numFmt w:val="decimal"/>
      <w:start w:val="7"/>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8"/>
    </w:lvl>
  </w:abstractNum>
  <w:abstractNum w:abstractNumId="15">
    <w:nsid w:val="440BADFC"/>
    <w:multiLevelType w:val="hybridMultilevel"/>
    <w:lvl w:ilvl="0">
      <w:lvlJc w:val="left"/>
      <w:lvlText w:val="%1."/>
      <w:numFmt w:val="decimal"/>
      <w:start w:val="9"/>
    </w:lvl>
  </w:abstractNum>
  <w:abstractNum w:abstractNumId="16">
    <w:nsid w:val="5072367"/>
    <w:multiLevelType w:val="hybridMultilevel"/>
    <w:lvl w:ilvl="0">
      <w:lvlJc w:val="left"/>
      <w:lvlText w:val="%1."/>
      <w:numFmt w:val="decimal"/>
      <w:start w:val="10"/>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2"/>
    </w:lvl>
  </w:abstractNum>
  <w:abstractNum w:abstractNumId="22">
    <w:nsid w:val="5E884ADC"/>
    <w:multiLevelType w:val="hybridMultilevel"/>
    <w:lvl w:ilvl="0">
      <w:lvlJc w:val="left"/>
      <w:lvlText w:val="(%1)"/>
      <w:numFmt w:val="lowerRoman"/>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2"/>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lowerLetter"/>
      <w:start w:val="3"/>
    </w:lvl>
  </w:abstractNum>
  <w:abstractNum w:abstractNumId="41">
    <w:nsid w:val="32FFF902"/>
    <w:multiLevelType w:val="hybridMultilevel"/>
    <w:lvl w:ilvl="0">
      <w:lvlJc w:val="left"/>
      <w:lvlText w:val="%1"/>
      <w:numFmt w:val="decimal"/>
      <w:start w:val="32"/>
    </w:lvl>
  </w:abstractNum>
  <w:abstractNum w:abstractNumId="42">
    <w:nsid w:val="684A481A"/>
    <w:multiLevelType w:val="hybridMultilevel"/>
    <w:lvl w:ilvl="0">
      <w:lvlJc w:val="left"/>
      <w:lvlText w:val="%1"/>
      <w:numFmt w:val="decimal"/>
      <w:start w:val="104"/>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lvl w:ilvl="1">
      <w:lvlJc w:val="left"/>
      <w:lvlText w:val="(%2)"/>
      <w:numFmt w:val="lowerRoman"/>
      <w:start w:val="1"/>
    </w:lvl>
  </w:abstractNum>
  <w:abstractNum w:abstractNumId="48">
    <w:nsid w:val="75C6C33A"/>
    <w:multiLevelType w:val="hybridMultilevel"/>
    <w:lvl w:ilvl="0">
      <w:lvlJc w:val="left"/>
      <w:lvlText w:val="%1."/>
      <w:numFmt w:val="decimal"/>
      <w:start w:val="3"/>
    </w:lvl>
    <w:lvl w:ilvl="1">
      <w:lvlJc w:val="left"/>
      <w:lvlText w:val="%2"/>
      <w:numFmt w:val="lowerRoman"/>
      <w:start w:val="1"/>
    </w:lvl>
  </w:abstractNum>
  <w:abstractNum w:abstractNumId="49">
    <w:nsid w:val="12E685FB"/>
    <w:multiLevelType w:val="hybridMultilevel"/>
    <w:lvl w:ilvl="0">
      <w:lvlJc w:val="left"/>
      <w:lvlText w:val="%1."/>
      <w:numFmt w:val="decimal"/>
      <w:start w:val="5"/>
    </w:lvl>
  </w:abstractNum>
  <w:abstractNum w:abstractNumId="50">
    <w:nsid w:val="70C6A529"/>
    <w:multiLevelType w:val="hybridMultilevel"/>
    <w:lvl w:ilvl="0">
      <w:lvlJc w:val="left"/>
      <w:lvlText w:val="%1."/>
      <w:numFmt w:val="decimal"/>
      <w:start w:val="6"/>
    </w:lvl>
  </w:abstractNum>
  <w:abstractNum w:abstractNumId="51">
    <w:nsid w:val="520EEDD1"/>
    <w:multiLevelType w:val="hybridMultilevel"/>
    <w:lvl w:ilvl="0">
      <w:lvlJc w:val="left"/>
      <w:lvlText w:val="%1."/>
      <w:numFmt w:val="decimal"/>
      <w:start w:val="7"/>
    </w:lvl>
  </w:abstractNum>
  <w:abstractNum w:abstractNumId="52">
    <w:nsid w:val="374A3FE6"/>
    <w:multiLevelType w:val="hybridMultilevel"/>
    <w:lvl w:ilvl="0">
      <w:lvlJc w:val="left"/>
      <w:lvlText w:val="%1."/>
      <w:numFmt w:val="decimal"/>
      <w:start w:val="8"/>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68" Type="http://schemas.openxmlformats.org/officeDocument/2006/relationships/hyperlink" Target="http://www.sec.gov/Archives/edgar/data/1690334/000119312522175782/d349615dex101.htm" TargetMode="External"/><Relationship Id="rId69" Type="http://schemas.openxmlformats.org/officeDocument/2006/relationships/hyperlink" Target="http://www.sec.gov/Archives/edgar/data/1690334/000119312522175782/d349615dex102.htm" TargetMode="External"/><Relationship Id="rId70" Type="http://schemas.openxmlformats.org/officeDocument/2006/relationships/hyperlink" Target="http://www.sec.gov/Archives/edgar/data/1690334/000119312522115282/d622255ddef14a.htm#toc622255_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2022-08-03T15:46:06Z</dcterms:created>
  <dcterms:modified xsi:type="dcterms:W3CDTF">2022-08-03T15:46:06Z</dcterms:modified>
</cp:coreProperties>
</file>