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7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506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06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0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459"/>
        </w:trPr>
        <w:tc>
          <w:tcPr>
            <w:tcW w:w="506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12121 Wickchester Suite 500, Houston, TX</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432"/>
        </w:trPr>
        <w:tc>
          <w:tcPr>
            <w:tcW w:w="506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90"/>
        </w:trPr>
        <w:tc>
          <w:tcPr>
            <w:tcW w:w="42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Common stock, par value $0.01 per share</w:t>
            </w:r>
          </w:p>
        </w:tc>
        <w:tc>
          <w:tcPr>
            <w:tcW w:w="214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SMHI</w:t>
            </w:r>
          </w:p>
        </w:tc>
        <w:tc>
          <w:tcPr>
            <w:tcW w:w="6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72"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2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7">
            <w:col w:w="1620" w:space="100"/>
            <w:col w:w="160" w:space="580"/>
            <w:col w:w="1200" w:space="100"/>
            <w:col w:w="260" w:space="720"/>
            <w:col w:w="1940" w:space="720"/>
            <w:col w:w="1460" w:space="720"/>
            <w:col w:w="1660"/>
          </w:cols>
          <w:pgMar w:left="320" w:top="472"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firstLine="749"/>
        <w:spacing w:after="0" w:line="277" w:lineRule="auto"/>
        <w:rPr>
          <w:sz w:val="20"/>
          <w:szCs w:val="20"/>
          <w:color w:val="auto"/>
        </w:rPr>
      </w:pPr>
      <w:r>
        <w:rPr>
          <w:rFonts w:ascii="Arial" w:cs="Arial" w:eastAsia="Arial" w:hAnsi="Arial"/>
          <w:sz w:val="18"/>
          <w:szCs w:val="18"/>
          <w:color w:val="auto"/>
        </w:rPr>
        <w:t>The total number of shares of common stock, par value $.01 per share (“Common Stock”), outstanding as of May 4, 2020 was 23,027,225. The Registrant has no other class of common stock outstanding.</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Part I.</w:t>
            </w:r>
          </w:p>
        </w:tc>
        <w:tc>
          <w:tcPr>
            <w:tcW w:w="9940" w:type="dxa"/>
            <w:vAlign w:val="bottom"/>
            <w:gridSpan w:val="14"/>
          </w:tcPr>
          <w:p>
            <w:pPr>
              <w:ind w:left="16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Information</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1.</w:t>
            </w:r>
          </w:p>
        </w:tc>
        <w:tc>
          <w:tcPr>
            <w:tcW w:w="8800" w:type="dxa"/>
            <w:vAlign w:val="bottom"/>
            <w:gridSpan w:val="13"/>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Statements (Unaudited)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4"/>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13"/>
          </w:tcPr>
          <w:p>
            <w:pPr>
              <w:spacing w:after="0"/>
              <w:rPr>
                <w:rFonts w:ascii="Arial" w:cs="Arial" w:eastAsia="Arial" w:hAnsi="Arial"/>
                <w:sz w:val="22"/>
                <w:szCs w:val="22"/>
                <w:color w:val="0000EE"/>
              </w:rPr>
            </w:pPr>
            <w:hyperlink w:anchor="page3">
              <w:r>
                <w:rPr>
                  <w:rFonts w:ascii="Arial" w:cs="Arial" w:eastAsia="Arial" w:hAnsi="Arial"/>
                  <w:sz w:val="22"/>
                  <w:szCs w:val="22"/>
                  <w:u w:val="single" w:color="auto"/>
                  <w:color w:val="0000EE"/>
                </w:rPr>
                <w:t>Condensed Consolidated Balance Sheets as of March 31, 2020 and December 31, 201</w:t>
              </w:r>
            </w:hyperlink>
            <w:r>
              <w:rPr>
                <w:rFonts w:ascii="Arial" w:cs="Arial" w:eastAsia="Arial" w:hAnsi="Arial"/>
                <w:sz w:val="22"/>
                <w:szCs w:val="22"/>
                <w:color w:val="000000"/>
              </w:rPr>
              <w:t>9</w:t>
            </w:r>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13"/>
          </w:tcPr>
          <w:p>
            <w:pPr>
              <w:spacing w:after="0"/>
              <w:rPr>
                <w:rFonts w:ascii="Arial" w:cs="Arial" w:eastAsia="Arial" w:hAnsi="Arial"/>
                <w:sz w:val="22"/>
                <w:szCs w:val="22"/>
                <w:color w:val="0000EE"/>
                <w:w w:val="95"/>
              </w:rPr>
            </w:pPr>
            <w:hyperlink w:anchor="page4">
              <w:r>
                <w:rPr>
                  <w:rFonts w:ascii="Arial" w:cs="Arial" w:eastAsia="Arial" w:hAnsi="Arial"/>
                  <w:sz w:val="22"/>
                  <w:szCs w:val="22"/>
                  <w:color w:val="0000EE"/>
                  <w:w w:val="95"/>
                </w:rPr>
                <w:t>Condensed Consolidated Statements of Loss for the Three Months Ended March 31, 2020 and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5"/>
              </w:rPr>
            </w:pPr>
            <w:hyperlink w:anchor="page4">
              <w:r>
                <w:rPr>
                  <w:rFonts w:ascii="Arial" w:cs="Arial" w:eastAsia="Arial" w:hAnsi="Arial"/>
                  <w:sz w:val="22"/>
                  <w:szCs w:val="22"/>
                  <w:color w:val="0000EE"/>
                  <w:w w:val="85"/>
                </w:rPr>
                <w:t>2019</w:t>
              </w:r>
            </w:hyperlink>
          </w:p>
        </w:tc>
        <w:tc>
          <w:tcPr>
            <w:tcW w:w="2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58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45"/>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80" w:type="dxa"/>
            <w:vAlign w:val="bottom"/>
            <w:tcBorders>
              <w:bottom w:val="single" w:sz="8" w:color="0000EE"/>
            </w:tcBorders>
            <w:gridSpan w:val="11"/>
          </w:tcPr>
          <w:p>
            <w:pPr>
              <w:spacing w:after="0"/>
              <w:rPr>
                <w:rFonts w:ascii="Arial" w:cs="Arial" w:eastAsia="Arial" w:hAnsi="Arial"/>
                <w:sz w:val="22"/>
                <w:szCs w:val="22"/>
                <w:color w:val="0000EE"/>
                <w:w w:val="88"/>
              </w:rPr>
            </w:pPr>
            <w:hyperlink w:anchor="page5">
              <w:r>
                <w:rPr>
                  <w:rFonts w:ascii="Arial" w:cs="Arial" w:eastAsia="Arial" w:hAnsi="Arial"/>
                  <w:sz w:val="22"/>
                  <w:szCs w:val="22"/>
                  <w:color w:val="0000EE"/>
                  <w:w w:val="88"/>
                </w:rPr>
                <w:t>Condensed Consolidated Statements of Comprehensive Loss for the Three Months Ended March</w:t>
              </w:r>
            </w:hyperlink>
          </w:p>
        </w:tc>
        <w:tc>
          <w:tcPr>
            <w:tcW w:w="42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0" w:type="dxa"/>
            <w:vAlign w:val="bottom"/>
            <w:gridSpan w:val="13"/>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31, 2020 and 201</w:t>
              </w:r>
              <w:r>
                <w:rPr>
                  <w:rFonts w:ascii="Arial" w:cs="Arial" w:eastAsia="Arial" w:hAnsi="Arial"/>
                  <w:sz w:val="22"/>
                  <w:szCs w:val="22"/>
                  <w:color w:val="000000"/>
                </w:rPr>
                <w:t>9</w:t>
              </w:r>
            </w:hyperlink>
          </w:p>
        </w:tc>
        <w:tc>
          <w:tcPr>
            <w:tcW w:w="54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13"/>
          </w:tcPr>
          <w:p>
            <w:pPr>
              <w:spacing w:after="0"/>
              <w:rPr>
                <w:rFonts w:ascii="Arial" w:cs="Arial" w:eastAsia="Arial" w:hAnsi="Arial"/>
                <w:sz w:val="22"/>
                <w:szCs w:val="22"/>
                <w:color w:val="0000EE"/>
                <w:w w:val="91"/>
              </w:rPr>
            </w:pPr>
            <w:hyperlink w:anchor="page6">
              <w:r>
                <w:rPr>
                  <w:rFonts w:ascii="Arial" w:cs="Arial" w:eastAsia="Arial" w:hAnsi="Arial"/>
                  <w:sz w:val="22"/>
                  <w:szCs w:val="22"/>
                  <w:color w:val="0000EE"/>
                  <w:w w:val="91"/>
                </w:rPr>
                <w:t>Condensed Consolidated Statements of Changes in Equity for the Three Months Ended March 31,</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80" w:type="dxa"/>
            <w:vAlign w:val="bottom"/>
            <w:tcBorders>
              <w:top w:val="single" w:sz="8" w:color="0000EE"/>
            </w:tcBorders>
            <w:gridSpan w:val="12"/>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2020 and 201</w:t>
              </w:r>
              <w:r>
                <w:rPr>
                  <w:rFonts w:ascii="Arial" w:cs="Arial" w:eastAsia="Arial" w:hAnsi="Arial"/>
                  <w:sz w:val="22"/>
                  <w:szCs w:val="22"/>
                  <w:color w:val="000000"/>
                </w:rPr>
                <w:t>9</w:t>
              </w:r>
            </w:hyperlink>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13"/>
          </w:tcPr>
          <w:p>
            <w:pPr>
              <w:spacing w:after="0"/>
              <w:rPr>
                <w:rFonts w:ascii="Arial" w:cs="Arial" w:eastAsia="Arial" w:hAnsi="Arial"/>
                <w:sz w:val="22"/>
                <w:szCs w:val="22"/>
                <w:color w:val="0000EE"/>
                <w:w w:val="92"/>
              </w:rPr>
            </w:pPr>
            <w:hyperlink w:anchor="page7">
              <w:r>
                <w:rPr>
                  <w:rFonts w:ascii="Arial" w:cs="Arial" w:eastAsia="Arial" w:hAnsi="Arial"/>
                  <w:sz w:val="22"/>
                  <w:szCs w:val="22"/>
                  <w:color w:val="0000EE"/>
                  <w:w w:val="92"/>
                </w:rPr>
                <w:t>Condensed Consolidated Statements of Cash Flows for the Three Months Ended March 31, 2020</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380" w:type="dxa"/>
            <w:vAlign w:val="bottom"/>
            <w:tcBorders>
              <w:top w:val="single" w:sz="8" w:color="0000EE"/>
            </w:tcBorders>
            <w:gridSpan w:val="11"/>
          </w:tcPr>
          <w:p>
            <w:pPr>
              <w:spacing w:after="0" w:line="223" w:lineRule="exact"/>
              <w:rPr>
                <w:rFonts w:ascii="Arial" w:cs="Arial" w:eastAsia="Arial" w:hAnsi="Arial"/>
                <w:sz w:val="22"/>
                <w:szCs w:val="22"/>
                <w:color w:val="0000EE"/>
              </w:rPr>
            </w:pPr>
            <w:hyperlink w:anchor="page7">
              <w:r>
                <w:rPr>
                  <w:rFonts w:ascii="Arial" w:cs="Arial" w:eastAsia="Arial" w:hAnsi="Arial"/>
                  <w:sz w:val="22"/>
                  <w:szCs w:val="22"/>
                  <w:color w:val="0000EE"/>
                </w:rPr>
                <w:t>and 201</w:t>
              </w:r>
              <w:r>
                <w:rPr>
                  <w:rFonts w:ascii="Arial" w:cs="Arial" w:eastAsia="Arial" w:hAnsi="Arial"/>
                  <w:sz w:val="22"/>
                  <w:szCs w:val="22"/>
                  <w:color w:val="000000"/>
                </w:rPr>
                <w:t>9</w:t>
              </w:r>
            </w:hyperlink>
          </w:p>
        </w:tc>
        <w:tc>
          <w:tcPr>
            <w:tcW w:w="42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95"/>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13"/>
          </w:tcPr>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2.</w:t>
            </w:r>
          </w:p>
        </w:tc>
        <w:tc>
          <w:tcPr>
            <w:tcW w:w="8800" w:type="dxa"/>
            <w:vAlign w:val="bottom"/>
            <w:gridSpan w:val="13"/>
          </w:tcPr>
          <w:p>
            <w:pPr>
              <w:spacing w:after="0"/>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3.</w:t>
            </w:r>
          </w:p>
        </w:tc>
        <w:tc>
          <w:tcPr>
            <w:tcW w:w="8800" w:type="dxa"/>
            <w:vAlign w:val="bottom"/>
            <w:gridSpan w:val="13"/>
          </w:tcPr>
          <w:p>
            <w:pPr>
              <w:spacing w:after="0"/>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4.</w:t>
            </w:r>
          </w:p>
        </w:tc>
        <w:tc>
          <w:tcPr>
            <w:tcW w:w="8800" w:type="dxa"/>
            <w:vAlign w:val="bottom"/>
            <w:gridSpan w:val="13"/>
          </w:tcPr>
          <w:p>
            <w:pPr>
              <w:spacing w:after="0"/>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65"/>
        </w:trPr>
        <w:tc>
          <w:tcPr>
            <w:tcW w:w="760" w:type="dxa"/>
            <w:vAlign w:val="bottom"/>
          </w:tcPr>
          <w:p>
            <w:pPr>
              <w:spacing w:after="0"/>
              <w:rPr>
                <w:sz w:val="20"/>
                <w:szCs w:val="20"/>
                <w:color w:val="auto"/>
              </w:rPr>
            </w:pPr>
            <w:r>
              <w:rPr>
                <w:rFonts w:ascii="Arial" w:cs="Arial" w:eastAsia="Arial" w:hAnsi="Arial"/>
                <w:sz w:val="22"/>
                <w:szCs w:val="22"/>
                <w:color w:val="auto"/>
              </w:rPr>
              <w:t>Part II.</w:t>
            </w:r>
          </w:p>
        </w:tc>
        <w:tc>
          <w:tcPr>
            <w:tcW w:w="9940" w:type="dxa"/>
            <w:vAlign w:val="bottom"/>
            <w:gridSpan w:val="14"/>
          </w:tcPr>
          <w:p>
            <w:pPr>
              <w:ind w:left="160"/>
              <w:spacing w:after="0"/>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1.</w:t>
            </w:r>
          </w:p>
        </w:tc>
        <w:tc>
          <w:tcPr>
            <w:tcW w:w="8800" w:type="dxa"/>
            <w:vAlign w:val="bottom"/>
            <w:gridSpan w:val="13"/>
          </w:tcPr>
          <w:p>
            <w:pPr>
              <w:spacing w:after="0"/>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1A.</w:t>
            </w:r>
          </w:p>
        </w:tc>
        <w:tc>
          <w:tcPr>
            <w:tcW w:w="8800" w:type="dxa"/>
            <w:vAlign w:val="bottom"/>
            <w:gridSpan w:val="13"/>
          </w:tcPr>
          <w:p>
            <w:pPr>
              <w:spacing w:after="0"/>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2.</w:t>
            </w:r>
          </w:p>
        </w:tc>
        <w:tc>
          <w:tcPr>
            <w:tcW w:w="8800" w:type="dxa"/>
            <w:vAlign w:val="bottom"/>
            <w:gridSpan w:val="13"/>
          </w:tcPr>
          <w:p>
            <w:pPr>
              <w:spacing w:after="0"/>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3.</w:t>
            </w:r>
          </w:p>
        </w:tc>
        <w:tc>
          <w:tcPr>
            <w:tcW w:w="8800" w:type="dxa"/>
            <w:vAlign w:val="bottom"/>
            <w:gridSpan w:val="13"/>
          </w:tcPr>
          <w:p>
            <w:pPr>
              <w:spacing w:after="0"/>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Default Upon Senior Securities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4.</w:t>
            </w:r>
          </w:p>
        </w:tc>
        <w:tc>
          <w:tcPr>
            <w:tcW w:w="8800" w:type="dxa"/>
            <w:vAlign w:val="bottom"/>
            <w:gridSpan w:val="13"/>
          </w:tcPr>
          <w:p>
            <w:pPr>
              <w:spacing w:after="0"/>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5.</w:t>
            </w:r>
          </w:p>
        </w:tc>
        <w:tc>
          <w:tcPr>
            <w:tcW w:w="8800" w:type="dxa"/>
            <w:vAlign w:val="bottom"/>
            <w:gridSpan w:val="13"/>
          </w:tcPr>
          <w:p>
            <w:pPr>
              <w:spacing w:after="0"/>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6.</w:t>
            </w:r>
          </w:p>
        </w:tc>
        <w:tc>
          <w:tcPr>
            <w:tcW w:w="8800" w:type="dxa"/>
            <w:vAlign w:val="bottom"/>
            <w:gridSpan w:val="13"/>
          </w:tcPr>
          <w:p>
            <w:pPr>
              <w:spacing w:after="0"/>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Exhibits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20"/>
                <w:szCs w:val="20"/>
                <w:b w:val="1"/>
                <w:bCs w:val="1"/>
                <w:color w:val="auto"/>
              </w:rPr>
              <w:t>PART I—FINANCIAL INFORMATION</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20"/>
                <w:szCs w:val="20"/>
                <w:b w:val="1"/>
                <w:bCs w:val="1"/>
                <w:color w:val="auto"/>
              </w:rPr>
              <w:t>ITEM 1.</w:t>
            </w:r>
          </w:p>
        </w:tc>
        <w:tc>
          <w:tcPr>
            <w:tcW w:w="6340" w:type="dxa"/>
            <w:vAlign w:val="bottom"/>
          </w:tcPr>
          <w:p>
            <w:pPr>
              <w:spacing w:after="0"/>
              <w:rPr>
                <w:sz w:val="20"/>
                <w:szCs w:val="20"/>
                <w:color w:val="auto"/>
              </w:rPr>
            </w:pPr>
            <w:r>
              <w:rPr>
                <w:rFonts w:ascii="Arial" w:cs="Arial" w:eastAsia="Arial" w:hAnsi="Arial"/>
                <w:sz w:val="20"/>
                <w:szCs w:val="20"/>
                <w:b w:val="1"/>
                <w:bCs w:val="1"/>
                <w:color w:val="auto"/>
              </w:rPr>
              <w:t>FINANCIAL STATEMENTS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6340" w:type="dxa"/>
            <w:vAlign w:val="bottom"/>
          </w:tcPr>
          <w:p>
            <w:pPr>
              <w:jc w:val="center"/>
              <w:ind w:left="2084"/>
              <w:spacing w:after="0" w:line="149" w:lineRule="exact"/>
              <w:rPr>
                <w:sz w:val="20"/>
                <w:szCs w:val="20"/>
                <w:color w:val="auto"/>
              </w:rPr>
            </w:pPr>
            <w:r>
              <w:rPr>
                <w:rFonts w:ascii="Arial" w:cs="Arial" w:eastAsia="Arial" w:hAnsi="Arial"/>
                <w:sz w:val="14"/>
                <w:szCs w:val="14"/>
                <w:b w:val="1"/>
                <w:bCs w:val="1"/>
                <w:color w:val="auto"/>
              </w:rPr>
              <w:t>SEACOR MARINE HOLDINGS INC.</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6540" w:type="dxa"/>
            <w:vAlign w:val="bottom"/>
            <w:gridSpan w:val="2"/>
          </w:tcPr>
          <w:p>
            <w:pPr>
              <w:jc w:val="center"/>
              <w:ind w:left="1884"/>
              <w:spacing w:after="0" w:line="149" w:lineRule="exact"/>
              <w:rPr>
                <w:sz w:val="20"/>
                <w:szCs w:val="20"/>
                <w:color w:val="auto"/>
              </w:rPr>
            </w:pPr>
            <w:r>
              <w:rPr>
                <w:rFonts w:ascii="Arial" w:cs="Arial" w:eastAsia="Arial" w:hAnsi="Arial"/>
                <w:sz w:val="14"/>
                <w:szCs w:val="14"/>
                <w:b w:val="1"/>
                <w:bCs w:val="1"/>
                <w:color w:val="auto"/>
              </w:rPr>
              <w:t>UNAUDITED CONDENSED CONSOLIDATED BALANCE SHEETS</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6340" w:type="dxa"/>
            <w:vAlign w:val="bottom"/>
          </w:tcPr>
          <w:p>
            <w:pPr>
              <w:jc w:val="center"/>
              <w:ind w:left="2084"/>
              <w:spacing w:after="0"/>
              <w:rPr>
                <w:sz w:val="20"/>
                <w:szCs w:val="20"/>
                <w:color w:val="auto"/>
              </w:rPr>
            </w:pPr>
            <w:r>
              <w:rPr>
                <w:rFonts w:ascii="Arial" w:cs="Arial" w:eastAsia="Arial" w:hAnsi="Arial"/>
                <w:sz w:val="14"/>
                <w:szCs w:val="14"/>
                <w:b w:val="1"/>
                <w:bCs w:val="1"/>
                <w:color w:val="auto"/>
                <w:w w:val="90"/>
              </w:rPr>
              <w:t>(in thousands, except share data)</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56"/>
        </w:trPr>
        <w:tc>
          <w:tcPr>
            <w:tcW w:w="1380" w:type="dxa"/>
            <w:vAlign w:val="bottom"/>
            <w:tcBorders>
              <w:top w:val="single" w:sz="8" w:color="CFF0FC"/>
            </w:tcBorders>
            <w:shd w:val="clear" w:color="auto" w:fill="CFF0FC"/>
          </w:tcPr>
          <w:p>
            <w:pPr>
              <w:spacing w:after="0"/>
              <w:rPr>
                <w:sz w:val="13"/>
                <w:szCs w:val="13"/>
                <w:color w:val="auto"/>
              </w:rPr>
            </w:pPr>
          </w:p>
        </w:tc>
        <w:tc>
          <w:tcPr>
            <w:tcW w:w="6340" w:type="dxa"/>
            <w:vAlign w:val="bottom"/>
            <w:tcBorders>
              <w:top w:val="single" w:sz="8" w:color="CFF0FC"/>
            </w:tcBorders>
            <w:shd w:val="clear" w:color="auto" w:fill="CFF0FC"/>
          </w:tcPr>
          <w:p>
            <w:pPr>
              <w:jc w:val="center"/>
              <w:ind w:right="1484"/>
              <w:spacing w:after="0" w:line="155" w:lineRule="exact"/>
              <w:rPr>
                <w:sz w:val="20"/>
                <w:szCs w:val="20"/>
                <w:color w:val="auto"/>
              </w:rPr>
            </w:pPr>
            <w:r>
              <w:rPr>
                <w:rFonts w:ascii="Arial" w:cs="Arial" w:eastAsia="Arial" w:hAnsi="Arial"/>
                <w:sz w:val="14"/>
                <w:szCs w:val="14"/>
                <w:b w:val="1"/>
                <w:bCs w:val="1"/>
                <w:color w:val="auto"/>
                <w:w w:val="96"/>
              </w:rPr>
              <w:t>ASSETS</w:t>
            </w:r>
          </w:p>
        </w:tc>
        <w:tc>
          <w:tcPr>
            <w:tcW w:w="2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20"/>
                <w:szCs w:val="20"/>
                <w:color w:val="auto"/>
              </w:rPr>
            </w:pPr>
            <w:r>
              <w:rPr>
                <w:rFonts w:ascii="Arial" w:cs="Arial" w:eastAsia="Arial" w:hAnsi="Arial"/>
                <w:sz w:val="14"/>
                <w:szCs w:val="14"/>
                <w:color w:val="auto"/>
              </w:rPr>
              <w:t>Current Assets:</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69,220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rPr>
              <w:t>Restricted cash</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3,353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Receivables:</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Trade, net of allowance for credit loss accounts of $375 and $455 in 2020 and 2019, respectively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48,192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49,128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27,872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1,575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Prepaid expenses and other</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2,653</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gridSpan w:val="2"/>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152,865</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158,546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Property and Equipment:</w:t>
            </w: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rPr>
              <w:t>Historical cost</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930,264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976,978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Accumulated depreciation</w:t>
            </w:r>
          </w:p>
        </w:tc>
        <w:tc>
          <w:tcPr>
            <w:tcW w:w="2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(312,911)</w:t>
            </w: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(358,962)</w:t>
            </w: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617,353</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618,016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Construction in progress</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55,302</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74,344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gridSpan w:val="2"/>
          </w:tcPr>
          <w:p>
            <w:pPr>
              <w:ind w:left="260"/>
              <w:spacing w:after="0" w:line="155" w:lineRule="exact"/>
              <w:rPr>
                <w:sz w:val="20"/>
                <w:szCs w:val="20"/>
                <w:color w:val="auto"/>
              </w:rPr>
            </w:pPr>
            <w:r>
              <w:rPr>
                <w:rFonts w:ascii="Arial" w:cs="Arial" w:eastAsia="Arial" w:hAnsi="Arial"/>
                <w:sz w:val="14"/>
                <w:szCs w:val="14"/>
                <w:color w:val="auto"/>
              </w:rPr>
              <w:t>Net property and equipment</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672,655</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692,360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Right-of-Use Asset - Operating Leases</w:t>
            </w: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8,990</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17,313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Equity, and Advances to 50% or Less Owned Companies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125,010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124,680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Construction Reserve Funds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Assets</w:t>
            </w:r>
          </w:p>
        </w:tc>
        <w:tc>
          <w:tcPr>
            <w:tcW w:w="63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tcBorders>
              <w:bottom w:val="single" w:sz="8" w:color="CFF0FC"/>
            </w:tcBorders>
            <w:shd w:val="clear" w:color="auto" w:fill="CFF0FC"/>
          </w:tcPr>
          <w:p>
            <w:pPr>
              <w:spacing w:after="0"/>
              <w:rPr>
                <w:sz w:val="13"/>
                <w:szCs w:val="13"/>
                <w:color w:val="auto"/>
              </w:rPr>
            </w:pPr>
          </w:p>
        </w:tc>
        <w:tc>
          <w:tcPr>
            <w:tcW w:w="63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966,535</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1,009,193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vMerge w:val="restart"/>
          </w:tcPr>
          <w:p>
            <w:pPr>
              <w:jc w:val="center"/>
              <w:ind w:right="1464"/>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13,359</w:t>
            </w: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15,099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500"/>
              <w:spacing w:after="0"/>
              <w:rPr>
                <w:sz w:val="20"/>
                <w:szCs w:val="20"/>
                <w:color w:val="auto"/>
              </w:rPr>
            </w:pPr>
            <w:r>
              <w:rPr>
                <w:rFonts w:ascii="Arial" w:cs="Arial" w:eastAsia="Arial" w:hAnsi="Arial"/>
                <w:sz w:val="14"/>
                <w:szCs w:val="14"/>
                <w:color w:val="auto"/>
              </w:rPr>
              <w:t>Recourse</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36,278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17,802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Non-recourse</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32,023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25,691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Due to SEACOR Holdings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Accrued wages and benefits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1,274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interest</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Accrued income taxes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Deferred revenue and unearned revenue</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Accrued capital, repair and maintenance expenditures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10,577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15,997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insurance deductibles and premiums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Accrued professional fees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Derivatives</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2,867</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112,481</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94,817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Long-Term Operating Lease Liabilities</w:t>
            </w:r>
          </w:p>
        </w:tc>
        <w:tc>
          <w:tcPr>
            <w:tcW w:w="2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7,859</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9,822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rPr>
              <w:t>Recourse</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217,733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239,939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Non-recourse</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138,996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140,312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Conversion Option Liability on Convertible Senior Notes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w w:val="92"/>
              </w:rPr>
              <w:t>Deferred Income Taxes</w:t>
            </w:r>
          </w:p>
        </w:tc>
        <w:tc>
          <w:tcPr>
            <w:tcW w:w="6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Deferred Gains and Other Liabilities</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7,951</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w w:val="97"/>
              </w:rPr>
              <w:t>Total liabilities</w:t>
            </w:r>
          </w:p>
        </w:tc>
        <w:tc>
          <w:tcPr>
            <w:tcW w:w="63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511,224</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530,269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line="155" w:lineRule="exact"/>
              <w:rPr>
                <w:sz w:val="20"/>
                <w:szCs w:val="20"/>
                <w:color w:val="auto"/>
              </w:rPr>
            </w:pPr>
            <w:r>
              <w:rPr>
                <w:rFonts w:ascii="Arial" w:cs="Arial" w:eastAsia="Arial" w:hAnsi="Arial"/>
                <w:sz w:val="14"/>
                <w:szCs w:val="14"/>
                <w:color w:val="auto"/>
              </w:rPr>
              <w:t>Equity:</w:t>
            </w:r>
          </w:p>
        </w:tc>
        <w:tc>
          <w:tcPr>
            <w:tcW w:w="6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SEACOR Marine Holdings Inc. stockholders’ equity:</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line="162" w:lineRule="exact"/>
              <w:rPr>
                <w:sz w:val="20"/>
                <w:szCs w:val="20"/>
                <w:color w:val="auto"/>
              </w:rPr>
            </w:pPr>
            <w:r>
              <w:rPr>
                <w:rFonts w:ascii="Arial" w:cs="Arial" w:eastAsia="Arial" w:hAnsi="Arial"/>
                <w:sz w:val="15"/>
                <w:szCs w:val="15"/>
                <w:color w:val="auto"/>
                <w:w w:val="95"/>
              </w:rPr>
              <w:t>Common stock, $.01 par value, 60,000,000 shares authorized; 23,099,127 and 21,928,674 shares issued in 2020 and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ind w:left="260"/>
              <w:spacing w:after="0"/>
              <w:rPr>
                <w:sz w:val="20"/>
                <w:szCs w:val="20"/>
                <w:color w:val="auto"/>
              </w:rPr>
            </w:pPr>
            <w:r>
              <w:rPr>
                <w:rFonts w:ascii="Arial" w:cs="Arial" w:eastAsia="Arial" w:hAnsi="Arial"/>
                <w:sz w:val="15"/>
                <w:szCs w:val="15"/>
                <w:color w:val="auto"/>
                <w:w w:val="90"/>
              </w:rPr>
              <w:t>2019, respectively</w:t>
            </w:r>
          </w:p>
        </w:tc>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447,425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429,318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60"/>
              <w:spacing w:after="0"/>
              <w:rPr>
                <w:sz w:val="20"/>
                <w:szCs w:val="20"/>
                <w:color w:val="auto"/>
              </w:rPr>
            </w:pPr>
            <w:r>
              <w:rPr>
                <w:rFonts w:ascii="Arial" w:cs="Arial" w:eastAsia="Arial" w:hAnsi="Arial"/>
                <w:sz w:val="14"/>
                <w:szCs w:val="14"/>
                <w:color w:val="auto"/>
                <w:w w:val="96"/>
              </w:rPr>
              <w:t>Retained earnings</w:t>
            </w: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11,131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27,076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Shares held in treasury of 71,902 and 47,185, respectively, at cost</w:t>
            </w:r>
          </w:p>
        </w:tc>
        <w:tc>
          <w:tcPr>
            <w:tcW w:w="2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(844)</w:t>
            </w:r>
          </w:p>
        </w:tc>
        <w:tc>
          <w:tcPr>
            <w:tcW w:w="1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Accumulated other comprehensive loss, net of tax</w:t>
            </w:r>
          </w:p>
        </w:tc>
        <w:tc>
          <w:tcPr>
            <w:tcW w:w="200" w:type="dxa"/>
            <w:vAlign w:val="bottom"/>
          </w:tcPr>
          <w:p>
            <w:pPr>
              <w:spacing w:after="0"/>
              <w:rPr>
                <w:sz w:val="14"/>
                <w:szCs w:val="1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(2,971)</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80" w:type="dxa"/>
            <w:vAlign w:val="bottom"/>
            <w:tcBorders>
              <w:top w:val="single" w:sz="8" w:color="CFF0FC"/>
            </w:tcBorders>
            <w:shd w:val="clear" w:color="auto" w:fill="CFF0FC"/>
          </w:tcPr>
          <w:p>
            <w:pPr>
              <w:spacing w:after="0"/>
              <w:rPr>
                <w:sz w:val="13"/>
                <w:szCs w:val="13"/>
                <w:color w:val="auto"/>
              </w:rPr>
            </w:pPr>
          </w:p>
        </w:tc>
        <w:tc>
          <w:tcPr>
            <w:tcW w:w="63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454,972</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457,492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Noncontrolling interests in subsidiaries</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equity</w:t>
            </w:r>
          </w:p>
        </w:tc>
        <w:tc>
          <w:tcPr>
            <w:tcW w:w="63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455,311</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478,924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966,535</w:t>
            </w: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1,009,193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 w:name="page4"/>
    <w:bookmarkEnd w:id="3"/>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STATEMENTS OF LOSS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41,743</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53,793</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Gain (loss) on Asset Dispositions and Impairments, Net</w:t>
            </w:r>
          </w:p>
        </w:tc>
        <w:tc>
          <w:tcPr>
            <w:tcW w:w="34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(12,572)</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(24,622)</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(7,638)</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(7,664)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Derivative gains (losses),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net</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(1,799)</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(7,594)</w:t>
            </w: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from Continuing Operations Before Income Tax Benefit and Equity in Earnings of 50% or Less Owned</w:t>
            </w: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(26,421)</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(28,628)</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Income Tax Benefit</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(6,668)</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 Before Equity in Earnings of 50% or Less Owned Companies</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(19,753)</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(24,797)</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Equity in Losses of 50% or Less Owned Companies</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(239)</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(3,476)</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(19,992)</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(28,273)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Income on Discontinued Operations, Net of Tax (see Note 15)</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(19,992)</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(28,273)</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Net Loss attributable to Noncontrolling Interests in Subsidiaries</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(4,047)</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(15,945)</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(25,549)</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Common Share and Warrants of SEACOR Marine Holdings Inc.</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(0.66)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(0.66)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0"/>
        </w:trPr>
        <w:tc>
          <w:tcPr>
            <w:tcW w:w="77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Weighted Average Common Shares and Warrants Outstanding:</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 and diluted shares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23,989,029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23,090,137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UNAUDITED CONDENSED CONSOLIDATED STATEMENTS OF COMPREHENSIVE LOSS</w:t>
      </w:r>
    </w:p>
    <w:p>
      <w:pPr>
        <w:jc w:val="center"/>
        <w:ind w:right="-59"/>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(19,992)</w:t>
            </w: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(28,273)</w:t>
            </w:r>
          </w:p>
        </w:tc>
        <w:tc>
          <w:tcPr>
            <w:tcW w:w="0" w:type="dxa"/>
            <w:vAlign w:val="bottom"/>
          </w:tcPr>
          <w:p>
            <w:pPr>
              <w:spacing w:after="0"/>
              <w:rPr>
                <w:sz w:val="1"/>
                <w:szCs w:val="1"/>
                <w:color w:val="auto"/>
              </w:rPr>
            </w:pPr>
          </w:p>
        </w:tc>
      </w:tr>
      <w:tr>
        <w:trPr>
          <w:trHeight w:val="206"/>
        </w:trPr>
        <w:tc>
          <w:tcPr>
            <w:tcW w:w="77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gains (losses)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(2,528)</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tcPr>
          <w:p>
            <w:pPr>
              <w:ind w:left="260"/>
              <w:spacing w:after="0"/>
              <w:rPr>
                <w:sz w:val="20"/>
                <w:szCs w:val="20"/>
                <w:color w:val="auto"/>
              </w:rPr>
            </w:pPr>
            <w:r>
              <w:rPr>
                <w:rFonts w:ascii="Arial" w:cs="Arial" w:eastAsia="Arial" w:hAnsi="Arial"/>
                <w:sz w:val="16"/>
                <w:szCs w:val="16"/>
                <w:color w:val="auto"/>
              </w:rPr>
              <w:t>Derivative losses on cash flow hedges</w:t>
            </w: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(2,038)</w:t>
            </w:r>
          </w:p>
        </w:tc>
        <w:tc>
          <w:tcPr>
            <w:tcW w:w="6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9"/>
        </w:trPr>
        <w:tc>
          <w:tcPr>
            <w:tcW w:w="7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gains on cash flow hedges to interest expense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00" w:type="dxa"/>
            <w:vAlign w:val="bottom"/>
          </w:tcPr>
          <w:p>
            <w:pPr>
              <w:ind w:left="260"/>
              <w:spacing w:after="0"/>
              <w:rPr>
                <w:sz w:val="20"/>
                <w:szCs w:val="20"/>
                <w:color w:val="auto"/>
              </w:rPr>
            </w:pPr>
            <w:r>
              <w:rPr>
                <w:rFonts w:ascii="Arial" w:cs="Arial" w:eastAsia="Arial" w:hAnsi="Arial"/>
                <w:sz w:val="16"/>
                <w:szCs w:val="16"/>
                <w:color w:val="auto"/>
              </w:rPr>
              <w:t>Reclassification of derivative losses on cash flow hedges to equity in earnings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6"/>
                <w:szCs w:val="16"/>
                <w:color w:val="auto"/>
              </w:rPr>
              <w:t>of 50% or less owned companies</w:t>
            </w: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(149)</w:t>
            </w:r>
          </w:p>
        </w:tc>
        <w:tc>
          <w:tcPr>
            <w:tcW w:w="6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(4,519)</w:t>
            </w:r>
          </w:p>
        </w:tc>
        <w:tc>
          <w:tcPr>
            <w:tcW w:w="6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(4,519)</w:t>
            </w:r>
          </w:p>
        </w:tc>
        <w:tc>
          <w:tcPr>
            <w:tcW w:w="6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(24,511)</w:t>
            </w:r>
          </w:p>
        </w:tc>
        <w:tc>
          <w:tcPr>
            <w:tcW w:w="6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0"/>
        </w:trPr>
        <w:tc>
          <w:tcPr>
            <w:tcW w:w="7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Comprehensive Loss attributable to Noncontrolling Interests in Subsidiaries</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0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(4,047)</w:t>
            </w:r>
          </w:p>
        </w:tc>
        <w:tc>
          <w:tcPr>
            <w:tcW w:w="6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Comprehensive Loss attributable to SEACOR Marine Holdings Inc.</w:t>
            </w: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00" w:type="dxa"/>
            <w:vAlign w:val="bottom"/>
            <w:vMerge w:val="continue"/>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(20,464)</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(25,573)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6"/>
                <w:szCs w:val="16"/>
                <w:b w:val="1"/>
                <w:bCs w:val="1"/>
                <w:i w:val="1"/>
                <w:iCs w:val="1"/>
                <w:color w:val="auto"/>
                <w:w w:val="84"/>
              </w:rPr>
              <w:t>Shares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i w:val="1"/>
                <w:iCs w:val="1"/>
                <w:color w:val="auto"/>
                <w:w w:val="89"/>
              </w:rPr>
              <w:t>Accumulated</w:t>
            </w:r>
          </w:p>
        </w:tc>
        <w:tc>
          <w:tcPr>
            <w:tcW w:w="14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9"/>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5"/>
          </w:tcPr>
          <w:p>
            <w:pPr>
              <w:jc w:val="right"/>
              <w:ind w:right="240"/>
              <w:spacing w:after="0"/>
              <w:rPr>
                <w:sz w:val="20"/>
                <w:szCs w:val="20"/>
                <w:color w:val="auto"/>
              </w:rPr>
            </w:pPr>
            <w:r>
              <w:rPr>
                <w:rFonts w:ascii="Arial" w:cs="Arial" w:eastAsia="Arial" w:hAnsi="Arial"/>
                <w:sz w:val="16"/>
                <w:szCs w:val="16"/>
                <w:b w:val="1"/>
                <w:bCs w:val="1"/>
                <w:i w:val="1"/>
                <w:iCs w:val="1"/>
                <w:color w:val="auto"/>
                <w:w w:val="89"/>
              </w:rPr>
              <w:t>Additional</w:t>
            </w:r>
          </w:p>
        </w:tc>
        <w:tc>
          <w:tcPr>
            <w:tcW w:w="8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6"/>
                <w:szCs w:val="16"/>
                <w:b w:val="1"/>
                <w:bCs w:val="1"/>
                <w:i w:val="1"/>
                <w:iCs w:val="1"/>
                <w:color w:val="auto"/>
                <w:w w:val="86"/>
              </w:rPr>
              <w:t>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i w:val="1"/>
                <w:iCs w:val="1"/>
                <w:color w:val="auto"/>
                <w:w w:val="93"/>
              </w:rPr>
              <w:t>Other</w:t>
            </w:r>
          </w:p>
        </w:tc>
        <w:tc>
          <w:tcPr>
            <w:tcW w:w="10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7"/>
              </w:rPr>
              <w:t>Stock</w:t>
            </w:r>
          </w:p>
        </w:tc>
        <w:tc>
          <w:tcPr>
            <w:tcW w:w="920" w:type="dxa"/>
            <w:vAlign w:val="bottom"/>
            <w:gridSpan w:val="5"/>
          </w:tcPr>
          <w:p>
            <w:pPr>
              <w:jc w:val="right"/>
              <w:ind w:right="260"/>
              <w:spacing w:after="0"/>
              <w:rPr>
                <w:sz w:val="20"/>
                <w:szCs w:val="20"/>
                <w:color w:val="auto"/>
              </w:rPr>
            </w:pPr>
            <w:r>
              <w:rPr>
                <w:rFonts w:ascii="Arial" w:cs="Arial" w:eastAsia="Arial" w:hAnsi="Arial"/>
                <w:sz w:val="16"/>
                <w:szCs w:val="16"/>
                <w:b w:val="1"/>
                <w:bCs w:val="1"/>
                <w:i w:val="1"/>
                <w:iCs w:val="1"/>
                <w:color w:val="auto"/>
                <w:w w:val="92"/>
              </w:rPr>
              <w:t>Common</w:t>
            </w:r>
          </w:p>
        </w:tc>
        <w:tc>
          <w:tcPr>
            <w:tcW w:w="100" w:type="dxa"/>
            <w:vAlign w:val="bottom"/>
          </w:tcPr>
          <w:p>
            <w:pPr>
              <w:spacing w:after="0"/>
              <w:rPr>
                <w:sz w:val="17"/>
                <w:szCs w:val="17"/>
                <w:color w:val="auto"/>
              </w:rPr>
            </w:pPr>
          </w:p>
        </w:tc>
        <w:tc>
          <w:tcPr>
            <w:tcW w:w="86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Paid-In</w:t>
            </w:r>
          </w:p>
        </w:tc>
        <w:tc>
          <w:tcPr>
            <w:tcW w:w="8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6"/>
                <w:szCs w:val="16"/>
                <w:b w:val="1"/>
                <w:bCs w:val="1"/>
                <w:i w:val="1"/>
                <w:iCs w:val="1"/>
                <w:color w:val="auto"/>
                <w:w w:val="93"/>
              </w:rPr>
              <w:t>Held in</w:t>
            </w:r>
          </w:p>
        </w:tc>
        <w:tc>
          <w:tcPr>
            <w:tcW w:w="940" w:type="dxa"/>
            <w:vAlign w:val="bottom"/>
            <w:gridSpan w:val="5"/>
          </w:tcPr>
          <w:p>
            <w:pPr>
              <w:ind w:left="120"/>
              <w:spacing w:after="0"/>
              <w:rPr>
                <w:sz w:val="20"/>
                <w:szCs w:val="20"/>
                <w:color w:val="auto"/>
              </w:rPr>
            </w:pPr>
            <w:r>
              <w:rPr>
                <w:rFonts w:ascii="Arial" w:cs="Arial" w:eastAsia="Arial" w:hAnsi="Arial"/>
                <w:sz w:val="16"/>
                <w:szCs w:val="16"/>
                <w:b w:val="1"/>
                <w:bCs w:val="1"/>
                <w:i w:val="1"/>
                <w:iCs w:val="1"/>
                <w:color w:val="auto"/>
              </w:rPr>
              <w:t>Treasury</w:t>
            </w:r>
          </w:p>
        </w:tc>
        <w:tc>
          <w:tcPr>
            <w:tcW w:w="1120" w:type="dxa"/>
            <w:vAlign w:val="bottom"/>
            <w:gridSpan w:val="3"/>
          </w:tcPr>
          <w:p>
            <w:pPr>
              <w:jc w:val="right"/>
              <w:ind w:right="380"/>
              <w:spacing w:after="0"/>
              <w:rPr>
                <w:sz w:val="20"/>
                <w:szCs w:val="20"/>
                <w:color w:val="auto"/>
              </w:rPr>
            </w:pPr>
            <w:r>
              <w:rPr>
                <w:rFonts w:ascii="Arial" w:cs="Arial" w:eastAsia="Arial" w:hAnsi="Arial"/>
                <w:sz w:val="16"/>
                <w:szCs w:val="16"/>
                <w:b w:val="1"/>
                <w:bCs w:val="1"/>
                <w:i w:val="1"/>
                <w:iCs w:val="1"/>
                <w:color w:val="auto"/>
              </w:rPr>
              <w:t>Retained</w:t>
            </w: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i w:val="1"/>
                <w:iCs w:val="1"/>
                <w:color w:val="auto"/>
                <w:w w:val="83"/>
              </w:rPr>
              <w:t>Comprehensive</w:t>
            </w:r>
          </w:p>
        </w:tc>
        <w:tc>
          <w:tcPr>
            <w:tcW w:w="10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83"/>
              </w:rPr>
              <w:t>Total</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6"/>
                <w:szCs w:val="16"/>
                <w:b w:val="1"/>
                <w:bCs w:val="1"/>
                <w:i w:val="1"/>
                <w:iCs w:val="1"/>
                <w:color w:val="auto"/>
                <w:w w:val="86"/>
              </w:rPr>
              <w:t>Outstanding</w:t>
            </w:r>
          </w:p>
        </w:tc>
        <w:tc>
          <w:tcPr>
            <w:tcW w:w="120" w:type="dxa"/>
            <w:vAlign w:val="bottom"/>
          </w:tcPr>
          <w:p>
            <w:pPr>
              <w:spacing w:after="0"/>
              <w:rPr>
                <w:sz w:val="18"/>
                <w:szCs w:val="18"/>
                <w:color w:val="auto"/>
              </w:rPr>
            </w:pPr>
          </w:p>
        </w:tc>
        <w:tc>
          <w:tcPr>
            <w:tcW w:w="800" w:type="dxa"/>
            <w:vAlign w:val="bottom"/>
            <w:gridSpan w:val="4"/>
          </w:tcPr>
          <w:p>
            <w:pPr>
              <w:ind w:left="40"/>
              <w:spacing w:after="0"/>
              <w:rPr>
                <w:sz w:val="20"/>
                <w:szCs w:val="20"/>
                <w:color w:val="auto"/>
              </w:rPr>
            </w:pPr>
            <w:r>
              <w:rPr>
                <w:rFonts w:ascii="Arial" w:cs="Arial" w:eastAsia="Arial" w:hAnsi="Arial"/>
                <w:sz w:val="16"/>
                <w:szCs w:val="16"/>
                <w:b w:val="1"/>
                <w:bCs w:val="1"/>
                <w:i w:val="1"/>
                <w:iCs w:val="1"/>
                <w:color w:val="auto"/>
              </w:rPr>
              <w:t>Stock</w:t>
            </w:r>
          </w:p>
        </w:tc>
        <w:tc>
          <w:tcPr>
            <w:tcW w:w="10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Capital</w:t>
            </w:r>
          </w:p>
        </w:tc>
        <w:tc>
          <w:tcPr>
            <w:tcW w:w="800" w:type="dxa"/>
            <w:vAlign w:val="bottom"/>
            <w:gridSpan w:val="3"/>
          </w:tcPr>
          <w:p>
            <w:pPr>
              <w:jc w:val="center"/>
              <w:ind w:right="120"/>
              <w:spacing w:after="0"/>
              <w:rPr>
                <w:sz w:val="20"/>
                <w:szCs w:val="20"/>
                <w:color w:val="auto"/>
              </w:rPr>
            </w:pPr>
            <w:r>
              <w:rPr>
                <w:rFonts w:ascii="Arial" w:cs="Arial" w:eastAsia="Arial" w:hAnsi="Arial"/>
                <w:sz w:val="16"/>
                <w:szCs w:val="16"/>
                <w:b w:val="1"/>
                <w:bCs w:val="1"/>
                <w:i w:val="1"/>
                <w:iCs w:val="1"/>
                <w:color w:val="auto"/>
                <w:w w:val="88"/>
              </w:rPr>
              <w:t>Treasury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b w:val="1"/>
                <w:bCs w:val="1"/>
                <w:i w:val="1"/>
                <w:iCs w:val="1"/>
                <w:color w:val="auto"/>
                <w:w w:val="87"/>
              </w:rPr>
              <w:t>Stock</w:t>
            </w:r>
          </w:p>
        </w:tc>
        <w:tc>
          <w:tcPr>
            <w:tcW w:w="1120" w:type="dxa"/>
            <w:vAlign w:val="bottom"/>
            <w:gridSpan w:val="3"/>
          </w:tcPr>
          <w:p>
            <w:pPr>
              <w:jc w:val="right"/>
              <w:ind w:right="380"/>
              <w:spacing w:after="0"/>
              <w:rPr>
                <w:sz w:val="20"/>
                <w:szCs w:val="20"/>
                <w:color w:val="auto"/>
              </w:rPr>
            </w:pPr>
            <w:r>
              <w:rPr>
                <w:rFonts w:ascii="Arial" w:cs="Arial" w:eastAsia="Arial" w:hAnsi="Arial"/>
                <w:sz w:val="16"/>
                <w:szCs w:val="16"/>
                <w:b w:val="1"/>
                <w:bCs w:val="1"/>
                <w:i w:val="1"/>
                <w:iCs w:val="1"/>
                <w:color w:val="auto"/>
              </w:rPr>
              <w:t>Earnings</w:t>
            </w:r>
          </w:p>
        </w:tc>
        <w:tc>
          <w:tcPr>
            <w:tcW w:w="18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i w:val="1"/>
                <w:iCs w:val="1"/>
                <w:color w:val="auto"/>
                <w:w w:val="85"/>
              </w:rPr>
              <w:t>Loss</w:t>
            </w:r>
          </w:p>
        </w:tc>
        <w:tc>
          <w:tcPr>
            <w:tcW w:w="10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89"/>
              </w:rPr>
              <w:t>Equity</w:t>
            </w:r>
          </w:p>
        </w:tc>
        <w:tc>
          <w:tcPr>
            <w:tcW w:w="0" w:type="dxa"/>
            <w:vAlign w:val="bottom"/>
          </w:tcPr>
          <w:p>
            <w:pPr>
              <w:spacing w:after="0"/>
              <w:rPr>
                <w:sz w:val="1"/>
                <w:szCs w:val="1"/>
                <w:color w:val="auto"/>
              </w:rPr>
            </w:pPr>
          </w:p>
        </w:tc>
      </w:tr>
      <w:tr>
        <w:trPr>
          <w:trHeight w:val="199"/>
        </w:trPr>
        <w:tc>
          <w:tcPr>
            <w:tcW w:w="23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spacing w:after="0"/>
              <w:rPr>
                <w:sz w:val="17"/>
                <w:szCs w:val="17"/>
                <w:color w:val="auto"/>
              </w:rPr>
            </w:pPr>
          </w:p>
        </w:tc>
        <w:tc>
          <w:tcPr>
            <w:tcW w:w="76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21,881,487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6"/>
              </w:rPr>
              <w:t>429,318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47,187</w:t>
            </w:r>
          </w:p>
        </w:tc>
        <w:tc>
          <w:tcPr>
            <w:tcW w:w="100" w:type="dxa"/>
            <w:vAlign w:val="bottom"/>
          </w:tcPr>
          <w:p>
            <w:pPr>
              <w:spacing w:after="0"/>
              <w:rPr>
                <w:sz w:val="18"/>
                <w:szCs w:val="18"/>
                <w:color w:val="auto"/>
              </w:rPr>
            </w:pPr>
          </w:p>
        </w:tc>
        <w:tc>
          <w:tcPr>
            <w:tcW w:w="2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(669)</w:t>
            </w:r>
          </w:p>
        </w:tc>
        <w:tc>
          <w:tcPr>
            <w:tcW w:w="14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27,076</w:t>
            </w:r>
          </w:p>
        </w:tc>
        <w:tc>
          <w:tcPr>
            <w:tcW w:w="200" w:type="dxa"/>
            <w:vAlign w:val="bottom"/>
          </w:tcPr>
          <w:p>
            <w:pPr>
              <w:spacing w:after="0"/>
              <w:rPr>
                <w:sz w:val="18"/>
                <w:szCs w:val="18"/>
                <w:color w:val="auto"/>
              </w:rPr>
            </w:pPr>
          </w:p>
        </w:tc>
        <w:tc>
          <w:tcPr>
            <w:tcW w:w="180" w:type="dxa"/>
            <w:vAlign w:val="bottom"/>
          </w:tcPr>
          <w:p>
            <w:pPr>
              <w:jc w:val="right"/>
              <w:ind w:right="73"/>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1,548</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21,432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478,924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60"/>
              <w:spacing w:after="0"/>
              <w:rPr>
                <w:sz w:val="20"/>
                <w:szCs w:val="20"/>
                <w:color w:val="auto"/>
              </w:rPr>
            </w:pPr>
            <w:r>
              <w:rPr>
                <w:rFonts w:ascii="Arial" w:cs="Arial" w:eastAsia="Arial" w:hAnsi="Arial"/>
                <w:sz w:val="16"/>
                <w:szCs w:val="16"/>
                <w:color w:val="auto"/>
              </w:rPr>
              <w:t>Cancellation of employee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(1,497)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271,950</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60"/>
              <w:spacing w:after="0"/>
              <w:rPr>
                <w:sz w:val="20"/>
                <w:szCs w:val="20"/>
                <w:color w:val="auto"/>
              </w:rPr>
            </w:pPr>
            <w:r>
              <w:rPr>
                <w:rFonts w:ascii="Arial" w:cs="Arial" w:eastAsia="Arial" w:hAnsi="Arial"/>
                <w:sz w:val="16"/>
                <w:szCs w:val="16"/>
                <w:color w:val="auto"/>
              </w:rPr>
              <w:t>Amortization of employee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(24,715)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4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320" w:type="dxa"/>
            <w:vAlign w:val="bottom"/>
          </w:tcPr>
          <w:p>
            <w:pPr>
              <w:ind w:left="260"/>
              <w:spacing w:after="0"/>
              <w:rPr>
                <w:sz w:val="20"/>
                <w:szCs w:val="20"/>
                <w:color w:val="auto"/>
              </w:rPr>
            </w:pPr>
            <w:r>
              <w:rPr>
                <w:rFonts w:ascii="Arial" w:cs="Arial" w:eastAsia="Arial" w:hAnsi="Arial"/>
                <w:sz w:val="16"/>
                <w:szCs w:val="16"/>
                <w:color w:val="auto"/>
              </w:rPr>
              <w:t>Acquisition of consolidated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60"/>
              <w:spacing w:after="0"/>
              <w:rPr>
                <w:sz w:val="20"/>
                <w:szCs w:val="20"/>
                <w:color w:val="auto"/>
              </w:rPr>
            </w:pPr>
            <w:r>
              <w:rPr>
                <w:rFonts w:ascii="Arial" w:cs="Arial" w:eastAsia="Arial" w:hAnsi="Arial"/>
                <w:sz w:val="16"/>
                <w:szCs w:val="16"/>
                <w:color w:val="auto"/>
              </w:rPr>
              <w:t>joint venture</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(17,046)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(15,945)</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(4,047)</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(4,519)</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(4,519)</w:t>
            </w: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vMerge w:val="continue"/>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23,027,225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447,425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71,902</w:t>
            </w: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11,131</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(2,971)</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87"/>
              </w:rPr>
              <w:t>Shares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i w:val="1"/>
                <w:iCs w:val="1"/>
                <w:color w:val="auto"/>
                <w:w w:val="87"/>
              </w:rPr>
              <w:t>Accumulated</w:t>
            </w:r>
          </w:p>
        </w:tc>
        <w:tc>
          <w:tcPr>
            <w:tcW w:w="140" w:type="dxa"/>
            <w:vAlign w:val="bottom"/>
          </w:tcPr>
          <w:p>
            <w:pPr>
              <w:spacing w:after="0"/>
              <w:rPr>
                <w:sz w:val="24"/>
                <w:szCs w:val="2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86"/>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Additional</w:t>
            </w:r>
          </w:p>
        </w:tc>
        <w:tc>
          <w:tcPr>
            <w:tcW w:w="80" w:type="dxa"/>
            <w:vAlign w:val="bottom"/>
          </w:tcPr>
          <w:p>
            <w:pPr>
              <w:spacing w:after="0"/>
              <w:rPr>
                <w:sz w:val="17"/>
                <w:szCs w:val="17"/>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6"/>
                <w:szCs w:val="16"/>
                <w:b w:val="1"/>
                <w:bCs w:val="1"/>
                <w:i w:val="1"/>
                <w:iCs w:val="1"/>
                <w:color w:val="auto"/>
                <w:w w:val="86"/>
              </w:rPr>
              <w:t>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i w:val="1"/>
                <w:iCs w:val="1"/>
                <w:color w:val="auto"/>
                <w:w w:val="88"/>
              </w:rPr>
              <w:t>Other</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82"/>
              </w:rPr>
              <w:t>Stock</w:t>
            </w:r>
          </w:p>
        </w:tc>
        <w:tc>
          <w:tcPr>
            <w:tcW w:w="120" w:type="dxa"/>
            <w:vAlign w:val="bottom"/>
          </w:tcPr>
          <w:p>
            <w:pPr>
              <w:spacing w:after="0"/>
              <w:rPr>
                <w:sz w:val="17"/>
                <w:szCs w:val="17"/>
                <w:color w:val="auto"/>
              </w:rPr>
            </w:pPr>
          </w:p>
        </w:tc>
        <w:tc>
          <w:tcPr>
            <w:tcW w:w="800" w:type="dxa"/>
            <w:vAlign w:val="bottom"/>
            <w:gridSpan w:val="4"/>
          </w:tcPr>
          <w:p>
            <w:pPr>
              <w:ind w:left="40"/>
              <w:spacing w:after="0"/>
              <w:rPr>
                <w:sz w:val="20"/>
                <w:szCs w:val="20"/>
                <w:color w:val="auto"/>
              </w:rPr>
            </w:pPr>
            <w:r>
              <w:rPr>
                <w:rFonts w:ascii="Arial" w:cs="Arial" w:eastAsia="Arial" w:hAnsi="Arial"/>
                <w:sz w:val="16"/>
                <w:szCs w:val="16"/>
                <w:b w:val="1"/>
                <w:bCs w:val="1"/>
                <w:i w:val="1"/>
                <w:iCs w:val="1"/>
                <w:color w:val="auto"/>
              </w:rPr>
              <w:t>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6"/>
                <w:szCs w:val="16"/>
                <w:b w:val="1"/>
                <w:bCs w:val="1"/>
                <w:i w:val="1"/>
                <w:iCs w:val="1"/>
                <w:color w:val="auto"/>
                <w:w w:val="93"/>
              </w:rPr>
              <w:t>Paid-In</w:t>
            </w:r>
          </w:p>
        </w:tc>
        <w:tc>
          <w:tcPr>
            <w:tcW w:w="80" w:type="dxa"/>
            <w:vAlign w:val="bottom"/>
          </w:tcPr>
          <w:p>
            <w:pPr>
              <w:spacing w:after="0"/>
              <w:rPr>
                <w:sz w:val="17"/>
                <w:szCs w:val="17"/>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6"/>
                <w:szCs w:val="16"/>
                <w:b w:val="1"/>
                <w:bCs w:val="1"/>
                <w:i w:val="1"/>
                <w:iCs w:val="1"/>
                <w:color w:val="auto"/>
                <w:w w:val="93"/>
              </w:rPr>
              <w:t>Held 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Treasury</w:t>
            </w:r>
          </w:p>
        </w:tc>
        <w:tc>
          <w:tcPr>
            <w:tcW w:w="16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88"/>
              </w:rPr>
              <w:t>Retained</w:t>
            </w:r>
          </w:p>
        </w:tc>
        <w:tc>
          <w:tcPr>
            <w:tcW w:w="1240" w:type="dxa"/>
            <w:vAlign w:val="bottom"/>
            <w:gridSpan w:val="3"/>
          </w:tcPr>
          <w:p>
            <w:pPr>
              <w:spacing w:after="0"/>
              <w:rPr>
                <w:sz w:val="20"/>
                <w:szCs w:val="20"/>
                <w:color w:val="auto"/>
              </w:rPr>
            </w:pPr>
            <w:r>
              <w:rPr>
                <w:rFonts w:ascii="Arial" w:cs="Arial" w:eastAsia="Arial" w:hAnsi="Arial"/>
                <w:sz w:val="16"/>
                <w:szCs w:val="16"/>
                <w:b w:val="1"/>
                <w:bCs w:val="1"/>
                <w:i w:val="1"/>
                <w:iCs w:val="1"/>
                <w:color w:val="auto"/>
                <w:w w:val="99"/>
              </w:rPr>
              <w:t>Comprehensive</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83"/>
              </w:rPr>
              <w:t>Total</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89"/>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6"/>
                <w:szCs w:val="16"/>
                <w:b w:val="1"/>
                <w:bCs w:val="1"/>
                <w:i w:val="1"/>
                <w:iCs w:val="1"/>
                <w:color w:val="auto"/>
                <w:w w:val="91"/>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6"/>
                <w:szCs w:val="16"/>
                <w:b w:val="1"/>
                <w:bCs w:val="1"/>
                <w:i w:val="1"/>
                <w:iCs w:val="1"/>
                <w:color w:val="auto"/>
                <w:w w:val="93"/>
              </w:rPr>
              <w:t>Capital</w:t>
            </w:r>
          </w:p>
        </w:tc>
        <w:tc>
          <w:tcPr>
            <w:tcW w:w="8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88"/>
              </w:rPr>
              <w:t>Treasury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87"/>
              </w:rPr>
              <w:t>Stock</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w w:val="90"/>
              </w:rPr>
              <w:t>Earnings</w:t>
            </w:r>
          </w:p>
        </w:tc>
        <w:tc>
          <w:tcPr>
            <w:tcW w:w="1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i w:val="1"/>
                <w:iCs w:val="1"/>
                <w:color w:val="auto"/>
                <w:w w:val="80"/>
              </w:rPr>
              <w:t>Loss</w:t>
            </w:r>
          </w:p>
        </w:tc>
        <w:tc>
          <w:tcPr>
            <w:tcW w:w="10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89"/>
              </w:rPr>
              <w:t>Equity</w:t>
            </w:r>
          </w:p>
        </w:tc>
        <w:tc>
          <w:tcPr>
            <w:tcW w:w="0" w:type="dxa"/>
            <w:vAlign w:val="bottom"/>
          </w:tcPr>
          <w:p>
            <w:pPr>
              <w:spacing w:after="0"/>
              <w:rPr>
                <w:sz w:val="1"/>
                <w:szCs w:val="1"/>
                <w:color w:val="auto"/>
              </w:rPr>
            </w:pPr>
          </w:p>
        </w:tc>
      </w:tr>
      <w:tr>
        <w:trPr>
          <w:trHeight w:val="199"/>
        </w:trPr>
        <w:tc>
          <w:tcPr>
            <w:tcW w:w="23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left w:val="single" w:sz="8" w:color="CFF0FC"/>
            </w:tcBorders>
            <w:shd w:val="clear" w:color="auto" w:fill="CFF0FC"/>
          </w:tcPr>
          <w:p>
            <w:pPr>
              <w:spacing w:after="0"/>
              <w:rPr>
                <w:sz w:val="17"/>
                <w:szCs w:val="17"/>
                <w:color w:val="auto"/>
              </w:rPr>
            </w:pPr>
          </w:p>
        </w:tc>
        <w:tc>
          <w:tcPr>
            <w:tcW w:w="76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20,439,208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415,372</w:t>
            </w: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4,007</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126,834</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(16,788)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29,404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554,935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of adoption of new</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accounting standard for</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leases</w:t>
            </w:r>
          </w:p>
        </w:tc>
        <w:tc>
          <w:tcPr>
            <w:tcW w:w="1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60" w:type="dxa"/>
            <w:vAlign w:val="bottom"/>
            <w:tcBorders>
              <w:left w:val="single" w:sz="8" w:color="CFF0FC"/>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10,416</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color w:val="auto"/>
              </w:rPr>
              <w:t>20,439,208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415,372</w:t>
            </w:r>
          </w:p>
        </w:tc>
        <w:tc>
          <w:tcPr>
            <w:tcW w:w="12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4,007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137,250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(16,788)</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29,404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565,351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10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653,872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6,589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60"/>
              <w:spacing w:after="0"/>
              <w:rPr>
                <w:sz w:val="20"/>
                <w:szCs w:val="20"/>
                <w:color w:val="auto"/>
              </w:rPr>
            </w:pPr>
            <w:r>
              <w:rPr>
                <w:rFonts w:ascii="Arial" w:cs="Arial" w:eastAsia="Arial" w:hAnsi="Arial"/>
                <w:sz w:val="16"/>
                <w:szCs w:val="16"/>
                <w:color w:val="auto"/>
              </w:rPr>
              <w:t>Amortization of employee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options</w:t>
            </w:r>
          </w:p>
        </w:tc>
        <w:tc>
          <w:tcPr>
            <w:tcW w:w="10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8,750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(21,551)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21,551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(282)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Cancellation of employee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8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320" w:type="dxa"/>
            <w:vAlign w:val="bottom"/>
          </w:tcPr>
          <w:p>
            <w:pPr>
              <w:ind w:left="260"/>
              <w:spacing w:after="0"/>
              <w:rPr>
                <w:sz w:val="20"/>
                <w:szCs w:val="20"/>
                <w:color w:val="auto"/>
              </w:rPr>
            </w:pPr>
            <w:r>
              <w:rPr>
                <w:rFonts w:ascii="Arial" w:cs="Arial" w:eastAsia="Arial" w:hAnsi="Arial"/>
                <w:sz w:val="16"/>
                <w:szCs w:val="16"/>
                <w:color w:val="auto"/>
              </w:rPr>
              <w:t>Acquisition of consolidated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Pr>
          <w:p>
            <w:pPr>
              <w:ind w:left="260"/>
              <w:spacing w:after="0"/>
              <w:rPr>
                <w:sz w:val="20"/>
                <w:szCs w:val="20"/>
                <w:color w:val="auto"/>
              </w:rPr>
            </w:pPr>
            <w:r>
              <w:rPr>
                <w:rFonts w:ascii="Arial" w:cs="Arial" w:eastAsia="Arial" w:hAnsi="Arial"/>
                <w:sz w:val="16"/>
                <w:szCs w:val="16"/>
                <w:color w:val="auto"/>
              </w:rPr>
              <w:t>joint venture</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(2,114)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9"/>
        </w:trPr>
        <w:tc>
          <w:tcPr>
            <w:tcW w:w="2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(25,549)</w:t>
            </w:r>
          </w:p>
        </w:tc>
        <w:tc>
          <w:tcPr>
            <w:tcW w:w="18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(2,724)</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(28,273)</w:t>
            </w: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shd w:val="clear" w:color="auto" w:fill="CFF0FC"/>
          </w:tcPr>
          <w:p>
            <w:pPr>
              <w:spacing w:after="0" w:line="20" w:lineRule="exact"/>
              <w:rPr>
                <w:sz w:val="1"/>
                <w:szCs w:val="1"/>
                <w:color w:val="auto"/>
              </w:rPr>
            </w:pPr>
          </w:p>
        </w:tc>
        <w:tc>
          <w:tcPr>
            <w:tcW w:w="960" w:type="dxa"/>
            <w:vAlign w:val="bottom"/>
            <w:tcBorders>
              <w:right w:val="single" w:sz="8" w:color="CFF0FC"/>
            </w:tcBorders>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21,079,279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422,830</w:t>
            </w:r>
          </w:p>
        </w:tc>
        <w:tc>
          <w:tcPr>
            <w:tcW w:w="12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25,558</w:t>
            </w:r>
          </w:p>
        </w:tc>
        <w:tc>
          <w:tcPr>
            <w:tcW w:w="280" w:type="dxa"/>
            <w:vAlign w:val="bottom"/>
            <w:gridSpan w:val="3"/>
            <w:shd w:val="clear" w:color="auto" w:fill="CFF0FC"/>
          </w:tcPr>
          <w:p>
            <w:pPr>
              <w:ind w:left="2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(373)</w:t>
            </w: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111,701</w:t>
            </w: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(16,812)</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24,566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Continuing 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(19,992)</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(28,273)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costs amortization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Restricted stock amortization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1,069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Debt discount amortization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Bad debt recoveries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Loss (gain) from equipment sales, retirements or impairments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12,572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(gains) losses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(5,114)</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Cash settlement on derivative transactions, net</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(214)</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Currency losses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(7,768)</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(5,160)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losses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Dividends received from equity investees</w:t>
            </w:r>
          </w:p>
        </w:tc>
        <w:tc>
          <w:tcPr>
            <w:tcW w:w="10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receivables</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(10,424)</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(4,275)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(855)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(8,108)</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Cash Flows from Continuing Investing Activities:</w:t>
            </w: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(11,244)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disposition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3,105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construction reserve fund</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Investments in and advances to 50% or less owned companies</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(245)</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(22,254)</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Flows from Continuing Financing Activities:</w:t>
            </w: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long-term debt</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(5,222)</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Purchase of subsidiary shares from noncontrolling interests</w:t>
            </w:r>
          </w:p>
        </w:tc>
        <w:tc>
          <w:tcPr>
            <w:tcW w:w="10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 and Warrants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(5,222)</w:t>
            </w:r>
          </w:p>
        </w:tc>
        <w:tc>
          <w:tcPr>
            <w:tcW w:w="10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(7,645)</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(1,908)</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Net Decrease in Cash, Restricted Cash and Cash Equivalents</w:t>
            </w: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(14,474)</w:t>
            </w:r>
          </w:p>
        </w:tc>
        <w:tc>
          <w:tcPr>
            <w:tcW w:w="10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(33,881)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Discontinued Operations: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0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Decrease in Cash, Restricted Cash and Cash Equivalents on Discontinued Operations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Net Decrease in Cash, Restricted Cash and Cash Equivalents</w:t>
            </w: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(14,474)</w:t>
            </w:r>
          </w:p>
        </w:tc>
        <w:tc>
          <w:tcPr>
            <w:tcW w:w="10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(30,757)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87,047</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Restricted Cash and Cash Equivalents, End of Period</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72,573</w:t>
            </w: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ind w:right="84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 and should be read in conjunction herewith.</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line="245"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89" w:lineRule="exact"/>
        <w:rPr>
          <w:sz w:val="20"/>
          <w:szCs w:val="20"/>
          <w:color w:val="auto"/>
        </w:rPr>
      </w:pPr>
    </w:p>
    <w:p>
      <w:pPr>
        <w:ind w:left="760" w:hanging="752"/>
        <w:spacing w:after="0"/>
        <w:tabs>
          <w:tab w:leader="none" w:pos="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2019 (the “2019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outbreak of the novel coronavirus (“COVID-19”) and related decreases in commodity prices resulting from oversupply and demand weakness have caused significant disruptions and volatility in the global marketplace during the first quarter of 2020. These conditions have persisted into the second quarter, and there remains a continuing uncertainty regarding the length and impact of COVID-19 on the energy industry and the outlook for our business. Although the decrease in oil and natural gas prices has not led to a significant decrease in the demand for our products and services, a prolonged period of severely depressed oil and natural gas prices compared to historic averages could have a material adverse effect on our business.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6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On June 30, 2016, the FASB issued ASU No. 2016-13, Financial Instruments-Credit Losses (Topic 326). This ASU represents a significant change in the Accounting for Credit Losses model. This ASU introduced the Current Expected Credit Losses (“CECL”) model, which requires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This model replaces the multiple existing impairment models in current U.S. generally accepted accounting principles (“GAAP”), which generally require that a loss be incurred before it is recognized. The standard applies to financial assets arising from revenue transactions such as contract assets and accounts receivables and is effective for fiscal years beginning after December 15, 2019. The adoption of the standard by the Company did not have a material impact on its consolidated financial position nor on its results of operations and cash flows.</w:t>
      </w:r>
    </w:p>
    <w:p>
      <w:pPr>
        <w:spacing w:after="0" w:line="12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On August 29, 2018, the FASB issued an amendment to the accounting standards, which requires implementation costs incurred by customers in cloud computing arrangements to be deferred and recognized over the term of the arrangement, if those costs would be capitalized by the customers in a software licensing arrangement. The guidance is effective for fiscal years, and interim periods within those fiscal years, beginning after December 15, 2019, with early adoption permitted. The adoption of the standard by the Company did not have a material impact on its consolidated financial position nor on its results of operations and cash flows.</w:t>
      </w:r>
    </w:p>
    <w:p>
      <w:pPr>
        <w:spacing w:after="0" w:line="161"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In August 2018, the FASB issued ASU 2018-13, Fair Value Measurement (Topic 820). The ASU eliminates certain disclosures as to the amount of and reasons for transfers between Level 1 and Level 2 of the fair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22"/>
          <w:szCs w:val="22"/>
          <w:color w:val="auto"/>
        </w:rPr>
        <w:t>value hierarchy. The ASU adds disclosure requirements for Level 3 measurements. This ASU is effective for fiscal years beginning after December 15, 2019, and interim periods within those fiscal years, with early adoption permitted for any eliminated or modified disclosures. The adoption of the standard by the Company did not have a material impact on the Company's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a change in control, any previous noncontrolled equity investment in the subsidiary is measured at fair value and a gain or loss is recognized in net income (loss) based on such fair value.</w:t>
      </w:r>
    </w:p>
    <w:p>
      <w:pPr>
        <w:spacing w:after="0" w:line="12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14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4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11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i w:val="1"/>
          <w:iCs w:val="1"/>
          <w:color w:val="auto"/>
        </w:rPr>
        <w:t>Revenue Recognition</w:t>
      </w:r>
      <w:r>
        <w:rPr>
          <w:rFonts w:ascii="Arial" w:cs="Arial" w:eastAsia="Arial" w:hAnsi="Arial"/>
          <w:sz w:val="21"/>
          <w:szCs w:val="21"/>
          <w:color w:val="auto"/>
        </w:rPr>
        <w:t>. Revenue is recognized when (or as) the Company transfers promised goods or services to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Company earns revenue primarily from the time charter and bareboat charter of vessels to customers.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 w:name="page10"/>
    <w:bookmarkEnd w:id="9"/>
    <w:p>
      <w:pPr>
        <w:jc w:val="both"/>
        <w:spacing w:after="0" w:line="235" w:lineRule="auto"/>
        <w:rPr>
          <w:sz w:val="20"/>
          <w:szCs w:val="20"/>
          <w:color w:val="auto"/>
        </w:rPr>
      </w:pPr>
      <w:r>
        <w:rPr>
          <w:rFonts w:ascii="Arial" w:cs="Arial" w:eastAsia="Arial" w:hAnsi="Arial"/>
          <w:sz w:val="22"/>
          <w:szCs w:val="22"/>
          <w:color w:val="auto"/>
        </w:rPr>
        <w:t>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6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recognized revenue over the term of the contract while related costs are expensed as incurred.</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Revenue that does not meet these criteria is deferred until the criteria is met and such revenue is considered a contract liability. Contract liabilities, which are included in other current liabilities in the accompanying consolidated balance sheets, for the three months ended March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(1,526)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(1,136)</w:t>
            </w: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3,265</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of March 31, 2020, the Company had deferred revenues of $3.3 million primarily related to $1.5 million of prepaid vessel management fees, and $1.8 million related to the time charter of offshore support vessels to customers from which collections were not reasonably assured.</w:t>
      </w:r>
    </w:p>
    <w:p>
      <w:pPr>
        <w:spacing w:after="0" w:line="15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March 31, 2020, the estimated useful life (in years) of each of the Company’s major categories of new equipment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356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Crew transfer vessels</w:t>
            </w:r>
          </w:p>
        </w:tc>
        <w:tc>
          <w:tcPr>
            <w:tcW w:w="3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All other offshore support vessels (excluding crew transfer)</w:t>
            </w:r>
          </w:p>
        </w:tc>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 w:name="page11"/>
    <w:bookmarkEnd w:id="10"/>
    <w:p>
      <w:pPr>
        <w:jc w:val="both"/>
        <w:spacing w:after="0" w:line="251" w:lineRule="auto"/>
        <w:rPr>
          <w:sz w:val="20"/>
          <w:szCs w:val="20"/>
          <w:color w:val="auto"/>
        </w:rPr>
      </w:pPr>
      <w:r>
        <w:rPr>
          <w:rFonts w:ascii="Arial" w:cs="Arial" w:eastAsia="Arial" w:hAnsi="Arial"/>
          <w:sz w:val="22"/>
          <w:szCs w:val="22"/>
          <w:color w:val="auto"/>
        </w:rPr>
        <w:t>useful life or improve the marketing and commercial characteristics of equipment as well as major renewals and improvements to other properties are capitalized.</w:t>
      </w:r>
    </w:p>
    <w:p>
      <w:pPr>
        <w:spacing w:after="0" w:line="17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three months ended March 31, 2020, capitalized interest totaled $0.2 million.</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1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Market conditions caused by COVID-19, including the decrease in oil and natural gas prices as well as the affect the pandemic has had on our stock price, caused a triggering event to occur requiring us to test our assets for impairment. During the first quarter of 2020, the Company impaired the right-to-use assets on two of its leased liftboats. Based on the current market environment, it was determined that neither of these two vessels would return to active service during their remaining lease terms. Therefore, the Company recorded an impairment of $7.4 million in total for two leased-in vessels and recorded a partial impairment on one liftboat for $1.8 million based on an outside valuation of its remaining liftboat fleet. Estimated fair values for the Company’s owned vessels were established by independent appraisers based on researched market information, replacement cost information, and other data. If market conditions further decline from the depressed utilization and rates per day worked experienced over the last three years, fair values based on future appraisals could decline significantly. There were no other impairments of right-to-use assets or any other assets in the first quarter of 2020.</w:t>
      </w:r>
    </w:p>
    <w:p>
      <w:pPr>
        <w:spacing w:after="0" w:line="13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fast support vessels (“FSVs”)), vessels required for customers to meet regulatory mandates and operating under multiple year contracts and vessels that serve customers outside of the offshore oil and natural gas market (e.g., crew transfer vessels (“CTVs”)).</w:t>
      </w:r>
    </w:p>
    <w:p>
      <w:pPr>
        <w:spacing w:after="0" w:line="14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For vessel classes and individual vessels with indicators of impairment but not recently impaired as of March 31, 2020, the Company has estimated that their future undiscounted cash flows exceed their current carrying values. The Company’s estimates of future undiscounted cash flows are highly subjective as utilization and rates per day worked are uncertain, especially in light of the affect COVID-19 has had on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4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2"/>
          <w:szCs w:val="22"/>
          <w:color w:val="auto"/>
        </w:rPr>
        <w:t>lead to additional impairment charges in future periods. During the three months ended March 31, 2020 and 2019, the Company did not recognize any impairment charges related to its 50% or less owned companies.</w:t>
      </w:r>
    </w:p>
    <w:p>
      <w:pPr>
        <w:spacing w:after="0" w:line="14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three months ended March 31, 2020, the Company’s effective income tax rate of 25.2%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primarily due to taxes provided on income attributable to noncontrolling interests, foreign sourced income not subject to U.S. income taxes, foreign taxes not creditable against U.S. income taxes, and the adjustment for the acquisition of the remaining minority membership interest in Falcon Global Holdings LLC (“Falcon Global Holdings”) (see “Note 10. Stockholder’s Equity”).</w:t>
      </w:r>
    </w:p>
    <w:p>
      <w:pPr>
        <w:spacing w:after="0" w:line="10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5"/>
              </w:rPr>
              <w:t>SEACOR Marine Holdings Inc.</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1"/>
              </w:rPr>
              <w:t>Stockholders’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Derivative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Foreign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Currency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Losses 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Currency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(Losses) on</w:t>
            </w:r>
          </w:p>
        </w:tc>
        <w:tc>
          <w:tcPr>
            <w:tcW w:w="2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Cash Flow</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Cash Flow</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Comprehensive</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Hedges, net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(3,137)</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8"/>
                <w:szCs w:val="18"/>
                <w:color w:val="auto"/>
              </w:rPr>
            </w:pPr>
          </w:p>
        </w:tc>
        <w:tc>
          <w:tcPr>
            <w:tcW w:w="1160" w:type="dxa"/>
            <w:vAlign w:val="bottom"/>
            <w:gridSpan w:val="2"/>
          </w:tcPr>
          <w:p>
            <w:pPr>
              <w:jc w:val="right"/>
              <w:ind w:right="99"/>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(1,991)</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(4,519)</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(4,519)</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Three months ended March 31, 2020</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(5,128)</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(2,971)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loss per common share of the Company is computed based on the weighted average number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shares 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other potentially dilutive securities through the application of the treasury stock method and the if-converted method that assumes all common shares have been issued and outstanding during the relevant periods pursuant to the conversion of the Convertible Senior Notes. For both the three months ended March 31, 2020 and 2019, diluted earnings per common share of the Company excluded 2,183,708 common shares, respectively, issuable pursuant to the Company’s Convertible Senior Notes (see “Note 5. Long-Term Debt”) as the effect of their inclusion in the computation would be anti-dilutive. In addition, for the three months ended March 31, 2020 and 2019, diluted loss per common share of the Company excluded 461,363 and 129,080 shares of restricted stock, respectively, and 921,069 and 791,816 shares of stock, respectively, issuable upon exercise of outstanding stock options as the effect of their inclusion in the computation would be anti-dilutive.</w:t>
      </w:r>
    </w:p>
    <w:p>
      <w:pPr>
        <w:spacing w:after="0" w:line="283" w:lineRule="exact"/>
        <w:rPr>
          <w:sz w:val="20"/>
          <w:szCs w:val="20"/>
          <w:color w:val="auto"/>
        </w:rPr>
      </w:pPr>
    </w:p>
    <w:p>
      <w:pPr>
        <w:ind w:left="820" w:hanging="812"/>
        <w:spacing w:after="0"/>
        <w:tabs>
          <w:tab w:leader="none" w:pos="8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TRANSFORMATION, FACILITY RESTRUCTURING AND SEVERANCE CHARGES</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Due to the highly competitive nature of the Company’s business and the continuing losses incurred over the last few years, the Company continues to reduce its overall cost structure and workforce to better align the Company with current activity levels. The ongoing transformation plan, which began in the third quarter of 2019 and is expected to extend through the second quarter of 2020 (the “Transformation Plan”), includes a workforce reduction, organization restructuring, facility consolidations and other cost reduction measures and efficiency initiatives across the Company’s geographic regions. The Transformation Plan was initiated to reduce the Company’s overall cost structure to better align with current activity levels of oil and gas exploration and production, and the Company continues to evaluate additional opportunities for further cost reductions to adapt to changing conditions caused by COVID-19.</w:t>
      </w:r>
    </w:p>
    <w:p>
      <w:pPr>
        <w:spacing w:after="0" w:line="18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In connection with the Transformation Plan, the Company recognized restructuring and transformation charges of $0.5 million for the three months ended March 31, 2020, which include severance charges of $0.5 million and other restructuring charges of less than $0.1 million. Other restructuring charges included contract termination costs, relocation and other associated costs. The restructuring and transformation charges are reflected in the Company’s general and administration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 w:name="page13"/>
    <w:bookmarkEnd w:id="12"/>
    <w:p>
      <w:pPr>
        <w:jc w:val="both"/>
        <w:ind w:right="20" w:firstLine="749"/>
        <w:spacing w:after="0" w:line="250" w:lineRule="auto"/>
        <w:rPr>
          <w:sz w:val="20"/>
          <w:szCs w:val="20"/>
          <w:color w:val="auto"/>
        </w:rPr>
      </w:pPr>
      <w:r>
        <w:rPr>
          <w:rFonts w:ascii="Arial" w:cs="Arial" w:eastAsia="Arial" w:hAnsi="Arial"/>
          <w:sz w:val="22"/>
          <w:szCs w:val="22"/>
          <w:color w:val="auto"/>
        </w:rPr>
        <w:t>The components of restructuring charges by segment for the three months ended March 31, 2020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United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3"/>
              </w:rPr>
              <w:t>States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Europe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(primarily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Gulf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West</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Latin</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North</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Mexico)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Africa)</w:t>
            </w: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Sea)</w:t>
            </w: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12"/>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Transformation Plan</w:t>
            </w:r>
          </w:p>
        </w:tc>
        <w:tc>
          <w:tcPr>
            <w:tcW w:w="10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2580" w:type="dxa"/>
            <w:vAlign w:val="bottom"/>
          </w:tcPr>
          <w:p>
            <w:pPr>
              <w:ind w:left="260"/>
              <w:spacing w:after="0"/>
              <w:rPr>
                <w:sz w:val="20"/>
                <w:szCs w:val="20"/>
                <w:color w:val="auto"/>
              </w:rPr>
            </w:pPr>
            <w:r>
              <w:rPr>
                <w:rFonts w:ascii="Arial" w:cs="Arial" w:eastAsia="Arial" w:hAnsi="Arial"/>
                <w:sz w:val="16"/>
                <w:szCs w:val="16"/>
                <w:color w:val="auto"/>
              </w:rPr>
              <w:t>Severance Charges</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Charges</w:t>
            </w:r>
          </w:p>
        </w:tc>
        <w:tc>
          <w:tcPr>
            <w:tcW w:w="10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9"/>
                <w:szCs w:val="19"/>
                <w:color w:val="auto"/>
              </w:rPr>
            </w:pPr>
          </w:p>
        </w:tc>
      </w:tr>
      <w:tr>
        <w:trPr>
          <w:trHeight w:val="234"/>
        </w:trPr>
        <w:tc>
          <w:tcPr>
            <w:tcW w:w="2580" w:type="dxa"/>
            <w:vAlign w:val="bottom"/>
          </w:tcPr>
          <w:p>
            <w:pPr>
              <w:ind w:left="500"/>
              <w:spacing w:after="0"/>
              <w:rPr>
                <w:sz w:val="20"/>
                <w:szCs w:val="20"/>
                <w:color w:val="auto"/>
              </w:rPr>
            </w:pPr>
            <w:r>
              <w:rPr>
                <w:rFonts w:ascii="Arial" w:cs="Arial" w:eastAsia="Arial" w:hAnsi="Arial"/>
                <w:sz w:val="16"/>
                <w:szCs w:val="16"/>
                <w:color w:val="auto"/>
              </w:rPr>
              <w:t>Total Charges</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264</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r>
      <w:tr>
        <w:trPr>
          <w:trHeight w:val="20"/>
        </w:trPr>
        <w:tc>
          <w:tcPr>
            <w:tcW w:w="2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severance and other restructuring charges gave rise to certain liabilities, the components of which are summarized in the following table (in thousands), and largely relate to liabilities accrued as part of the 2019 Transformation Plan that will be paid pursuant to the respective arrangements and statutory requirements.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United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3"/>
              </w:rPr>
              <w:t>States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Europe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(primarily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Gulf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West</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Latin</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North</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Mexico)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Africa)</w:t>
            </w: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Sea)</w:t>
            </w: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1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Transformation Plan</w:t>
            </w:r>
          </w:p>
        </w:tc>
        <w:tc>
          <w:tcPr>
            <w:tcW w:w="10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2600" w:type="dxa"/>
            <w:vAlign w:val="bottom"/>
          </w:tcPr>
          <w:p>
            <w:pPr>
              <w:ind w:left="260"/>
              <w:spacing w:after="0"/>
              <w:rPr>
                <w:sz w:val="20"/>
                <w:szCs w:val="20"/>
                <w:color w:val="auto"/>
              </w:rPr>
            </w:pPr>
            <w:r>
              <w:rPr>
                <w:rFonts w:ascii="Arial" w:cs="Arial" w:eastAsia="Arial" w:hAnsi="Arial"/>
                <w:sz w:val="16"/>
                <w:szCs w:val="16"/>
                <w:color w:val="auto"/>
              </w:rPr>
              <w:t>Severance Liability</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740"/>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Liability</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7"/>
        </w:trPr>
        <w:tc>
          <w:tcPr>
            <w:tcW w:w="2600" w:type="dxa"/>
            <w:vAlign w:val="bottom"/>
          </w:tcPr>
          <w:p>
            <w:pPr>
              <w:ind w:left="500"/>
              <w:spacing w:after="0"/>
              <w:rPr>
                <w:sz w:val="20"/>
                <w:szCs w:val="20"/>
                <w:color w:val="auto"/>
              </w:rPr>
            </w:pPr>
            <w:r>
              <w:rPr>
                <w:rFonts w:ascii="Arial" w:cs="Arial" w:eastAsia="Arial" w:hAnsi="Arial"/>
                <w:sz w:val="16"/>
                <w:szCs w:val="16"/>
                <w:color w:val="auto"/>
              </w:rPr>
              <w:t>Total Liability</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740"/>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r>
      <w:tr>
        <w:trPr>
          <w:trHeight w:val="20"/>
        </w:trPr>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following table is a summary of the cumulative restructuring and reorganization cost incurred to date in operating charges and the estimated remaining restructuring and reorganization costs to be incurred as of March 31, 2020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ind w:left="240"/>
              <w:spacing w:after="0"/>
              <w:rPr>
                <w:sz w:val="20"/>
                <w:szCs w:val="20"/>
                <w:color w:val="auto"/>
              </w:rPr>
            </w:pPr>
            <w:r>
              <w:rPr>
                <w:rFonts w:ascii="Arial" w:cs="Arial" w:eastAsia="Arial" w:hAnsi="Arial"/>
                <w:sz w:val="16"/>
                <w:szCs w:val="16"/>
                <w:b w:val="1"/>
                <w:bCs w:val="1"/>
                <w:color w:val="auto"/>
              </w:rPr>
              <w:t>Transformation Plan</w:t>
            </w:r>
          </w:p>
        </w:tc>
      </w:tr>
      <w:tr>
        <w:trPr>
          <w:trHeight w:val="213"/>
        </w:trPr>
        <w:tc>
          <w:tcPr>
            <w:tcW w:w="8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Cumulative restructuring costs incurred to date in operating charges</w:t>
            </w:r>
          </w:p>
        </w:tc>
        <w:tc>
          <w:tcPr>
            <w:tcW w:w="320" w:type="dxa"/>
            <w:vAlign w:val="bottom"/>
            <w:tcBorders>
              <w:top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8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Estimated additional restructuring costs to be incurred</w:t>
            </w: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FF0FC"/>
            </w:tcBorders>
          </w:tcPr>
          <w:p>
            <w:pPr>
              <w:spacing w:after="0"/>
              <w:rPr>
                <w:sz w:val="18"/>
                <w:szCs w:val="18"/>
                <w:color w:val="auto"/>
              </w:rPr>
            </w:pPr>
          </w:p>
        </w:tc>
      </w:tr>
      <w:tr>
        <w:trPr>
          <w:trHeight w:val="237"/>
        </w:trPr>
        <w:tc>
          <w:tcPr>
            <w:tcW w:w="8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restructuring and reorganization costs incurred and to be incurred</w:t>
            </w: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hanging="812"/>
        <w:spacing w:after="0"/>
        <w:tabs>
          <w:tab w:leader="none" w:pos="820" w:val="left"/>
        </w:tabs>
        <w:numPr>
          <w:ilvl w:val="0"/>
          <w:numId w:val="5"/>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222222"/>
        </w:rPr>
        <w:t>During the three months ended March 31, 2020, capital acquisitions were $11.2 million. Equipment deliveries during the three months ended March 31, 2020 include one platform supply vessel (“PSV”).</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222222"/>
        </w:rPr>
        <w:t>During the three months ended March 31, 2020, the Company sold two anchor handling towing supply (“AHTS”) vessels and one specialty vessel previously removed from service, two FSVs and other equipment for $3.1 million ($2.2 million cash and $0.9 million in previously received deposits) and gains of $1.1 million. In addition, the Company received $2.1 million in deposits for future sales.</w:t>
      </w:r>
    </w:p>
    <w:p>
      <w:pPr>
        <w:spacing w:after="0" w:line="152" w:lineRule="exact"/>
        <w:rPr>
          <w:sz w:val="20"/>
          <w:szCs w:val="20"/>
          <w:color w:val="auto"/>
        </w:rPr>
      </w:pPr>
    </w:p>
    <w:p>
      <w:pPr>
        <w:ind w:left="760" w:hanging="752"/>
        <w:spacing w:after="0"/>
        <w:tabs>
          <w:tab w:leader="none" w:pos="7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AT EQUITY AND ADVANCES TO 50% OR LESS OWNED COMPANIES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SEACOSCO</w:t>
      </w:r>
      <w:r>
        <w:rPr>
          <w:rFonts w:ascii="Arial" w:cs="Arial" w:eastAsia="Arial" w:hAnsi="Arial"/>
          <w:sz w:val="22"/>
          <w:szCs w:val="22"/>
          <w:color w:val="auto"/>
        </w:rPr>
        <w:t>. The Company, through SEACOR Offshore Asia LLC, an indirect wholly-owned subsidiary of SEACOR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Marine (“SEACOR Offshore Asia”), owns an unconsolidated 50% interest in SEACOSCO Offshore LLC (“SEACOSCO”). China Shipping Fan Tai Limited (“CSFT”) and China Shipping Industry (Hong Kong) Co., Limited (“CSIHK”) own the other 50% interest in SEACOSCO.</w:t>
      </w:r>
    </w:p>
    <w:p>
      <w:pPr>
        <w:spacing w:after="0" w:line="14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Effective May 31, 2019, SEACOR Offshore Asia, CSFT, CSIHK and COSCO Shipping Heavy Industry (Guangdong) Co., Ltd. (the “Shipyard”), the shipbuilder and lender under deferred payment agreements (“DPAs”) that are secured by the PSVs acquired by SEACOSCO, entered into a Memorandum of Understanding (“MOU”) pursuant to which (i) the Shipyard agreed to not take any action with respect to any existing defaults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 w:name="page14"/>
    <w:bookmarkEnd w:id="13"/>
    <w:p>
      <w:pPr>
        <w:jc w:val="both"/>
        <w:spacing w:after="0" w:line="234" w:lineRule="auto"/>
        <w:rPr>
          <w:sz w:val="20"/>
          <w:szCs w:val="20"/>
          <w:color w:val="auto"/>
        </w:rPr>
      </w:pPr>
      <w:r>
        <w:rPr>
          <w:rFonts w:ascii="Arial" w:cs="Arial" w:eastAsia="Arial" w:hAnsi="Arial"/>
          <w:sz w:val="22"/>
          <w:szCs w:val="22"/>
          <w:color w:val="auto"/>
        </w:rPr>
        <w:t>under the DPAs until August 31, 2019, (ii) SEACOR Offshore Asia was authorized to provide, in its sole discretion, shareholder loans to SEACOSCO and/or its subsidiaries, in an aggregate amount of $13.0 million, in respect of working capital or other payment obligations at an interest rate of 15% per annum and, subject to the priority of the indebtedness under the DPAs, the shareholder loans will have senior priority to any and all other debts of SEACOSCO and/or its subsidiaries, (“SEACOR Shareholder Loans”), (iii) the parties set out the non-binding principal terms and conditions for SEACOR Offshore Asia’s potential acquisition of the 50% interest in SEACOSCO owned by CSFT and CSIHK and (iv) in connection with such acquisition, SEACOR Offshore Asia or its nominee may acquire from the Shipyard two additional PSVs that had been under options held by SEACOSCO.</w:t>
      </w:r>
    </w:p>
    <w:p>
      <w:pPr>
        <w:spacing w:after="0" w:line="16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Management remains in discussions with the Shipyard, CSFT and CSIHK with respect to the other transactions contemplated by the MOU and the ongoing funding requirements of SEACOSCO. Subject to these ongoing discussions, effective January 2020, SEACOSCO ceased all principal and interest payments in connection with DPAs and has approximately $3.7 million in outstanding payments as of May 1, 2020. As of March 31, 2020, the balance on the SEACOR Shareholder Loans was $13.0 million, which is the aggregate amount of SEACOR Shareholder Loans provided, and SEACOR Marine recognized interest income of $1.0 million. As of March 31, 2020, an additional $5.6 million was due from SEACOSCO to the Company related to a Ship Management Agreement.</w:t>
      </w:r>
    </w:p>
    <w:p>
      <w:pPr>
        <w:spacing w:after="0" w:line="138"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Company’s long-term debt obligations as of March 31, 2020 and December 31, 2019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December 31, 2019</w:t>
            </w:r>
          </w:p>
        </w:tc>
      </w:tr>
      <w:tr>
        <w:trPr>
          <w:trHeight w:val="213"/>
        </w:trPr>
        <w:tc>
          <w:tcPr>
            <w:tcW w:w="7720" w:type="dxa"/>
            <w:vAlign w:val="bottom"/>
            <w:tcBorders>
              <w:top w:val="single" w:sz="8" w:color="CFF0FC"/>
            </w:tcBorders>
            <w:shd w:val="clear" w:color="auto" w:fill="CFF0FC"/>
          </w:tcPr>
          <w:p>
            <w:pPr>
              <w:spacing w:after="0" w:line="212"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Convertible Senior Notes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Marine Foreign Holdings Syndicated Credit Facility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113,750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22,891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24,128</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Alps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88/888 Term Loan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BNDES Equipment Construction Finance Notes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3,332</w:t>
            </w:r>
          </w:p>
        </w:tc>
        <w:tc>
          <w:tcPr>
            <w:tcW w:w="120" w:type="dxa"/>
            <w:vAlign w:val="bottom"/>
            <w:shd w:val="clear" w:color="auto" w:fill="CFF0FC"/>
          </w:tcPr>
          <w:p>
            <w:pPr>
              <w:spacing w:after="0"/>
              <w:rPr>
                <w:sz w:val="19"/>
                <w:szCs w:val="19"/>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Total recourse Long-term debt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277,175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282,244</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line="218"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5"/>
                <w:szCs w:val="25"/>
                <w:i w:val="1"/>
                <w:iCs w:val="1"/>
                <w:color w:val="auto"/>
                <w:vertAlign w:val="superscript"/>
              </w:rPr>
              <w:t>(2)</w:t>
            </w:r>
            <w:r>
              <w:rPr>
                <w:rFonts w:ascii="Arial" w:cs="Arial" w:eastAsia="Arial" w:hAnsi="Arial"/>
                <w:sz w:val="15"/>
                <w:szCs w:val="15"/>
                <w:i w:val="1"/>
                <w:iCs w:val="1"/>
                <w:color w:val="auto"/>
              </w:rPr>
              <w: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Falcon Global USA Term Loan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102,349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Falcon Global USA Revolver</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Windcat Workboats Facilities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23,919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24,730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non-recourse Long-term debt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146,768</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147,579</w:t>
            </w:r>
          </w:p>
        </w:tc>
        <w:tc>
          <w:tcPr>
            <w:tcW w:w="120" w:type="dxa"/>
            <w:vAlign w:val="bottom"/>
            <w:tcBorders>
              <w:bottom w:val="single" w:sz="8" w:color="CFF0FC"/>
            </w:tcBorders>
          </w:tcPr>
          <w:p>
            <w:pPr>
              <w:spacing w:after="0"/>
              <w:rPr>
                <w:sz w:val="17"/>
                <w:szCs w:val="17"/>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principal due for long-term debt</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423,943</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429,823</w:t>
            </w:r>
          </w:p>
        </w:tc>
        <w:tc>
          <w:tcPr>
            <w:tcW w:w="120" w:type="dxa"/>
            <w:vAlign w:val="bottom"/>
            <w:shd w:val="clear" w:color="auto" w:fill="CFF0FC"/>
          </w:tcPr>
          <w:p>
            <w:pPr>
              <w:spacing w:after="0"/>
              <w:rPr>
                <w:sz w:val="18"/>
                <w:szCs w:val="18"/>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Current portion due within one year</w:t>
            </w:r>
          </w:p>
        </w:tc>
        <w:tc>
          <w:tcPr>
            <w:tcW w:w="1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(37,084)</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(17,802)</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Unamortized debt discount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(24,865)</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(26,343)</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(5,427)</w:t>
            </w:r>
          </w:p>
        </w:tc>
      </w:tr>
      <w:tr>
        <w:trPr>
          <w:trHeight w:val="209"/>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356,729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380,251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Recourse debt represents debt issued by SEACOR Marine and/or its subsidiaries and guaranteed by SEACOR Marine as defined in the relevant debt agreements.</w:t>
      </w:r>
    </w:p>
    <w:p>
      <w:pPr>
        <w:spacing w:after="0" w:line="217" w:lineRule="exact"/>
        <w:rPr>
          <w:rFonts w:ascii="Arial" w:cs="Arial" w:eastAsia="Arial" w:hAnsi="Arial"/>
          <w:sz w:val="14"/>
          <w:szCs w:val="14"/>
          <w:color w:val="auto"/>
        </w:rPr>
      </w:pPr>
    </w:p>
    <w:p>
      <w:pPr>
        <w:ind w:left="740" w:hanging="368"/>
        <w:spacing w:after="0" w:line="369" w:lineRule="auto"/>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Non-recourse debt represents debt issued by the Company’s Consolidated Subsidiaries with no recourse to SEACOR Marine, other than certain limited support obligations as defined in the respective debt agreements, which in aggregate are not considered to be material to the Company’s business and financial condition.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4" w:name="page15"/>
    <w:bookmarkEnd w:id="14"/>
    <w:p>
      <w:pPr>
        <w:jc w:val="both"/>
        <w:ind w:firstLine="749"/>
        <w:spacing w:after="0" w:line="275" w:lineRule="auto"/>
        <w:rPr>
          <w:sz w:val="20"/>
          <w:szCs w:val="20"/>
          <w:color w:val="auto"/>
        </w:rPr>
      </w:pPr>
      <w:r>
        <w:rPr>
          <w:rFonts w:ascii="Arial" w:cs="Arial" w:eastAsia="Arial" w:hAnsi="Arial"/>
          <w:sz w:val="19"/>
          <w:szCs w:val="19"/>
          <w:color w:val="auto"/>
        </w:rPr>
        <w:t>As of March 31, 2020, the Company was in compliance with all debt covenants except for a covenant included in the Sea-Cat Crewzer III Term Loan Facility, which is guaranteed by SEACOR Marine. Under the facility, SEACOR Marine is required to maintain a net financial debt to equity ratio of 70%. As of March 31, 2020, SEACOR Marine’s net financial debt to equity ratio was 72%. The Company and the lenders under this facility are in discussions to waive or otherwise modify the terms of this guarantor covenant. Sea-Cat Crewzer III LLC, an indirect wholly-owned subsidiary of SEACOR Marine and the borrower under the Sea-Cat Crewzer III Term Loan Facility, is otherwise in compliance with all financial covenants and payment obligations under this facility, as is SEACOR Marine. The aforementioned non-compliance does not cause any cross defaults under the Company’s other credit facilities or the immediate acceleration of the Sea-Cat Crewzer III Term Loan Facility.</w:t>
      </w:r>
    </w:p>
    <w:p>
      <w:pPr>
        <w:spacing w:after="0" w:line="13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Until a waiver or modification of the terms of this guarantor covenant is received from the lenders under this facility, the Company has classified the balance of this debt as current. The Company expects to receive such a waiver or modification in the second quarter of 2020 and upon receipt will reclassify the debt to long term.</w:t>
      </w:r>
    </w:p>
    <w:p>
      <w:pPr>
        <w:spacing w:after="0" w:line="14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On February 7, 2020, SEACOR Marine, Falcon Global USA LLC, an indirect wholly-owned subsidiary of SEACOR Marine (“FGUSA”), and certain subsidiaries of FGUSA, entered into a consent, agreement and an omnibus amendment (the “Omnibus Amendment”) to that certain (i) $131.1 million term and revolving loan facility, dated as of February 8, 2018, with a syndicate of lenders administered by JP Morgan Chase Bank, N.A. (the “Credit Facility”) and (ii) obligation guaranty issued by SEACOR Marine, dated February 8, 2018, pursuant to which SEACOR Marine guarantees certain limited obligations of FGUSA under the Credit Facility (the “Guaranty”). The Omnibus Amendment provides for, among other things, (i) the extension from March 2020 to March 2021 of the commencement of monthly repayment of the term loan, with payments being the lesser of (a) $0.8 million per month and (b) the amount outstanding under the term loan and (ii) the extension of the term of the Guaranty for an additional one year from February 8, 2020 to February 8, 2021.</w:t>
      </w:r>
    </w:p>
    <w:p>
      <w:pPr>
        <w:spacing w:after="0" w:line="11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On April 29, 2020, FGUSA and certain subsidiaries of FGUSA, entered into a sixth consent and agreement (the “Sixth Consent and Agreement”) to the Credit Facility, which provides that, among other things, (i) the deadline for delivery of the audited financial statements of FGUSA and its consolidated subsidiaries for the fiscal year ended December 31, 2019 (“FGUSA 2019 Audited Financial Statements”) was extended from April 29, 2020 to May 31, 2020, (ii) the FGUSA 2019 Audited Financial Statements are not required to be delivered without a “going concern” or like qualification, commentary or exception, and (iii) the deadline for delivery of certain physical vessel appraisals was extended to December 31, 2020.</w:t>
      </w:r>
    </w:p>
    <w:p>
      <w:pPr>
        <w:spacing w:after="0" w:line="12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On March 3, 2020, Windcat Workboats Holdings Ltd, an indirect wholly-owned subsidiary of SEACOR Marine (“Windcat Workboats”), together with certain other obligors that are its subsidiaries (collectively, the “Obligors”) entered into an agreement (the “RCF Agreement”) with Coöperatieve Rabobank U.A. (the “Agent”) to amend the €25 million revolving credit facility agreement, originally dated as of May 24, 2016, as amended and restated from time to time. Amended provisions included, among other things, the extension of the maturity date from December 31, 2021 to December 31, 2022. Applicable fees in the amount of €0.1 million were paid in conjunction with the RCF Amendment and amortized over the credit facility term. As of March 31, 2020, the Company has $2.3 million available under its Windcat Workboats credit facilities.</w:t>
      </w:r>
    </w:p>
    <w:p>
      <w:pPr>
        <w:spacing w:after="0" w:line="11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March 31, 2020, the Company had outstanding letters of credit of $0.4 million securing lease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 and labor and performance guaranties.</w:t>
      </w:r>
    </w:p>
    <w:p>
      <w:pPr>
        <w:spacing w:after="0" w:line="128"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72" w:lineRule="exact"/>
        <w:rPr>
          <w:sz w:val="20"/>
          <w:szCs w:val="20"/>
          <w:color w:val="auto"/>
        </w:rPr>
      </w:pPr>
    </w:p>
    <w:p>
      <w:pPr>
        <w:jc w:val="both"/>
        <w:ind w:right="20" w:firstLine="749"/>
        <w:spacing w:after="0" w:line="287" w:lineRule="auto"/>
        <w:rPr>
          <w:sz w:val="20"/>
          <w:szCs w:val="20"/>
          <w:color w:val="auto"/>
        </w:rPr>
      </w:pPr>
      <w:r>
        <w:rPr>
          <w:rFonts w:ascii="Arial" w:cs="Arial" w:eastAsia="Arial" w:hAnsi="Arial"/>
          <w:sz w:val="19"/>
          <w:szCs w:val="19"/>
          <w:color w:val="auto"/>
        </w:rPr>
        <w:t>As of March 31, 2020, the Company leased in two AHTS vessels, two liftboats, one FSV and certain facilities and other equipment. The leases typically contain purchase and renewal options or rights of first refusal with respect to the sale or lease of the equipment. As of March 31, 2020, the remaining lease terms of the vessels have remaining durations ranging from eight to 20 months. The lease terms of the other equipment range in duration from two to 321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19"/>
          <w:szCs w:val="19"/>
          <w:color w:val="auto"/>
        </w:rPr>
        <w:t>As of March 31, 2020, future minimum payments for operating leases for the remainder of 2020 and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Remainder of 2020</w:t>
            </w:r>
          </w:p>
        </w:tc>
        <w:tc>
          <w:tcPr>
            <w:tcW w:w="360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11,489</w:t>
            </w:r>
          </w:p>
        </w:tc>
        <w:tc>
          <w:tcPr>
            <w:tcW w:w="100" w:type="dxa"/>
            <w:vAlign w:val="bottom"/>
            <w:shd w:val="clear" w:color="auto" w:fill="CFF0FC"/>
          </w:tcPr>
          <w:p>
            <w:pPr>
              <w:spacing w:after="0"/>
              <w:rPr>
                <w:sz w:val="18"/>
                <w:szCs w:val="18"/>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2021</w:t>
            </w: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18"/>
                <w:szCs w:val="18"/>
                <w:color w:val="auto"/>
              </w:rPr>
            </w:pPr>
          </w:p>
        </w:tc>
      </w:tr>
      <w:tr>
        <w:trPr>
          <w:trHeight w:val="21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2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FF0FC"/>
          </w:tcPr>
          <w:p>
            <w:pPr>
              <w:spacing w:after="0"/>
              <w:rPr>
                <w:sz w:val="19"/>
                <w:szCs w:val="19"/>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2023</w:t>
            </w: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r>
      <w:tr>
        <w:trPr>
          <w:trHeight w:val="21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FF0FC"/>
          </w:tcPr>
          <w:p>
            <w:pPr>
              <w:spacing w:after="0"/>
              <w:rPr>
                <w:sz w:val="19"/>
                <w:szCs w:val="19"/>
                <w:color w:val="auto"/>
              </w:rPr>
            </w:pPr>
          </w:p>
        </w:tc>
      </w:tr>
      <w:tr>
        <w:trPr>
          <w:trHeight w:val="213"/>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2024</w:t>
            </w:r>
          </w:p>
        </w:tc>
        <w:tc>
          <w:tcPr>
            <w:tcW w:w="28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w:t>
            </w:r>
          </w:p>
        </w:tc>
        <w:tc>
          <w:tcPr>
            <w:tcW w:w="100" w:type="dxa"/>
            <w:vAlign w:val="bottom"/>
            <w:tcBorders>
              <w:bottom w:val="single" w:sz="8" w:color="CFF0FC"/>
            </w:tcBorders>
          </w:tcPr>
          <w:p>
            <w:pPr>
              <w:spacing w:after="0"/>
              <w:rPr>
                <w:sz w:val="18"/>
                <w:szCs w:val="18"/>
                <w:color w:val="auto"/>
              </w:rPr>
            </w:pPr>
          </w:p>
        </w:tc>
      </w:tr>
      <w:tr>
        <w:trPr>
          <w:trHeight w:val="212"/>
        </w:trPr>
        <w:tc>
          <w:tcPr>
            <w:tcW w:w="640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25,043</w:t>
            </w:r>
          </w:p>
        </w:tc>
        <w:tc>
          <w:tcPr>
            <w:tcW w:w="100" w:type="dxa"/>
            <w:vAlign w:val="bottom"/>
            <w:shd w:val="clear" w:color="auto" w:fill="CFF0FC"/>
          </w:tcPr>
          <w:p>
            <w:pPr>
              <w:spacing w:after="0"/>
              <w:rPr>
                <w:sz w:val="18"/>
                <w:szCs w:val="18"/>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Interest component</w:t>
            </w: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(3,825)</w:t>
            </w:r>
          </w:p>
        </w:tc>
      </w:tr>
      <w:tr>
        <w:trPr>
          <w:trHeight w:val="213"/>
        </w:trPr>
        <w:tc>
          <w:tcPr>
            <w:tcW w:w="6400" w:type="dxa"/>
            <w:vAlign w:val="bottom"/>
            <w:tcBorders>
              <w:top w:val="single" w:sz="8" w:color="CFF0FC"/>
            </w:tcBorders>
            <w:shd w:val="clear" w:color="auto" w:fill="CFF0FC"/>
          </w:tcPr>
          <w:p>
            <w:pPr>
              <w:spacing w:after="0"/>
              <w:rPr>
                <w:sz w:val="18"/>
                <w:szCs w:val="18"/>
                <w:color w:val="auto"/>
              </w:rPr>
            </w:pPr>
          </w:p>
        </w:tc>
        <w:tc>
          <w:tcPr>
            <w:tcW w:w="28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operating lease liabilities</w:t>
            </w:r>
          </w:p>
        </w:tc>
        <w:tc>
          <w:tcPr>
            <w:tcW w:w="28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13,359</w:t>
            </w:r>
          </w:p>
        </w:tc>
        <w:tc>
          <w:tcPr>
            <w:tcW w:w="100" w:type="dxa"/>
            <w:vAlign w:val="bottom"/>
            <w:tcBorders>
              <w:bottom w:val="single" w:sz="8" w:color="CFF0FC"/>
            </w:tcBorders>
          </w:tcPr>
          <w:p>
            <w:pPr>
              <w:spacing w:after="0"/>
              <w:rPr>
                <w:sz w:val="18"/>
                <w:szCs w:val="18"/>
                <w:color w:val="auto"/>
              </w:rPr>
            </w:pP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360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7,859</w:t>
            </w:r>
          </w:p>
        </w:tc>
        <w:tc>
          <w:tcPr>
            <w:tcW w:w="100" w:type="dxa"/>
            <w:vAlign w:val="bottom"/>
            <w:shd w:val="clear" w:color="auto" w:fill="CFF0FC"/>
          </w:tcPr>
          <w:p>
            <w:pPr>
              <w:spacing w:after="0"/>
              <w:rPr>
                <w:sz w:val="18"/>
                <w:szCs w:val="18"/>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three months ended March 31, the components of lease expense were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3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expense</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w:t>
            </w:r>
          </w:p>
        </w:tc>
        <w:tc>
          <w:tcPr>
            <w:tcW w:w="120" w:type="dxa"/>
            <w:vAlign w:val="bottom"/>
            <w:shd w:val="clear" w:color="auto" w:fill="CFF0FC"/>
          </w:tcPr>
          <w:p>
            <w:pPr>
              <w:spacing w:after="0"/>
              <w:rPr>
                <w:sz w:val="20"/>
                <w:szCs w:val="20"/>
                <w:color w:val="auto"/>
              </w:rPr>
            </w:pPr>
          </w:p>
        </w:tc>
      </w:tr>
      <w:tr>
        <w:trPr>
          <w:trHeight w:val="240"/>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Short-term lease expense (lease duration of twelve months or less at lease commencement)</w:t>
            </w: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FF0FC"/>
            </w:tcBorders>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the three months ended March 31, 2020, other information related to operating leases were as follows (in thousands except weighted average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r>
      <w:tr>
        <w:trPr>
          <w:trHeight w:val="212"/>
        </w:trPr>
        <w:tc>
          <w:tcPr>
            <w:tcW w:w="922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3,838</w:t>
            </w:r>
          </w:p>
        </w:tc>
        <w:tc>
          <w:tcPr>
            <w:tcW w:w="140" w:type="dxa"/>
            <w:vAlign w:val="bottom"/>
            <w:shd w:val="clear" w:color="auto" w:fill="CFF0FC"/>
          </w:tcPr>
          <w:p>
            <w:pPr>
              <w:spacing w:after="0"/>
              <w:rPr>
                <w:sz w:val="18"/>
                <w:szCs w:val="18"/>
                <w:color w:val="auto"/>
              </w:rPr>
            </w:pPr>
          </w:p>
        </w:tc>
      </w:tr>
      <w:tr>
        <w:trPr>
          <w:trHeight w:val="213"/>
        </w:trPr>
        <w:tc>
          <w:tcPr>
            <w:tcW w:w="922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r>
      <w:tr>
        <w:trPr>
          <w:trHeight w:val="219"/>
        </w:trPr>
        <w:tc>
          <w:tcPr>
            <w:tcW w:w="92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FF0FC"/>
          </w:tcPr>
          <w:p>
            <w:pPr>
              <w:spacing w:after="0"/>
              <w:rPr>
                <w:sz w:val="19"/>
                <w:szCs w:val="19"/>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bl>
    <w:p>
      <w:pPr>
        <w:spacing w:after="0" w:line="195"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three months ended March 31,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40" w:type="dxa"/>
            <w:vAlign w:val="bottom"/>
          </w:tcPr>
          <w:p>
            <w:pPr>
              <w:spacing w:after="0"/>
              <w:rPr>
                <w:sz w:val="20"/>
                <w:szCs w:val="20"/>
                <w:color w:val="auto"/>
              </w:rPr>
            </w:pPr>
            <w:r>
              <w:rPr>
                <w:rFonts w:ascii="Arial" w:cs="Arial" w:eastAsia="Arial" w:hAnsi="Arial"/>
                <w:sz w:val="16"/>
                <w:szCs w:val="16"/>
                <w:color w:val="auto"/>
              </w:rPr>
              <w:t>Foreign taxes not creditable against U.S. income tax</w:t>
            </w:r>
          </w:p>
        </w:tc>
        <w:tc>
          <w:tcPr>
            <w:tcW w:w="164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8"/>
                <w:szCs w:val="18"/>
                <w:color w:val="auto"/>
              </w:rPr>
            </w:pPr>
          </w:p>
        </w:tc>
      </w:tr>
      <w:tr>
        <w:trPr>
          <w:trHeight w:val="219"/>
        </w:trPr>
        <w:tc>
          <w:tcPr>
            <w:tcW w:w="9340" w:type="dxa"/>
            <w:vAlign w:val="bottom"/>
            <w:shd w:val="clear" w:color="auto" w:fill="CFF0FC"/>
          </w:tcPr>
          <w:p>
            <w:pPr>
              <w:spacing w:after="0"/>
              <w:rPr>
                <w:sz w:val="20"/>
                <w:szCs w:val="20"/>
                <w:color w:val="auto"/>
              </w:rPr>
            </w:pPr>
            <w:r>
              <w:rPr>
                <w:rFonts w:ascii="Arial" w:cs="Arial" w:eastAsia="Arial" w:hAnsi="Arial"/>
                <w:sz w:val="16"/>
                <w:szCs w:val="16"/>
                <w:color w:val="auto"/>
              </w:rPr>
              <w:t>Falcon Global Acquisition</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CFF0FC"/>
          </w:tcPr>
          <w:p>
            <w:pPr>
              <w:spacing w:after="0"/>
              <w:rPr>
                <w:sz w:val="19"/>
                <w:szCs w:val="19"/>
                <w:color w:val="auto"/>
              </w:rPr>
            </w:pPr>
          </w:p>
        </w:tc>
      </w:tr>
      <w:tr>
        <w:trPr>
          <w:trHeight w:val="213"/>
        </w:trPr>
        <w:tc>
          <w:tcPr>
            <w:tcW w:w="93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6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r>
      <w:tr>
        <w:trPr>
          <w:trHeight w:val="219"/>
        </w:trPr>
        <w:tc>
          <w:tcPr>
            <w:tcW w:w="93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60" w:type="dxa"/>
            <w:vAlign w:val="bottom"/>
            <w:shd w:val="clear" w:color="auto" w:fill="CFF0FC"/>
          </w:tcPr>
          <w:p>
            <w:pPr>
              <w:spacing w:after="0"/>
              <w:rPr>
                <w:sz w:val="19"/>
                <w:szCs w:val="19"/>
                <w:color w:val="auto"/>
              </w:rPr>
            </w:pPr>
          </w:p>
        </w:tc>
      </w:tr>
      <w:tr>
        <w:trPr>
          <w:trHeight w:val="206"/>
        </w:trPr>
        <w:tc>
          <w:tcPr>
            <w:tcW w:w="9340" w:type="dxa"/>
            <w:vAlign w:val="bottom"/>
          </w:tcPr>
          <w:p>
            <w:pPr>
              <w:spacing w:after="0"/>
              <w:rPr>
                <w:sz w:val="17"/>
                <w:szCs w:val="17"/>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9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response to the COVID-19 pandemic, in March 2020, the Coronavirus Aid, Relief, and Economic Security Act (the “CARES Act”) was passed by the U.S. Congress and signed into law by the president. The CARES Act includes a number of provisions that amended the current U.S. tax regime applicable to the Company, including allowing net operating losses generated in 2018 through 2020 to be carried back for up to five years. The Company continues to assess the changes to U.S. tax laws included in the CARES Act but believes the changes included in the CARES Act may result in the recognition of a meaningful U.S. tax asset.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6" w:name="page17"/>
    <w:bookmarkEnd w:id="16"/>
    <w:p>
      <w:pPr>
        <w:ind w:left="760" w:hanging="752"/>
        <w:spacing w:after="0"/>
        <w:tabs>
          <w:tab w:leader="none" w:pos="7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5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280" w:type="dxa"/>
            <w:vAlign w:val="bottom"/>
          </w:tcPr>
          <w:p>
            <w:pPr>
              <w:spacing w:after="0"/>
              <w:rPr>
                <w:sz w:val="17"/>
                <w:szCs w:val="17"/>
                <w:color w:val="auto"/>
              </w:rPr>
            </w:pPr>
          </w:p>
        </w:tc>
      </w:tr>
      <w:tr>
        <w:trPr>
          <w:trHeight w:val="213"/>
        </w:trPr>
        <w:tc>
          <w:tcPr>
            <w:tcW w:w="5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8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Liability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Asset</w:t>
            </w:r>
          </w:p>
        </w:tc>
        <w:tc>
          <w:tcPr>
            <w:tcW w:w="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Liability</w:t>
            </w:r>
          </w:p>
        </w:tc>
      </w:tr>
      <w:tr>
        <w:trPr>
          <w:trHeight w:val="21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3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Interest rate swap agreements (cash flow hedges)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4,893</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3,009</w:t>
            </w:r>
          </w:p>
        </w:tc>
        <w:tc>
          <w:tcPr>
            <w:tcW w:w="280" w:type="dxa"/>
            <w:vAlign w:val="bottom"/>
          </w:tcPr>
          <w:p>
            <w:pPr>
              <w:spacing w:after="0"/>
              <w:rPr>
                <w:sz w:val="18"/>
                <w:szCs w:val="18"/>
                <w:color w:val="auto"/>
              </w:rPr>
            </w:pPr>
          </w:p>
        </w:tc>
      </w:tr>
      <w:tr>
        <w:trPr>
          <w:trHeight w:val="213"/>
        </w:trPr>
        <w:tc>
          <w:tcPr>
            <w:tcW w:w="50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4,893</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3,009</w:t>
            </w:r>
          </w:p>
        </w:tc>
        <w:tc>
          <w:tcPr>
            <w:tcW w:w="280" w:type="dxa"/>
            <w:vAlign w:val="bottom"/>
            <w:tcBorders>
              <w:top w:val="single" w:sz="8" w:color="CFF0FC"/>
            </w:tcBorders>
            <w:shd w:val="clear" w:color="auto" w:fill="CFF0FC"/>
          </w:tcPr>
          <w:p>
            <w:pPr>
              <w:spacing w:after="0"/>
              <w:rPr>
                <w:sz w:val="18"/>
                <w:szCs w:val="18"/>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3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5,205</w:t>
            </w:r>
          </w:p>
        </w:tc>
        <w:tc>
          <w:tcPr>
            <w:tcW w:w="280" w:type="dxa"/>
            <w:vAlign w:val="bottom"/>
            <w:shd w:val="clear" w:color="auto" w:fill="CFF0FC"/>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4,984</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8,214</w:t>
            </w:r>
          </w:p>
        </w:tc>
        <w:tc>
          <w:tcPr>
            <w:tcW w:w="2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4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b w:val="1"/>
          <w:bCs w:val="1"/>
          <w:i w:val="1"/>
          <w:iCs w:val="1"/>
          <w:color w:val="auto"/>
        </w:rPr>
        <w:t xml:space="preserve">Cash Flow Hedges. </w:t>
      </w:r>
      <w:r>
        <w:rPr>
          <w:rFonts w:ascii="Arial" w:cs="Arial" w:eastAsia="Arial" w:hAnsi="Arial"/>
          <w:sz w:val="21"/>
          <w:szCs w:val="21"/>
          <w:color w:val="auto"/>
        </w:rPr>
        <w:t>The Company and certain of its 50% or less owned companies have interest rate swap agreements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three months ended March 31, 2020. As of March 31, 2020, the interest rate swaps held by the Company and its 50% or less owned companies were as follows:</w:t>
      </w:r>
    </w:p>
    <w:p>
      <w:pPr>
        <w:spacing w:after="0" w:line="69" w:lineRule="exact"/>
        <w:rPr>
          <w:sz w:val="20"/>
          <w:szCs w:val="20"/>
          <w:color w:val="auto"/>
        </w:rPr>
      </w:pPr>
    </w:p>
    <w:p>
      <w:pPr>
        <w:jc w:val="both"/>
        <w:ind w:left="1260" w:hanging="510"/>
        <w:spacing w:after="0" w:line="297" w:lineRule="auto"/>
        <w:tabs>
          <w:tab w:leader="none" w:pos="12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Windcat Workboats had two interest rate swap agreements maturing in 2021 that call for the Company to pay a fixed rate of interest of (0.03%) plus margin on the aggregate notional value of €15.0 million (approximately $16.5 million) and receive a variable interest rate based on EURIBOR on the aggregate notional value;</w:t>
      </w:r>
    </w:p>
    <w:p>
      <w:pPr>
        <w:spacing w:after="0" w:line="25" w:lineRule="exact"/>
        <w:rPr>
          <w:rFonts w:ascii="Arial" w:cs="Arial" w:eastAsia="Arial" w:hAnsi="Arial"/>
          <w:sz w:val="19"/>
          <w:szCs w:val="19"/>
          <w:color w:val="auto"/>
        </w:rPr>
      </w:pPr>
    </w:p>
    <w:p>
      <w:pPr>
        <w:jc w:val="both"/>
        <w:ind w:left="1260" w:hanging="510"/>
        <w:spacing w:after="0" w:line="252" w:lineRule="auto"/>
        <w:tabs>
          <w:tab w:leader="none" w:pos="12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SEACOR Marine Foreign Holdings Inc., an indirect wholly-owned subsidiary of SEACOR Marine (“SMFH” or “SEACOR Marine Foreign Holdings”), had an interest rate swap agreement maturing in 2023 that calls for SMFH to pay a fixed rate of interest of 3.32% per annum on the amortized notional value of $8.5 million and receive a variable interest rate based on LIBOR on the amortized notional value;</w:t>
      </w:r>
    </w:p>
    <w:p>
      <w:pPr>
        <w:spacing w:after="0" w:line="65" w:lineRule="exact"/>
        <w:rPr>
          <w:rFonts w:ascii="Arial" w:cs="Arial" w:eastAsia="Arial" w:hAnsi="Arial"/>
          <w:sz w:val="21"/>
          <w:szCs w:val="21"/>
          <w:color w:val="auto"/>
        </w:rPr>
      </w:pPr>
    </w:p>
    <w:p>
      <w:pPr>
        <w:jc w:val="both"/>
        <w:ind w:left="1260" w:hanging="510"/>
        <w:spacing w:after="0"/>
        <w:tabs>
          <w:tab w:leader="none" w:pos="1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SMFH had an interest rate swap agreement maturing in 2023 that calls for SMFH to pay a fixed rate of interest of 3.195% per annum on the amortized notional value of $48.5 million and receive a variable interest rate based on LIBOR on the amortized notional value; and</w:t>
      </w:r>
    </w:p>
    <w:p>
      <w:pPr>
        <w:spacing w:after="0" w:line="78" w:lineRule="exact"/>
        <w:rPr>
          <w:rFonts w:ascii="Arial" w:cs="Arial" w:eastAsia="Arial" w:hAnsi="Arial"/>
          <w:sz w:val="22"/>
          <w:szCs w:val="22"/>
          <w:color w:val="auto"/>
        </w:rPr>
      </w:pPr>
    </w:p>
    <w:p>
      <w:pPr>
        <w:jc w:val="both"/>
        <w:ind w:left="1260" w:hanging="510"/>
        <w:spacing w:after="0" w:line="238" w:lineRule="auto"/>
        <w:tabs>
          <w:tab w:leader="none" w:pos="1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SEACOR 88 LLC and SEACOR 888 LLC, both indirect wholly-owned subsidiaries of SEACOR Marine (collectively, “SEACOR 88/888”), have an interest rate swap agreement maturing in 2023 that calls for SEACOR 88/888 to pay a fixed rate of interest of 3.2% per annum on the amortized notional value of $5.5 million and receive a variable interest rate based on LIBOR on the amortized notional value.</w:t>
      </w:r>
    </w:p>
    <w:p>
      <w:pPr>
        <w:spacing w:after="0" w:line="158"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Other Derivative Instruments. </w:t>
      </w:r>
      <w:r>
        <w:rPr>
          <w:rFonts w:ascii="Arial" w:cs="Arial" w:eastAsia="Arial" w:hAnsi="Arial"/>
          <w:sz w:val="22"/>
          <w:szCs w:val="22"/>
          <w:color w:val="auto"/>
        </w:rPr>
        <w:t>The Company recognized gains (losses) on derivative instruments not designated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hedging instruments for the three months ended March 31, 2020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(925)</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(925)</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ind w:firstLine="749"/>
        <w:spacing w:after="0" w:line="329"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(“Carlyle”). See “Note 9. Fair Value Measurements”.</w:t>
      </w:r>
    </w:p>
    <w:p>
      <w:pPr>
        <w:spacing w:after="0" w:line="6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Company and certain of its 50% or less owned companies have entered into interest rate swap agreements that did not qualify as cash flow hedges for the general purpose of providing protection against increases in interest rates, which might lead to higher interest costs. As of March 31, 2020, these interest rate swaps held by the Company or its 50% or less owned companies were as follows:</w:t>
      </w:r>
    </w:p>
    <w:p>
      <w:pPr>
        <w:spacing w:after="0" w:line="77" w:lineRule="exact"/>
        <w:rPr>
          <w:sz w:val="20"/>
          <w:szCs w:val="20"/>
          <w:color w:val="auto"/>
        </w:rPr>
      </w:pPr>
    </w:p>
    <w:p>
      <w:pPr>
        <w:jc w:val="both"/>
        <w:ind w:left="1260" w:hanging="510"/>
        <w:spacing w:after="0" w:line="238" w:lineRule="auto"/>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SEACOR OSV Partners I LP (“OSV Partners”) has two interest rate swap agreements with maturities in 2020 that call for OSV Partners to pay a fixed rate of interest ranging from 1.89% to 2.27% per annum on the aggregate amortized notional value of $22.0 million and receive a variable interest rate based on LIBOR on the aggregate amortized notional value; and</w:t>
      </w:r>
    </w:p>
    <w:p>
      <w:pPr>
        <w:spacing w:after="0" w:line="76" w:lineRule="exact"/>
        <w:rPr>
          <w:rFonts w:ascii="Arial" w:cs="Arial" w:eastAsia="Arial" w:hAnsi="Arial"/>
          <w:sz w:val="22"/>
          <w:szCs w:val="22"/>
          <w:color w:val="auto"/>
        </w:rPr>
      </w:pPr>
    </w:p>
    <w:p>
      <w:pPr>
        <w:jc w:val="both"/>
        <w:ind w:left="1260" w:hanging="510"/>
        <w:spacing w:after="0" w:line="287" w:lineRule="auto"/>
        <w:tabs>
          <w:tab w:leader="none" w:pos="1260"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Mantenimiento Express Maritimo, S.A.P.I. de C.V. </w:t>
      </w:r>
      <w:r>
        <w:rPr>
          <w:rFonts w:ascii="Arial" w:cs="Arial" w:eastAsia="Arial" w:hAnsi="Arial"/>
          <w:sz w:val="17"/>
          <w:szCs w:val="17"/>
          <w:color w:val="auto"/>
        </w:rPr>
        <w:t>(“</w:t>
      </w:r>
      <w:r>
        <w:rPr>
          <w:rFonts w:ascii="Arial" w:cs="Arial" w:eastAsia="Arial" w:hAnsi="Arial"/>
          <w:sz w:val="19"/>
          <w:szCs w:val="19"/>
          <w:color w:val="auto"/>
        </w:rPr>
        <w:t>MexMar”), in which the Company has a 49% noncontrolling interest, has five interest rate swap agreements with maturities in 2023 that call for MexMar to pay a fixed rate of interest ranging from 1.71% to 2.10% per annum on the aggregate amortized notional value of $79.7 million and receive a variable interest rate based on LIBOR on the aggregate amortized notional value.</w:t>
      </w:r>
    </w:p>
    <w:p>
      <w:pPr>
        <w:spacing w:after="0" w:line="136" w:lineRule="exact"/>
        <w:rPr>
          <w:rFonts w:ascii="Arial" w:cs="Arial" w:eastAsia="Arial" w:hAnsi="Arial"/>
          <w:sz w:val="19"/>
          <w:szCs w:val="19"/>
          <w:color w:val="auto"/>
        </w:rPr>
      </w:pPr>
    </w:p>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The fair value of an asset or liability is the price that would be received to sell an asset or transfer a liability (an exit</w:t>
      </w:r>
    </w:p>
    <w:p>
      <w:pPr>
        <w:spacing w:after="0" w:line="43"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 markets for identical assets or liabilities. </w:t>
      </w:r>
      <w:r>
        <w:rPr>
          <w:rFonts w:ascii="Arial" w:cs="Arial" w:eastAsia="Arial" w:hAnsi="Arial"/>
          <w:sz w:val="22"/>
          <w:szCs w:val="22"/>
          <w:i w:val="1"/>
          <w:iCs w:val="1"/>
          <w:color w:val="auto"/>
        </w:rPr>
        <w:t>Level</w:t>
      </w:r>
      <w:r>
        <w:rPr>
          <w:rFonts w:ascii="Arial" w:cs="Arial" w:eastAsia="Arial" w:hAnsi="Arial"/>
          <w:sz w:val="22"/>
          <w:szCs w:val="22"/>
          <w:color w:val="auto"/>
        </w:rPr>
        <w:t xml:space="preserve"> 2 inputs are observable inputs other than quoted prices included in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inputs are unobservable inputs that are supported by little or no market activity and are significant to the fair value of the assets or liabilities.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financial assets and liabilities as of March 31, 2020 that are measured at fair value on a recurring basis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520" w:type="dxa"/>
            <w:vAlign w:val="bottom"/>
            <w:tcBorders>
              <w:bottom w:val="single" w:sz="8" w:color="auto"/>
            </w:tcBorders>
          </w:tcPr>
          <w:p>
            <w:pPr>
              <w:ind w:left="27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3,745</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12,893</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i w:val="1"/>
          <w:iCs w:val="1"/>
          <w:color w:val="auto"/>
        </w:rPr>
        <w:t xml:space="preserve">Level </w:t>
      </w:r>
      <w:r>
        <w:rPr>
          <w:rFonts w:ascii="Arial" w:cs="Arial" w:eastAsia="Arial" w:hAnsi="Arial"/>
          <w:sz w:val="22"/>
          <w:szCs w:val="22"/>
          <w:b w:val="1"/>
          <w:bCs w:val="1"/>
          <w:color w:val="auto"/>
        </w:rPr>
        <w:t>3</w:t>
      </w:r>
      <w:r>
        <w:rPr>
          <w:rFonts w:ascii="Arial" w:cs="Arial" w:eastAsia="Arial" w:hAnsi="Arial"/>
          <w:sz w:val="22"/>
          <w:szCs w:val="22"/>
          <w:b w:val="1"/>
          <w:bCs w:val="1"/>
          <w:i w:val="1"/>
          <w:iCs w:val="1"/>
          <w:color w:val="auto"/>
        </w:rPr>
        <w:t xml:space="preserve"> Measurement</w:t>
      </w:r>
      <w:r>
        <w:rPr>
          <w:rFonts w:ascii="Arial" w:cs="Arial" w:eastAsia="Arial" w:hAnsi="Arial"/>
          <w:sz w:val="22"/>
          <w:szCs w:val="22"/>
          <w:color w:val="auto"/>
        </w:rPr>
        <w:t>. The fair value of the conversion option liability on the Convertible Senior Notes is estimated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significant inputs that are both observable and unobservable in the market and therefore is considered 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spacing w:after="0" w:line="297" w:lineRule="auto"/>
        <w:rPr>
          <w:sz w:val="20"/>
          <w:szCs w:val="20"/>
          <w:color w:val="auto"/>
        </w:rPr>
      </w:pPr>
      <w:r>
        <w:rPr>
          <w:rFonts w:ascii="Arial" w:cs="Arial" w:eastAsia="Arial" w:hAnsi="Arial"/>
          <w:sz w:val="19"/>
          <w:szCs w:val="19"/>
          <w:color w:val="auto"/>
        </w:rPr>
        <w:t>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estimated fair values of the Company’s other financial assets and liabilities as of March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6"/>
              </w:rPr>
              <w:t>Estimated Fair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4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CFF0FC"/>
            </w:tcBorders>
          </w:tcPr>
          <w:p>
            <w:pPr>
              <w:spacing w:after="0"/>
              <w:rPr>
                <w:sz w:val="18"/>
                <w:szCs w:val="18"/>
                <w:color w:val="auto"/>
              </w:rPr>
            </w:pPr>
          </w:p>
        </w:tc>
        <w:tc>
          <w:tcPr>
            <w:tcW w:w="940" w:type="dxa"/>
            <w:vAlign w:val="bottom"/>
            <w:tcBorders>
              <w:top w:val="single" w:sz="8" w:color="auto"/>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88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5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72,573</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72,573</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393,813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5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87,047</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87,047</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380,815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including the consideration of the recent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other assets and liabilities that were measured at fair value during the three months ended March 31, 2020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ind w:left="310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Liftboats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tcBorders>
              <w:bottom w:val="single" w:sz="8" w:color="auto"/>
            </w:tcBorders>
          </w:tcPr>
          <w:p>
            <w:pPr>
              <w:ind w:left="310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AHTS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10"/>
        </w:trPr>
        <w:tc>
          <w:tcPr>
            <w:tcW w:w="6520" w:type="dxa"/>
            <w:vAlign w:val="bottom"/>
          </w:tcPr>
          <w:p>
            <w:pPr>
              <w:ind w:left="260"/>
              <w:spacing w:after="0"/>
              <w:rPr>
                <w:sz w:val="20"/>
                <w:szCs w:val="20"/>
                <w:color w:val="auto"/>
              </w:rPr>
            </w:pPr>
            <w:r>
              <w:rPr>
                <w:rFonts w:ascii="Arial" w:cs="Arial" w:eastAsia="Arial" w:hAnsi="Arial"/>
                <w:sz w:val="16"/>
                <w:szCs w:val="16"/>
                <w:color w:val="auto"/>
              </w:rPr>
              <w:t>FSVs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6"/>
                <w:szCs w:val="16"/>
                <w:color w:val="auto"/>
              </w:rPr>
              <w:t>—</w:t>
            </w:r>
          </w:p>
        </w:tc>
      </w:tr>
    </w:tbl>
    <w:p>
      <w:pPr>
        <w:spacing w:after="0" w:line="201"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Property and equipment</w:t>
      </w:r>
      <w:r>
        <w:rPr>
          <w:rFonts w:ascii="Arial" w:cs="Arial" w:eastAsia="Arial" w:hAnsi="Arial"/>
          <w:sz w:val="22"/>
          <w:szCs w:val="22"/>
          <w:color w:val="auto"/>
        </w:rPr>
        <w:t>. During the three months ended March 31, 2020, the Company recognized impairment charges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of $9.2 million primarily associated with certain vessels. The </w:t>
      </w:r>
      <w:r>
        <w:rPr>
          <w:rFonts w:ascii="Arial" w:cs="Arial" w:eastAsia="Arial" w:hAnsi="Arial"/>
          <w:sz w:val="22"/>
          <w:szCs w:val="22"/>
          <w:i w:val="1"/>
          <w:iCs w:val="1"/>
          <w:color w:val="auto"/>
        </w:rPr>
        <w:t>Level 2</w:t>
      </w:r>
      <w:r>
        <w:rPr>
          <w:rFonts w:ascii="Arial" w:cs="Arial" w:eastAsia="Arial" w:hAnsi="Arial"/>
          <w:sz w:val="22"/>
          <w:szCs w:val="22"/>
          <w:color w:val="auto"/>
        </w:rPr>
        <w:t xml:space="preserve"> fair values were determined based on the sales prices of similar property and equipment as scrap value.</w:t>
      </w:r>
    </w:p>
    <w:p>
      <w:pPr>
        <w:spacing w:after="0" w:line="140"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 March 20, 2020, SEACOR LB Holdings LLC, an indirect wholly-owned subsidiary of SEACOR Marine (“SEACOR LB Holdings”), entered into a membership interest purchase agreement with SEACOR Marine, Montco Offshore, LLC (“Montco”) and Lee Orgeron, the principal of Montco, pursuant to which SEACOR LB Holdings purchased the 28% minority equity interest in Falcon Global Holdings held by Montco in exchange for 900,000 shares of SEACOR Marine common stock, par value $0.01 per share, issued to Montco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9"/>
          <w:szCs w:val="19"/>
          <w:color w:val="auto"/>
        </w:rPr>
        <w:t>purchase consideration in a private placement. The purchase resulted in the Company owning 100% of Falcon Global Holdings.</w:t>
      </w:r>
    </w:p>
    <w:p>
      <w:pPr>
        <w:spacing w:after="0" w:line="235"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NONCONTROLLING INTERESTS IN SUBSIDIARIES</w:t>
      </w:r>
    </w:p>
    <w:p>
      <w:pPr>
        <w:spacing w:after="0" w:line="185"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Noncontrolling interests in the Company’s consolidated subsidiaries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Noncontrolling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0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3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3"/>
              </w:rPr>
              <w:t>March 31, 2020</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Falcon Global Holdings</w:t>
            </w:r>
          </w:p>
        </w:tc>
        <w:tc>
          <w:tcPr>
            <w:tcW w:w="13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21,119</w:t>
            </w:r>
          </w:p>
        </w:tc>
        <w:tc>
          <w:tcPr>
            <w:tcW w:w="120" w:type="dxa"/>
            <w:vAlign w:val="bottom"/>
            <w:shd w:val="clear" w:color="auto" w:fill="CFF0FC"/>
          </w:tcPr>
          <w:p>
            <w:pPr>
              <w:spacing w:after="0"/>
              <w:rPr>
                <w:sz w:val="18"/>
                <w:szCs w:val="18"/>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300" w:type="dxa"/>
            <w:vAlign w:val="bottom"/>
            <w:tcBorders>
              <w:bottom w:val="single" w:sz="8" w:color="CFF0FC"/>
            </w:tcBorders>
          </w:tcPr>
          <w:p>
            <w:pPr>
              <w:jc w:val="right"/>
              <w:ind w:right="39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FF0FC"/>
            </w:tcBorders>
          </w:tcPr>
          <w:p>
            <w:pPr>
              <w:spacing w:after="0"/>
              <w:rPr>
                <w:sz w:val="18"/>
                <w:szCs w:val="18"/>
                <w:color w:val="auto"/>
              </w:rPr>
            </w:pPr>
          </w:p>
        </w:tc>
      </w:tr>
      <w:tr>
        <w:trPr>
          <w:trHeight w:val="209"/>
        </w:trPr>
        <w:tc>
          <w:tcPr>
            <w:tcW w:w="66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21,432</w:t>
            </w:r>
          </w:p>
        </w:tc>
        <w:tc>
          <w:tcPr>
            <w:tcW w:w="12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4"/>
          <w:szCs w:val="14"/>
          <w:color w:val="auto"/>
        </w:rPr>
        <w:t>Before March 20, 2020, noncontrolling interest was 28%.</w:t>
      </w:r>
    </w:p>
    <w:p>
      <w:pPr>
        <w:spacing w:after="0" w:line="17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i w:val="1"/>
          <w:iCs w:val="1"/>
          <w:color w:val="auto"/>
        </w:rPr>
        <w:t xml:space="preserve">Falcon Global Holdings. </w:t>
      </w:r>
      <w:r>
        <w:rPr>
          <w:rFonts w:ascii="Arial" w:cs="Arial" w:eastAsia="Arial" w:hAnsi="Arial"/>
          <w:sz w:val="21"/>
          <w:szCs w:val="21"/>
          <w:color w:val="auto"/>
        </w:rPr>
        <w:t>Prior to March 20, 2020, the Company held 72% of the equity interest in Falcon Global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Holdings. On March 20, 2020, the Company completed the acquisition of the 28% minority interest in Falcon Global Holdings, resulting in the Company’s 100% ownership of Falcon Global Holdings. Consideration paid by the Company was 900,000 shares of Common Stock issued in a private placement to the seller of the minority interest, Montco.</w:t>
      </w:r>
    </w:p>
    <w:p>
      <w:pPr>
        <w:spacing w:after="0" w:line="13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During the three months ended March 31, 2020, the net loss of Falcon Global Holdings was $14.5 million, including non-cash impairment charges of $9.2 million. These charges were recognized concurrently with the acquisition of the minority interest with $4.1 million of net loss attributable to noncontrolling interest.</w:t>
      </w:r>
    </w:p>
    <w:p>
      <w:pPr>
        <w:spacing w:after="0" w:line="180"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March 31, 2020, the Company’s unfunded capital commitments were $34.2 million for three PSVs and two CTVs. All of the unfunded capital commitments are payable during the remainder of 2020. The Company has indefinitely deferred an additional $16.3 million of orders with respect to two FSVs that the Company had previously reported unfunded capital commitments.</w:t>
      </w:r>
    </w:p>
    <w:p>
      <w:pPr>
        <w:spacing w:after="0" w:line="14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On April 20, 2020, the vessel SEACOR Andes was delivered, which is the second vessel of a purchase of three vessels that was contracted in January 2019. The vessel SEACOR Alps was delivered in September 2019. The third contracted vessel, the SEACOR Atlas, is expected to be delivered in the second quarter of 2020.</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On April 17, 2020, Hull 488, which was under construction at the Gulf Craft Shipyard, was sold by the Company for $14.5 million resulting in a gain of $2.1 million, which will be recognized in the second quarter of 2020.</w:t>
      </w:r>
    </w:p>
    <w:p>
      <w:pPr>
        <w:spacing w:after="0" w:line="14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In 2015, the Brazilian Federal Revenue Office issued a tax-deficiency notice to Seabulk Offshore do Brasil Ltda (“Seabulk Offshore do Brasil”), an indirect wholly-owned subsidiary of SEACOR Marine, with respect to certain profit participation contributions (“PIS”) and social security financing contributions (“COFINS”) requirements alleged to be due from Seabulk Offshore do Brasil (“Deficiency Notice”). In February 2015, Company deposited with the relevant Brazilian court an amount equal to USD $1.2 million and appealed the Deficiency Notice on the basis that such contributions were not applicable in the circumstances of a 70%/30% cost allocation structure. The case was remitted to the second instance and is currently awaiting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The potential range of levies arising from the Deficiency Notice is R$12.8 million - R$17.5 million (USD $2.3 million – USD $3.2 million based on the exchange rate as of March 31, 2020).</w:t>
      </w:r>
    </w:p>
    <w:p>
      <w:pPr>
        <w:spacing w:after="0" w:line="11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0" w:name="page21"/>
    <w:bookmarkEnd w:id="20"/>
    <w:p>
      <w:pPr>
        <w:jc w:val="both"/>
        <w:spacing w:after="0"/>
        <w:rPr>
          <w:sz w:val="20"/>
          <w:szCs w:val="20"/>
          <w:color w:val="auto"/>
        </w:rPr>
      </w:pPr>
      <w:r>
        <w:rPr>
          <w:rFonts w:ascii="Arial" w:cs="Arial" w:eastAsia="Arial" w:hAnsi="Arial"/>
          <w:sz w:val="22"/>
          <w:szCs w:val="22"/>
          <w:color w:val="auto"/>
        </w:rPr>
        <w:t>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53"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Transactions in connection with the Company’s 2017 Equity Incentive Plan during the three months ended March 31, 2020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2019</w:t>
            </w:r>
          </w:p>
        </w:tc>
        <w:tc>
          <w:tcPr>
            <w:tcW w:w="1880" w:type="dxa"/>
            <w:vAlign w:val="bottom"/>
          </w:tcPr>
          <w:p>
            <w:pPr>
              <w:jc w:val="right"/>
              <w:spacing w:after="0"/>
              <w:rPr>
                <w:sz w:val="20"/>
                <w:szCs w:val="20"/>
                <w:color w:val="auto"/>
              </w:rPr>
            </w:pPr>
            <w:r>
              <w:rPr>
                <w:rFonts w:ascii="Arial" w:cs="Arial" w:eastAsia="Arial" w:hAnsi="Arial"/>
                <w:sz w:val="16"/>
                <w:szCs w:val="16"/>
                <w:color w:val="auto"/>
              </w:rPr>
              <w:t>303,609</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271,950</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Vested</w:t>
            </w:r>
          </w:p>
        </w:tc>
        <w:tc>
          <w:tcPr>
            <w:tcW w:w="1880" w:type="dxa"/>
            <w:vAlign w:val="bottom"/>
          </w:tcPr>
          <w:p>
            <w:pPr>
              <w:jc w:val="right"/>
              <w:spacing w:after="0"/>
              <w:rPr>
                <w:sz w:val="20"/>
                <w:szCs w:val="20"/>
                <w:color w:val="auto"/>
              </w:rPr>
            </w:pPr>
            <w:r>
              <w:rPr>
                <w:rFonts w:ascii="Arial" w:cs="Arial" w:eastAsia="Arial" w:hAnsi="Arial"/>
                <w:sz w:val="16"/>
                <w:szCs w:val="16"/>
                <w:color w:val="auto"/>
              </w:rPr>
              <w:t>112,699</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FF0FC"/>
          </w:tcPr>
          <w:p>
            <w:pPr>
              <w:spacing w:after="0"/>
              <w:rPr>
                <w:sz w:val="19"/>
                <w:szCs w:val="19"/>
                <w:color w:val="auto"/>
              </w:rPr>
            </w:pPr>
          </w:p>
        </w:tc>
      </w:tr>
      <w:tr>
        <w:trPr>
          <w:trHeight w:val="247"/>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as of March 31, 2020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461,363</w:t>
            </w:r>
          </w:p>
        </w:tc>
        <w:tc>
          <w:tcPr>
            <w:tcW w:w="100" w:type="dxa"/>
            <w:vAlign w:val="bottom"/>
            <w:tcBorders>
              <w:bottom w:val="single" w:sz="8" w:color="CFF0FC"/>
            </w:tcBorders>
          </w:tcPr>
          <w:p>
            <w:pPr>
              <w:spacing w:after="0"/>
              <w:rPr>
                <w:sz w:val="21"/>
                <w:szCs w:val="21"/>
                <w:color w:val="auto"/>
              </w:rPr>
            </w:pPr>
          </w:p>
        </w:tc>
      </w:tr>
      <w:tr>
        <w:trPr>
          <w:trHeight w:val="199"/>
        </w:trPr>
        <w:tc>
          <w:tcPr>
            <w:tcW w:w="92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Stock Option Activity: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2019</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913,569</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Granted</w:t>
            </w:r>
          </w:p>
        </w:tc>
        <w:tc>
          <w:tcPr>
            <w:tcW w:w="1880" w:type="dxa"/>
            <w:vAlign w:val="bottom"/>
          </w:tcPr>
          <w:p>
            <w:pPr>
              <w:jc w:val="right"/>
              <w:spacing w:after="0"/>
              <w:rPr>
                <w:sz w:val="20"/>
                <w:szCs w:val="20"/>
                <w:color w:val="auto"/>
              </w:rPr>
            </w:pPr>
            <w:r>
              <w:rPr>
                <w:rFonts w:ascii="Arial" w:cs="Arial" w:eastAsia="Arial" w:hAnsi="Arial"/>
                <w:sz w:val="16"/>
                <w:szCs w:val="16"/>
                <w:color w:val="auto"/>
              </w:rPr>
              <w:t>37,500</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Forfeited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FF0FC"/>
            </w:tcBorders>
          </w:tcPr>
          <w:p>
            <w:pPr>
              <w:spacing w:after="0"/>
              <w:rPr>
                <w:sz w:val="18"/>
                <w:szCs w:val="18"/>
                <w:color w:val="auto"/>
              </w:rPr>
            </w:pPr>
          </w:p>
        </w:tc>
      </w:tr>
      <w:tr>
        <w:trPr>
          <w:trHeight w:val="210"/>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March 31, 2020</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921,069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March 31, 2020, the Company acquired for treasury 24,715 shares of Common Stock for an aggregate purchase price of $0.2 million from its employees to cover their tax withholding obligations upon the lapsing of restrictions on share awards. These shares were purchased in accordance with the terms of the Company’s 2017 Equity Incentive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1" w:name="page22"/>
    <w:bookmarkEnd w:id="21"/>
    <w:p>
      <w:pPr>
        <w:ind w:left="920" w:hanging="912"/>
        <w:spacing w:after="0"/>
        <w:tabs>
          <w:tab w:leader="none" w:pos="92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Company’s segment presentation and basis of measurement of segment profit or loss are as previously described in the 2019 Annual Report. Certain reclassifications of prior period information have been made to conform the current period’s reportable segment presentation as a result of the Company’s presentation of Discontinued Operations (see “Note 15. Discontinued Operations”). The following tables summarize the operating results, capital expenditures and assets of the Company’s reportable segments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Continuing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Africa)</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America</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2020</w:t>
            </w:r>
          </w:p>
        </w:tc>
        <w:tc>
          <w:tcPr>
            <w:tcW w:w="5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Operating Revenues: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5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5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5,374</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5,888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5,029</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1,543</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5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5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5,358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2,604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3,790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899</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2,350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Gain on Asset Dispositions and Impairments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(12,572)</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(24,622)</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2020</w:t>
            </w:r>
          </w:p>
        </w:tc>
        <w:tc>
          <w:tcPr>
            <w:tcW w:w="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199,242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281,767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74,308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930,264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(120,599)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(52,225)</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(67,829)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(17,271)</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(54,987)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(312,911)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135,460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147,017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213,938</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57,037</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63,901</w:t>
            </w:r>
          </w:p>
        </w:tc>
        <w:tc>
          <w:tcPr>
            <w:tcW w:w="120" w:type="dxa"/>
            <w:vAlign w:val="bottom"/>
          </w:tcPr>
          <w:p>
            <w:pPr>
              <w:spacing w:after="0"/>
              <w:rPr>
                <w:sz w:val="19"/>
                <w:szCs w:val="19"/>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617,353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720" w:type="dxa"/>
            <w:vAlign w:val="bottom"/>
            <w:vMerge w:val="continue"/>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158,660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106,412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$130,403 as of March 31, 2020</w:t>
      </w:r>
      <w:r>
        <w:rPr>
          <w:rFonts w:ascii="Arial" w:cs="Arial" w:eastAsia="Arial" w:hAnsi="Arial"/>
          <w:sz w:val="17"/>
          <w:szCs w:val="17"/>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Continuing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Africa)</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America</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2019</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Operating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4,620</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FF0FC"/>
            </w:tcBorders>
          </w:tcPr>
          <w:p>
            <w:pPr>
              <w:spacing w:after="0"/>
              <w:rPr>
                <w:sz w:val="18"/>
                <w:szCs w:val="18"/>
                <w:color w:val="auto"/>
              </w:rPr>
            </w:pPr>
          </w:p>
        </w:tc>
        <w:tc>
          <w:tcPr>
            <w:tcW w:w="4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8,462</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84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(1,503)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3,985</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3,646</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1,942</w:t>
            </w:r>
          </w:p>
        </w:tc>
        <w:tc>
          <w:tcPr>
            <w:tcW w:w="12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4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5,498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2,356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4,249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1,936</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on Asset Dispositions and Impairments</w:t>
            </w:r>
          </w:p>
        </w:tc>
        <w:tc>
          <w:tcPr>
            <w:tcW w:w="4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2019</w:t>
            </w:r>
          </w:p>
        </w:tc>
        <w:tc>
          <w:tcPr>
            <w:tcW w:w="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416,559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119,699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1,168,104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(223,720)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(59,652)</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(85,627)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(60,444)</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(48,796)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(478,239)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192,839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147,515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224,670</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59,255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65,586</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689,865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40" w:type="dxa"/>
            <w:vAlign w:val="bottom"/>
            <w:vMerge w:val="continue"/>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330,938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160,624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266,007</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128,421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91,047</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977,037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$135,312 as of March 31, 2019</w:t>
      </w:r>
      <w:r>
        <w:rPr>
          <w:rFonts w:ascii="Arial" w:cs="Arial" w:eastAsia="Arial" w:hAnsi="Arial"/>
          <w:sz w:val="17"/>
          <w:szCs w:val="17"/>
          <w:color w:val="auto"/>
        </w:rPr>
        <w:t>.</w:t>
      </w:r>
    </w:p>
    <w:p>
      <w:pPr>
        <w:spacing w:after="0" w:line="22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March 31, 2020 and 2019, the Company’s investments, at equity and advances to 50% or less owned companies in its other 50% or less owned companies were $125.0 million and $124.7 million, respectively. Equity in (losses) earnings of 50% or less owned companies for the three months ended March 31, 2020 and 2019 were ($0.2) million and ($3.4)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ind w:left="920" w:hanging="912"/>
        <w:spacing w:after="0"/>
        <w:tabs>
          <w:tab w:leader="none" w:pos="9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On December 2, 2019, the Company completed the sale of its North Sea standby safety business, which was previously classified as assets held for sale. Following the completion of the sale, the Company has no continuing involvement in this business, which is considered a strategic shift in the Company’s operations. Summarized selected operating result of the Company’s assets, previously classified as held for sale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Boston Putford Offshore Safety Ltd</w:t>
            </w:r>
          </w:p>
        </w:tc>
        <w:tc>
          <w:tcPr>
            <w:tcW w:w="20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Operating Revenues:</w:t>
            </w:r>
          </w:p>
        </w:tc>
        <w:tc>
          <w:tcPr>
            <w:tcW w:w="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00" w:type="dxa"/>
            <w:vAlign w:val="bottom"/>
            <w:tcBorders>
              <w:bottom w:val="single" w:sz="8" w:color="auto"/>
            </w:tcBorders>
            <w:shd w:val="clear" w:color="auto" w:fill="CFF0FC"/>
          </w:tcPr>
          <w:p>
            <w:pPr>
              <w:spacing w:after="0"/>
              <w:rPr>
                <w:sz w:val="19"/>
                <w:szCs w:val="19"/>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20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2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 Net</w:t>
            </w: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auto"/>
            </w:tcBorders>
            <w:shd w:val="clear" w:color="auto" w:fill="CFF0FC"/>
          </w:tcPr>
          <w:p>
            <w:pPr>
              <w:spacing w:after="0"/>
              <w:rPr>
                <w:sz w:val="18"/>
                <w:szCs w:val="18"/>
                <w:color w:val="auto"/>
              </w:rPr>
            </w:pPr>
          </w:p>
        </w:tc>
        <w:tc>
          <w:tcPr>
            <w:tcW w:w="2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282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w:t>
            </w:r>
          </w:p>
        </w:tc>
        <w:tc>
          <w:tcPr>
            <w:tcW w:w="200" w:type="dxa"/>
            <w:vAlign w:val="bottom"/>
            <w:shd w:val="clear" w:color="auto" w:fill="CFF0FC"/>
          </w:tcPr>
          <w:p>
            <w:pPr>
              <w:spacing w:after="0"/>
              <w:rPr>
                <w:sz w:val="18"/>
                <w:szCs w:val="18"/>
                <w:color w:val="auto"/>
              </w:rPr>
            </w:pPr>
          </w:p>
        </w:tc>
        <w:tc>
          <w:tcPr>
            <w:tcW w:w="2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8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Before Equity Earnings of 50% or Less Owned Companies, Net of Tax</w:t>
            </w:r>
          </w:p>
        </w:tc>
        <w:tc>
          <w:tcPr>
            <w:tcW w:w="20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Before Equity Earnings of 50% or Less Owned Companies</w:t>
            </w:r>
          </w:p>
        </w:tc>
        <w:tc>
          <w:tcPr>
            <w:tcW w:w="200" w:type="dxa"/>
            <w:vAlign w:val="bottom"/>
            <w:shd w:val="clear" w:color="auto" w:fill="CFF0FC"/>
          </w:tcPr>
          <w:p>
            <w:pPr>
              <w:spacing w:after="0"/>
              <w:rPr>
                <w:sz w:val="18"/>
                <w:szCs w:val="18"/>
                <w:color w:val="auto"/>
              </w:rPr>
            </w:pPr>
          </w:p>
        </w:tc>
        <w:tc>
          <w:tcPr>
            <w:tcW w:w="2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Equity in Earnings of 50% or Less Owned Companies, Net of Tax</w:t>
            </w:r>
          </w:p>
        </w:tc>
        <w:tc>
          <w:tcPr>
            <w:tcW w:w="200" w:type="dxa"/>
            <w:vAlign w:val="bottom"/>
            <w:tcBorders>
              <w:top w:val="single" w:sz="8" w:color="auto"/>
              <w:bottom w:val="single" w:sz="8" w:color="auto"/>
            </w:tcBorders>
          </w:tcPr>
          <w:p>
            <w:pPr>
              <w:spacing w:after="0"/>
              <w:rPr>
                <w:sz w:val="17"/>
                <w:szCs w:val="17"/>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from Discontinued Operations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2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 w:name="page25"/>
    <w:bookmarkEnd w:id="24"/>
    <w:p>
      <w:pPr>
        <w:jc w:val="both"/>
        <w:ind w:left="1500" w:hanging="1484"/>
        <w:spacing w:after="0" w:line="257" w:lineRule="auto"/>
        <w:tabs>
          <w:tab w:leader="none" w:pos="14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2"/>
          <w:szCs w:val="22"/>
          <w:b w:val="1"/>
          <w:bCs w:val="1"/>
          <w:color w:val="auto"/>
        </w:rPr>
        <w:t>MANAGEMENT’S DISCUSSION AND ANALYSIS OF FINANCIAL CONDITION AND RESULTS OF OPERATIONS</w:t>
      </w:r>
    </w:p>
    <w:p>
      <w:pPr>
        <w:spacing w:after="0" w:line="12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of the Company’s 2019 Annual Report.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The following analysis of our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the 2019 Annual Report.</w:t>
      </w:r>
    </w:p>
    <w:p>
      <w:pPr>
        <w:spacing w:after="0" w:line="9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Company provides global marine and support transportation services to offshore oil, natural gas exploration and windfarm development and production facilities worldwide. As of March 31, 2020, the Company and its joint ventures operated a diverse fleet of 147 support and specialty vessels, of which 97 were owned or leased-in, 47 were joint ventured and three were managed on behalf of unaffiliated third 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5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CTVs used primarily in windfarm operations.</w:t>
      </w:r>
    </w:p>
    <w:p>
      <w:pPr>
        <w:spacing w:after="0" w:line="11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Company operates its fleet in five principal geographic regions: the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also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22"/>
          <w:szCs w:val="22"/>
          <w:color w:val="auto"/>
        </w:rPr>
        <w:t>in rates per day worked and utilization. The Company manages its fleet utilizing a global network of shore side support, administrative and finance personnel.</w:t>
      </w:r>
    </w:p>
    <w:p>
      <w:pPr>
        <w:spacing w:after="0" w:line="14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In the recent months, oil prices have experienced record declines in response to a significant amount of anticipated oversupply in oil and natural gas caused by (i) the COVID-19 pandemic that began in late 2019 and has led to a substantial decrease in global economic activity and (ii) supply decisions principally by Russia and Saudi Arabia resulting in failure to agree on terms to maintain production limits and the ensuing influx of additional oil to an already oversupplied market. These recent declines in oil and natural gas prices come on top of prices that have, for the last few years, been below historic averages. On January 2, 2020, West Texas Intermediate (“WTI”) crude oil prices closed at a price of $61.18 per barrel. By March 31, 2020, the last trading date of the first quarter of 2020, WTI crude oil prices closed at a price of $20.48 per barrel and on April 20, 2020, the New York Mercantile Exchange (“NYMEX”) WTI oil futures price for May 2020 went “negative” to -$37.63 per barrel. While OPEC+ members have implemented production cuts, the cuts have failed to have a material positive affect on oil and natural gas prices. To the extent that the outbreak of COVID-19 continues to negatively impact demand, the Company expects there to be excess supply of oil and natural gas for the foreseeable future. This excess supply could, in turn, result in transportation and storage capacity constraints in the United States, or even the elimination of available storage.</w:t>
      </w:r>
    </w:p>
    <w:p>
      <w:pPr>
        <w:spacing w:after="0" w:line="13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Company’s business is, to a large extent, tied to the level of offshore exploration, development and production activity by oil and gas companies around the world. Although the decrease in oil and natural gas prices has not had a material effect on our business to date, to the extent that oil and gas companies decide to abandon or delay offshore oil and gas projects due to the lower demand for oil and natural gas and resulting lower prices, it could have a material adverse effect on our business and financial condition.</w:t>
      </w:r>
    </w:p>
    <w:p>
      <w:pPr>
        <w:spacing w:after="0" w:line="1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There are a number of steps the Company can take to mitigate any adverse effects to its business stemming from the COVID-19 pandemic and the resulting depressed oil and natural gas price environment, including sales of assets, workforce reductions and other cost reduction measures. In addition, we expect to receive a meaningful amount of tax refunds over the next 12 months as a result of the changes in the current U.S. tax law included in the CARES Act.</w:t>
      </w:r>
    </w:p>
    <w:p>
      <w:pPr>
        <w:spacing w:after="0" w:line="13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Certain macro drivers somewhat independent of oil and natural gas prices have the ability to continue to support the Company’s business, including: (i) underspending by oil and gas producers during the current industry downturn leading to pent up demand for maintenance and growth capital expenditures; and (ii) improved extraction technologies. While alternative forms of energy may gain a foothold in the long term, for the foreseeable future, the Company believes demand for gasoline and oil will be sustained, as well as demand for electricity from natural gas.</w:t>
      </w:r>
    </w:p>
    <w:p>
      <w:pPr>
        <w:spacing w:after="0" w:line="16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5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9"/>
          <w:szCs w:val="19"/>
          <w:color w:val="auto"/>
        </w:rPr>
        <w:t>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March 31, 2020, 12 of the Company’s 97 owned and leased-in, in-service vessels were cold-stacked worldwide, and an additional one owned vessel was retired and removed from service.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17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i w:val="1"/>
          <w:iCs w:val="1"/>
          <w:u w:val="single" w:color="auto"/>
          <w:color w:val="auto"/>
        </w:rPr>
        <w:t>Amendment of Falcon Global Credit Agreement</w:t>
      </w:r>
      <w:r>
        <w:rPr>
          <w:rFonts w:ascii="Arial" w:cs="Arial" w:eastAsia="Arial" w:hAnsi="Arial"/>
          <w:sz w:val="22"/>
          <w:szCs w:val="22"/>
          <w:color w:val="auto"/>
        </w:rPr>
        <w:t>. On February 7, 2020, SEACOR Marine, FGUSA, and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subsidiaries of FGUSA, entered into an Omnibus Amendment to that certain (i) Credit Facility and (ii) Guaranty. The Omnibus Amendment provides for, among other things (i) the extension from March 2020 to March 2021 of the commencement of monthly repayment of the term loan, with payments being the lesser of (a) $0.8 million per month and (b) the amount outstanding under the term loan and (ii) the extension of the term of the Guaranty for an additional one year from February 8, 2020 to February 8, 2021.</w:t>
      </w:r>
    </w:p>
    <w:p>
      <w:pPr>
        <w:spacing w:after="0" w:line="14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 April 29, 2020, FGUSA and certain subsidiaries of FGUSA, entered into the Sixth Consent and Agreement, which provides that, among other things, (i) the deadline for delivery of the FGUSA 2019 Audited Financial Statements is extended from April 29, 2020 to May 31, 2020, (ii) the FGUSA 2019 Audited Financial Statements are not required to be without a “going concern” or like qualification, commentary or exception, and (iii) the deadline for delivery of certain physical vessel appraisals is extended to December 31, 2020.</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b w:val="1"/>
          <w:bCs w:val="1"/>
          <w:i w:val="1"/>
          <w:iCs w:val="1"/>
          <w:u w:val="single" w:color="auto"/>
          <w:color w:val="auto"/>
        </w:rPr>
        <w:t>Sale of North Sea Standby Safety Fleet</w:t>
      </w:r>
      <w:r>
        <w:rPr>
          <w:rFonts w:ascii="Arial" w:cs="Arial" w:eastAsia="Arial" w:hAnsi="Arial"/>
          <w:sz w:val="19"/>
          <w:szCs w:val="19"/>
          <w:color w:val="auto"/>
        </w:rPr>
        <w:t>. On December 2, 2019, SEACOR Capital (UK) Limited, an indirect wholly-owned subsidiary of SEACOR Marine (“SEACAP”), completed the sale of its standby safety fleet business, which we refer to as the emergency response and rescue vessel (“ERRV”) fleet. Unless the context indicates otherwise, all of the results presented in this Quarterly Report on Form 10-Q exclude the ERRV fleet operations which are classified as discontinued operations.</w:t>
      </w:r>
    </w:p>
    <w:p>
      <w:pPr>
        <w:spacing w:after="0" w:line="10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i w:val="1"/>
          <w:iCs w:val="1"/>
          <w:u w:val="single" w:color="auto"/>
          <w:color w:val="auto"/>
        </w:rPr>
        <w:t>Costs and Restructuring Initiatives</w:t>
      </w:r>
      <w:r>
        <w:rPr>
          <w:rFonts w:ascii="Arial" w:cs="Arial" w:eastAsia="Arial" w:hAnsi="Arial"/>
          <w:sz w:val="21"/>
          <w:szCs w:val="21"/>
          <w:color w:val="auto"/>
        </w:rPr>
        <w:t>. During the third quarter of 2019, the Company initiated certain cost reduction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initiatives to better align its operating expenses with the current state of its business and the offshore marine industry, including a reduction of workforce, reorganization of the management structure, closure and/or consolidation of certain facilities and streamlining of operations. The Company expects these initiatives, which will impact all of its reportable segments, to be completed by the second quarter of 2020 and is targeting annualized recurring savings of at least $8.0 million once completed. For the three months ended March 31, 2020, the Company incurred one-time restructuring charges totaling $0.5 million related to these restructuring activities.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sections below provide an analysis of the Company’s results of operations for the three months (“Current Year Quarter”) ended March 31, 2020 compared with the three months (“Prior Year Quarter”) ended March 31, 2019. For the periods indicated, the Company’s consolidated results of operations were as follows (in thousands, except statistics):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Average Rates Per Day Worked (excluding crew transfer)</w:t>
            </w:r>
          </w:p>
        </w:tc>
        <w:tc>
          <w:tcPr>
            <w:tcW w:w="680" w:type="dxa"/>
            <w:vAlign w:val="bottom"/>
            <w:gridSpan w:val="2"/>
          </w:tcPr>
          <w:p>
            <w:pPr>
              <w:jc w:val="right"/>
              <w:ind w:right="30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11,157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9,796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6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7,163</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Fleet Utilization (excluding crew transfer)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57%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w:t>
            </w: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Fleet Available Days (excluding crew transfer)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5,210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6,496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8,668</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Operating Revenues: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6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39,290</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94%</w:t>
            </w: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40,819</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724</w:t>
            </w: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1,143</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1,729</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2,948</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41,743</w:t>
            </w:r>
          </w:p>
        </w:tc>
        <w:tc>
          <w:tcPr>
            <w:tcW w:w="3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44,910</w:t>
            </w:r>
          </w:p>
        </w:tc>
        <w:tc>
          <w:tcPr>
            <w:tcW w:w="30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13,706</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16,623</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4,804</w:t>
            </w: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7,584</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64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939</w:t>
            </w: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1,414</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2,067</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3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w:t>
            </w:r>
          </w:p>
        </w:tc>
        <w:tc>
          <w:tcPr>
            <w:tcW w:w="3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24,620</w:t>
            </w: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3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64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10,765</w:t>
            </w: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10,812</w:t>
            </w:r>
          </w:p>
        </w:tc>
        <w:tc>
          <w:tcPr>
            <w:tcW w:w="3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15,001</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16,097</w:t>
            </w: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Lease expense - operating</w:t>
            </w:r>
          </w:p>
        </w:tc>
        <w:tc>
          <w:tcPr>
            <w:tcW w:w="2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3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w:t>
            </w:r>
          </w:p>
        </w:tc>
        <w:tc>
          <w:tcPr>
            <w:tcW w:w="3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6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53,793</w:t>
            </w: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129%</w:t>
            </w: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66,212</w:t>
            </w:r>
          </w:p>
        </w:tc>
        <w:tc>
          <w:tcPr>
            <w:tcW w:w="3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7"/>
        </w:trPr>
        <w:tc>
          <w:tcPr>
            <w:tcW w:w="6440" w:type="dxa"/>
            <w:vAlign w:val="bottom"/>
          </w:tcPr>
          <w:p>
            <w:pPr>
              <w:spacing w:after="0"/>
              <w:rPr>
                <w:sz w:val="20"/>
                <w:szCs w:val="20"/>
                <w:color w:val="auto"/>
              </w:rPr>
            </w:pPr>
            <w:r>
              <w:rPr>
                <w:rFonts w:ascii="Arial" w:cs="Arial" w:eastAsia="Arial" w:hAnsi="Arial"/>
                <w:sz w:val="16"/>
                <w:szCs w:val="16"/>
                <w:color w:val="auto"/>
              </w:rPr>
              <w:t>Gains (Loss) on Asset Dispositions and Impairments, Net</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(12,572)</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w:t>
            </w:r>
          </w:p>
        </w:tc>
        <w:tc>
          <w:tcPr>
            <w:tcW w:w="3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(59%)</w:t>
            </w: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line="20" w:lineRule="exact"/>
              <w:rPr>
                <w:sz w:val="1"/>
                <w:szCs w:val="1"/>
                <w:color w:val="auto"/>
              </w:rPr>
            </w:pPr>
          </w:p>
        </w:tc>
      </w:tr>
      <w:tr>
        <w:trPr>
          <w:trHeight w:val="213"/>
        </w:trPr>
        <w:tc>
          <w:tcPr>
            <w:tcW w:w="6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(24,622)</w:t>
            </w:r>
          </w:p>
        </w:tc>
        <w:tc>
          <w:tcPr>
            <w:tcW w:w="78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(21,034)</w:t>
            </w:r>
          </w:p>
        </w:tc>
        <w:tc>
          <w:tcPr>
            <w:tcW w:w="6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(1,799)</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(7,594)</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7"/>
              </w:rPr>
              <w:t>Loss Before from Continuing Operations Before Income Tax Benefit and Equity in Earnings of</w:t>
            </w:r>
          </w:p>
        </w:tc>
        <w:tc>
          <w:tcPr>
            <w:tcW w:w="2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50% or Less Owned Companies</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(26,421)</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(63%)</w:t>
            </w:r>
          </w:p>
        </w:tc>
        <w:tc>
          <w:tcPr>
            <w:tcW w:w="4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(28,628)</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(6,668)</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(3,831)</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5"/>
              </w:rPr>
              <w:t>Loss from Continuing Operations Before Equity in Earnings of 50% or Less Owned Companies</w:t>
            </w: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(47%)</w:t>
            </w: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line="20" w:lineRule="exact"/>
              <w:rPr>
                <w:sz w:val="1"/>
                <w:szCs w:val="1"/>
                <w:color w:val="auto"/>
              </w:rPr>
            </w:pPr>
          </w:p>
        </w:tc>
      </w:tr>
      <w:tr>
        <w:trPr>
          <w:trHeight w:val="213"/>
        </w:trPr>
        <w:tc>
          <w:tcPr>
            <w:tcW w:w="6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(19,753)</w:t>
            </w:r>
          </w:p>
        </w:tc>
        <w:tc>
          <w:tcPr>
            <w:tcW w:w="78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(24,797)</w:t>
            </w:r>
          </w:p>
        </w:tc>
        <w:tc>
          <w:tcPr>
            <w:tcW w:w="6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Equity in Losses of 50% or Less Owned Companies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(239)</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(3,476)</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(48%)</w:t>
            </w: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line="20" w:lineRule="exact"/>
              <w:rPr>
                <w:sz w:val="1"/>
                <w:szCs w:val="1"/>
                <w:color w:val="auto"/>
              </w:rPr>
            </w:pPr>
          </w:p>
        </w:tc>
      </w:tr>
      <w:tr>
        <w:trPr>
          <w:trHeight w:val="213"/>
        </w:trPr>
        <w:tc>
          <w:tcPr>
            <w:tcW w:w="6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(19,992)</w:t>
            </w:r>
          </w:p>
        </w:tc>
        <w:tc>
          <w:tcPr>
            <w:tcW w:w="78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(28,273)</w:t>
            </w:r>
          </w:p>
        </w:tc>
        <w:tc>
          <w:tcPr>
            <w:tcW w:w="6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Gain from Assets Held for Sale, Net of Tax</w:t>
            </w:r>
          </w:p>
        </w:tc>
        <w:tc>
          <w:tcPr>
            <w:tcW w:w="2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(19,992)</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w:t>
            </w:r>
          </w:p>
        </w:tc>
        <w:tc>
          <w:tcPr>
            <w:tcW w:w="4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(28,273)</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6"/>
                <w:szCs w:val="16"/>
                <w:color w:val="auto"/>
              </w:rPr>
              <w:t>Net Gain (Loss) attributable to Noncontrolling Interests in Subsidiaries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(4,047)</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(2,724)</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(38%)</w:t>
            </w: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(15,945)</w:t>
            </w:r>
          </w:p>
        </w:tc>
        <w:tc>
          <w:tcPr>
            <w:tcW w:w="78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(25,549)</w:t>
            </w:r>
          </w:p>
        </w:tc>
        <w:tc>
          <w:tcPr>
            <w:tcW w:w="6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Direct Vessel Profit. </w:t>
      </w:r>
      <w:r>
        <w:rPr>
          <w:rFonts w:ascii="Arial" w:cs="Arial" w:eastAsia="Arial" w:hAnsi="Arial"/>
          <w:sz w:val="21"/>
          <w:szCs w:val="21"/>
          <w:color w:val="auto"/>
        </w:rPr>
        <w:t>Direct vessel profit (defined as operating revenues less operating expenses excluding leased-in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and interest expense for owned vessel vs. lease expense for leased-in vessels). DVP is also useful when comparing the Company’s fleet’s performance against those of its competitors who may have differing fleet financing structures.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ind w:firstLine="749"/>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United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12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Africa</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(primarily</w:t>
            </w: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Middle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Europe,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Gulf of</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West</w:t>
            </w: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East</w:t>
            </w:r>
          </w:p>
        </w:tc>
        <w:tc>
          <w:tcPr>
            <w:tcW w:w="10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Continuing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Mexico)</w:t>
            </w: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Africa)</w:t>
            </w:r>
          </w:p>
        </w:tc>
        <w:tc>
          <w:tcPr>
            <w:tcW w:w="10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and Asia</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America</w:t>
            </w: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Operations</w:t>
            </w: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2020</w:t>
            </w:r>
          </w:p>
        </w:tc>
        <w:tc>
          <w:tcPr>
            <w:tcW w:w="7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9,249</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9,397</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Operating Revenues: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7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11,262</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5,374</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7,158</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4,746</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24,620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401</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5,888</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5,029</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1,543</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4,262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17,123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7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2,138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1,126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7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5,358</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2,604</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3,790</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899</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2,350</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29,173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6"/>
                <w:szCs w:val="16"/>
                <w:color w:val="auto"/>
              </w:rPr>
              <w:t>Gain on Asset Dispositions and Impairments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(12,572)</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(24,622)</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2020</w:t>
            </w: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Property and Equipment:</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500"/>
              <w:spacing w:after="0"/>
              <w:rPr>
                <w:sz w:val="20"/>
                <w:szCs w:val="20"/>
                <w:color w:val="auto"/>
              </w:rPr>
            </w:pPr>
            <w:r>
              <w:rPr>
                <w:rFonts w:ascii="Arial" w:cs="Arial" w:eastAsia="Arial" w:hAnsi="Arial"/>
                <w:sz w:val="16"/>
                <w:szCs w:val="16"/>
                <w:color w:val="auto"/>
              </w:rPr>
              <w:t>Historical Cost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256,059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199,242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281,767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118,888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930,264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Accumulated Depreciation</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(120,599)</w:t>
            </w:r>
          </w:p>
        </w:tc>
        <w:tc>
          <w:tcPr>
            <w:tcW w:w="12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(52,225)</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(67,829)</w:t>
            </w: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(17,271)</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(54,987)</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(312,911)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135,460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147,017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213,938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57,037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63,901</w:t>
            </w:r>
          </w:p>
        </w:tc>
        <w:tc>
          <w:tcPr>
            <w:tcW w:w="2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617,353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80" w:type="dxa"/>
            <w:vAlign w:val="bottom"/>
            <w:vMerge w:val="continue"/>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189,249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158,660</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134,171</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106,412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833,771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of $130,403 as of March 31,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Europe,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Latin</w:t>
            </w: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Continuing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America</w:t>
            </w: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Operations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2019</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8,386</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2,339</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8,005</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12,499</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40,819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44,910</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8,462</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4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(1,503)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1,674</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3,985</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3,646</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1,942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2,911</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5,498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2,356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4,249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1,936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2,058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31,046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(21,034)</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2019</w:t>
            </w: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416,559</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207,167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310,297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119,699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114,382</w:t>
            </w:r>
          </w:p>
        </w:tc>
        <w:tc>
          <w:tcPr>
            <w:tcW w:w="200" w:type="dxa"/>
            <w:vAlign w:val="bottom"/>
          </w:tcPr>
          <w:p>
            <w:pPr>
              <w:spacing w:after="0"/>
              <w:rPr>
                <w:sz w:val="18"/>
                <w:szCs w:val="18"/>
                <w:color w:val="auto"/>
              </w:rPr>
            </w:pPr>
          </w:p>
        </w:tc>
        <w:tc>
          <w:tcPr>
            <w:tcW w:w="2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1,168,104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(223,720)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(59,652)</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(85,627)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(60,444)</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(48,796)</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(478,239)</w:t>
            </w:r>
          </w:p>
        </w:tc>
        <w:tc>
          <w:tcPr>
            <w:tcW w:w="0" w:type="dxa"/>
            <w:vAlign w:val="bottom"/>
          </w:tcPr>
          <w:p>
            <w:pPr>
              <w:spacing w:after="0"/>
              <w:rPr>
                <w:sz w:val="1"/>
                <w:szCs w:val="1"/>
                <w:color w:val="auto"/>
              </w:rPr>
            </w:pPr>
          </w:p>
        </w:tc>
      </w:tr>
      <w:tr>
        <w:trPr>
          <w:trHeight w:val="249"/>
        </w:trPr>
        <w:tc>
          <w:tcPr>
            <w:tcW w:w="4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192,839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147,515</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224,670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59,255</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65,586</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689,865</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10"/>
                <w:szCs w:val="10"/>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330,938</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160,624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266,007</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128,421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91,047</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977,037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Total assets by region does not include corporate assets of $135,312 as of March 31, 2019.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ind w:firstLine="749"/>
        <w:spacing w:after="0" w:line="251"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Anchor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9"/>
              </w:rPr>
              <w:t>handling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0"/>
              </w:rPr>
              <w:t>towing</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Fast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supply</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9"/>
              </w:rPr>
              <w:t>support</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10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Specialty</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9"/>
              </w:rPr>
              <w:t>Transfer</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6"/>
              </w:rPr>
              <w:t>activity</w:t>
            </w: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2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March 31, 2020</w:t>
            </w: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8,012</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8,472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7,360</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27,513</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2,375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7,163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79%</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709</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433</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8,668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2,225</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16,284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2,520</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12,339</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5,922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39,290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8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559</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FF0FC"/>
          </w:tcPr>
          <w:p>
            <w:pPr>
              <w:spacing w:after="0"/>
              <w:rPr>
                <w:sz w:val="15"/>
                <w:szCs w:val="15"/>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(69)</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2,784</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16,653</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2,451</w:t>
            </w:r>
          </w:p>
        </w:tc>
        <w:tc>
          <w:tcPr>
            <w:tcW w:w="2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12,589</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6,237</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1,029</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41,743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892</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1,206</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2,592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13,706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2,278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1,056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679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(303)</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50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397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(251)</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1,842</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9,209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2,137</w:t>
            </w: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7,370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4,063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(168)</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24,620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5"/>
                <w:szCs w:val="15"/>
                <w:b w:val="1"/>
                <w:bCs w:val="1"/>
                <w:color w:val="auto"/>
              </w:rPr>
              <w:t>Direct Vessel Profit (Loss)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942</w:t>
            </w:r>
          </w:p>
        </w:tc>
        <w:tc>
          <w:tcPr>
            <w:tcW w:w="2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7,444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314</w:t>
            </w:r>
          </w:p>
        </w:tc>
        <w:tc>
          <w:tcPr>
            <w:tcW w:w="260" w:type="dxa"/>
            <w:vAlign w:val="bottom"/>
          </w:tcPr>
          <w:p>
            <w:pPr>
              <w:spacing w:after="0"/>
              <w:rPr>
                <w:sz w:val="18"/>
                <w:szCs w:val="18"/>
                <w:color w:val="auto"/>
              </w:rPr>
            </w:pP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(167)</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5,219</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2,174</w:t>
            </w:r>
          </w:p>
        </w:tc>
        <w:tc>
          <w:tcPr>
            <w:tcW w:w="2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1,197</w:t>
            </w:r>
          </w:p>
        </w:tc>
        <w:tc>
          <w:tcPr>
            <w:tcW w:w="260" w:type="dxa"/>
            <w:vAlign w:val="bottom"/>
          </w:tcPr>
          <w:p>
            <w:pPr>
              <w:spacing w:after="0"/>
              <w:rPr>
                <w:sz w:val="18"/>
                <w:szCs w:val="18"/>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17,123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1,216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1,497</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342</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3,407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10,765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5,118</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787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128</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6,128</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1,717</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562</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15,001</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29,173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line="169" w:lineRule="exact"/>
              <w:rPr>
                <w:sz w:val="20"/>
                <w:szCs w:val="20"/>
                <w:color w:val="auto"/>
              </w:rPr>
            </w:pPr>
            <w:r>
              <w:rPr>
                <w:rFonts w:ascii="Arial" w:cs="Arial" w:eastAsia="Arial" w:hAnsi="Arial"/>
                <w:sz w:val="15"/>
                <w:szCs w:val="15"/>
                <w:color w:val="auto"/>
              </w:rPr>
              <w:t>Gain on Asset Dispositions and Impairments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(12,572)</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(24,622)</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2020</w:t>
            </w: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50,189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382,254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61,626</w:t>
            </w:r>
          </w:p>
        </w:tc>
        <w:tc>
          <w:tcPr>
            <w:tcW w:w="2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6,940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327,028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77,867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24,360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930,264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(30,289)</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(98,219)</w:t>
            </w:r>
          </w:p>
        </w:tc>
        <w:tc>
          <w:tcPr>
            <w:tcW w:w="1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(9,258)</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(3,079)</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6"/>
              </w:rPr>
              <w:t>(101,114)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(52,951)</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(18,001)</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(312,911)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19,900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284,035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52,368</w:t>
            </w:r>
          </w:p>
        </w:tc>
        <w:tc>
          <w:tcPr>
            <w:tcW w:w="2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3,861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225,914</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24,916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6,359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617,353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Anchor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2"/>
              </w:rPr>
              <w:t>handling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towing</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Fast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Crew</w:t>
            </w:r>
          </w:p>
        </w:tc>
        <w:tc>
          <w:tcPr>
            <w:tcW w:w="120" w:type="dxa"/>
            <w:vAlign w:val="bottom"/>
          </w:tcPr>
          <w:p>
            <w:pPr>
              <w:spacing w:after="0"/>
              <w:rPr>
                <w:sz w:val="14"/>
                <w:szCs w:val="14"/>
                <w:color w:val="auto"/>
              </w:rPr>
            </w:pPr>
          </w:p>
        </w:tc>
        <w:tc>
          <w:tcPr>
            <w:tcW w:w="900" w:type="dxa"/>
            <w:vAlign w:val="bottom"/>
            <w:gridSpan w:val="2"/>
          </w:tcPr>
          <w:p>
            <w:pPr>
              <w:jc w:val="right"/>
              <w:ind w:right="440"/>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supply</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3"/>
              </w:rPr>
              <w:t>support</w:t>
            </w:r>
          </w:p>
        </w:tc>
        <w:tc>
          <w:tcPr>
            <w:tcW w:w="12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1"/>
              </w:rPr>
              <w:t>Supply</w:t>
            </w:r>
          </w:p>
        </w:tc>
        <w:tc>
          <w:tcPr>
            <w:tcW w:w="100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w w:val="97"/>
              </w:rPr>
              <w:t>Specialty</w:t>
            </w:r>
          </w:p>
        </w:tc>
        <w:tc>
          <w:tcPr>
            <w:tcW w:w="10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Transfer</w:t>
            </w: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1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w w:val="97"/>
              </w:rPr>
              <w:t>For the Three Months Ended March 31, 2019</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8,502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7,609</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17,750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2,325</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7,109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62%</w:t>
            </w: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3,295</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3,420</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5"/>
                <w:szCs w:val="15"/>
                <w:color w:val="auto"/>
              </w:rPr>
              <w:t>Operating Revenues: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2,875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17,083</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13,877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4,802</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40,819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1,143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(251)</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2,217</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16,832</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4,106</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15,957</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5,124</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674</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44,910</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Direct Costs and Expenses: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20"/>
                <w:szCs w:val="20"/>
                <w:color w:val="auto"/>
              </w:rPr>
            </w:pPr>
            <w:r>
              <w:rPr>
                <w:rFonts w:ascii="Arial" w:cs="Arial" w:eastAsia="Arial" w:hAnsi="Arial"/>
                <w:sz w:val="15"/>
                <w:szCs w:val="15"/>
                <w:color w:val="auto"/>
              </w:rPr>
              <w:t>Operating: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Personnel</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5,511</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5,097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2,309</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16,623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60"/>
              <w:spacing w:after="0"/>
              <w:rPr>
                <w:sz w:val="20"/>
                <w:szCs w:val="20"/>
                <w:color w:val="auto"/>
              </w:rPr>
            </w:pPr>
            <w:r>
              <w:rPr>
                <w:rFonts w:ascii="Arial" w:cs="Arial" w:eastAsia="Arial" w:hAnsi="Arial"/>
                <w:sz w:val="15"/>
                <w:szCs w:val="15"/>
                <w:color w:val="auto"/>
              </w:rPr>
              <w:t>Repairs and maintenance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2,337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619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2,828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1,096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7,584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Drydocking</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350</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60"/>
              <w:spacing w:after="0"/>
              <w:rPr>
                <w:sz w:val="20"/>
                <w:szCs w:val="20"/>
                <w:color w:val="auto"/>
              </w:rPr>
            </w:pPr>
            <w:r>
              <w:rPr>
                <w:rFonts w:ascii="Arial" w:cs="Arial" w:eastAsia="Arial" w:hAnsi="Arial"/>
                <w:sz w:val="15"/>
                <w:szCs w:val="15"/>
                <w:color w:val="auto"/>
              </w:rPr>
              <w:t>Insurance and loss reserves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884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Fuel, lubes and supplies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1,102</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592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2,464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1,144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444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(683)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4,169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2,871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12,090</w:t>
            </w: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4,107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12,241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3,811</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(157)</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35,166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line="152" w:lineRule="exact"/>
              <w:rPr>
                <w:sz w:val="20"/>
                <w:szCs w:val="20"/>
                <w:color w:val="auto"/>
              </w:rPr>
            </w:pPr>
            <w:r>
              <w:rPr>
                <w:rFonts w:ascii="Arial" w:cs="Arial" w:eastAsia="Arial" w:hAnsi="Arial"/>
                <w:sz w:val="15"/>
                <w:szCs w:val="15"/>
                <w:b w:val="1"/>
                <w:bCs w:val="1"/>
                <w:color w:val="auto"/>
                <w:w w:val="98"/>
              </w:rPr>
              <w:t>Direct Vessel Profit (Loss), from Continuing</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10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(654)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4,742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(1)</w:t>
            </w: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(203)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3,716</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1,313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1,539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352</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318</w:t>
            </w:r>
          </w:p>
        </w:tc>
        <w:tc>
          <w:tcPr>
            <w:tcW w:w="260" w:type="dxa"/>
            <w:vAlign w:val="bottom"/>
          </w:tcPr>
          <w:p>
            <w:pPr>
              <w:spacing w:after="0"/>
              <w:rPr>
                <w:sz w:val="15"/>
                <w:szCs w:val="15"/>
                <w:color w:val="auto"/>
              </w:rPr>
            </w:pP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1,498</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575</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5,944</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1,036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128</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6,053</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2,031</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330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16,097</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31,046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268</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 for Continuing Operations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(21,034)</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2019</w:t>
            </w: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197,343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434,298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81,407</w:t>
            </w:r>
          </w:p>
        </w:tc>
        <w:tc>
          <w:tcPr>
            <w:tcW w:w="26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25,683</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329,525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75,204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24,644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1,168,104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(169,305)</w:t>
            </w: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(104,524)</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(38,238)</w:t>
            </w:r>
          </w:p>
        </w:tc>
        <w:tc>
          <w:tcPr>
            <w:tcW w:w="16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(20,561)</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(77,938)</w:t>
            </w: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(49,553)</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(18,120)</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(478,239)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28,038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329,774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43,169</w:t>
            </w:r>
          </w:p>
        </w:tc>
        <w:tc>
          <w:tcPr>
            <w:tcW w:w="26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5,122</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251,587</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25,651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6,524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689,865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March 31, 2020 and December 31, 2019 was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10"/>
        </w:trPr>
        <w:tc>
          <w:tcPr>
            <w:tcW w:w="14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040" w:type="dxa"/>
            <w:vAlign w:val="bottom"/>
            <w:tcBorders>
              <w:top w:val="single" w:sz="8" w:color="auto"/>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1440" w:type="dxa"/>
            <w:vAlign w:val="bottom"/>
            <w:shd w:val="clear" w:color="auto" w:fill="CFF0FC"/>
          </w:tcPr>
          <w:p>
            <w:pPr>
              <w:spacing w:after="0"/>
              <w:rPr>
                <w:sz w:val="20"/>
                <w:szCs w:val="20"/>
                <w:color w:val="auto"/>
              </w:rPr>
            </w:pPr>
            <w:r>
              <w:rPr>
                <w:rFonts w:ascii="Arial" w:cs="Arial" w:eastAsia="Arial" w:hAnsi="Arial"/>
                <w:sz w:val="16"/>
                <w:szCs w:val="16"/>
                <w:color w:val="auto"/>
              </w:rPr>
              <w:t>AHTS</w:t>
            </w:r>
          </w:p>
        </w:tc>
        <w:tc>
          <w:tcPr>
            <w:tcW w:w="4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r>
      <w:tr>
        <w:trPr>
          <w:trHeight w:val="213"/>
        </w:trPr>
        <w:tc>
          <w:tcPr>
            <w:tcW w:w="1440" w:type="dxa"/>
            <w:vAlign w:val="bottom"/>
          </w:tcPr>
          <w:p>
            <w:pPr>
              <w:spacing w:after="0"/>
              <w:rPr>
                <w:sz w:val="20"/>
                <w:szCs w:val="20"/>
                <w:color w:val="auto"/>
              </w:rPr>
            </w:pPr>
            <w:r>
              <w:rPr>
                <w:rFonts w:ascii="Arial" w:cs="Arial" w:eastAsia="Arial" w:hAnsi="Arial"/>
                <w:sz w:val="16"/>
                <w:szCs w:val="16"/>
                <w:color w:val="auto"/>
              </w:rPr>
              <w:t>FSV</w:t>
            </w:r>
          </w:p>
        </w:tc>
        <w:tc>
          <w:tcPr>
            <w:tcW w:w="4760" w:type="dxa"/>
            <w:vAlign w:val="bottom"/>
            <w:gridSpan w:val="3"/>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r>
      <w:tr>
        <w:trPr>
          <w:trHeight w:val="219"/>
        </w:trPr>
        <w:tc>
          <w:tcPr>
            <w:tcW w:w="1440" w:type="dxa"/>
            <w:vAlign w:val="bottom"/>
            <w:shd w:val="clear" w:color="auto" w:fill="CFF0FC"/>
          </w:tcPr>
          <w:p>
            <w:pPr>
              <w:spacing w:after="0"/>
              <w:rPr>
                <w:sz w:val="20"/>
                <w:szCs w:val="20"/>
                <w:color w:val="auto"/>
              </w:rPr>
            </w:pPr>
            <w:r>
              <w:rPr>
                <w:rFonts w:ascii="Arial" w:cs="Arial" w:eastAsia="Arial" w:hAnsi="Arial"/>
                <w:sz w:val="16"/>
                <w:szCs w:val="16"/>
                <w:color w:val="auto"/>
              </w:rPr>
              <w:t>Supply</w:t>
            </w:r>
          </w:p>
        </w:tc>
        <w:tc>
          <w:tcPr>
            <w:tcW w:w="4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9"/>
                <w:szCs w:val="19"/>
                <w:color w:val="auto"/>
              </w:rPr>
            </w:pPr>
          </w:p>
        </w:tc>
      </w:tr>
      <w:tr>
        <w:trPr>
          <w:trHeight w:val="213"/>
        </w:trPr>
        <w:tc>
          <w:tcPr>
            <w:tcW w:w="1440" w:type="dxa"/>
            <w:vAlign w:val="bottom"/>
          </w:tcPr>
          <w:p>
            <w:pPr>
              <w:spacing w:after="0"/>
              <w:rPr>
                <w:sz w:val="20"/>
                <w:szCs w:val="20"/>
                <w:color w:val="auto"/>
              </w:rPr>
            </w:pPr>
            <w:r>
              <w:rPr>
                <w:rFonts w:ascii="Arial" w:cs="Arial" w:eastAsia="Arial" w:hAnsi="Arial"/>
                <w:sz w:val="16"/>
                <w:szCs w:val="16"/>
                <w:color w:val="auto"/>
              </w:rPr>
              <w:t>Specialty</w:t>
            </w:r>
          </w:p>
        </w:tc>
        <w:tc>
          <w:tcPr>
            <w:tcW w:w="476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r>
      <w:tr>
        <w:trPr>
          <w:trHeight w:val="219"/>
        </w:trPr>
        <w:tc>
          <w:tcPr>
            <w:tcW w:w="1440" w:type="dxa"/>
            <w:vAlign w:val="bottom"/>
            <w:shd w:val="clear" w:color="auto" w:fill="CFF0FC"/>
          </w:tcPr>
          <w:p>
            <w:pPr>
              <w:spacing w:after="0"/>
              <w:rPr>
                <w:sz w:val="20"/>
                <w:szCs w:val="20"/>
                <w:color w:val="auto"/>
              </w:rPr>
            </w:pPr>
            <w:r>
              <w:rPr>
                <w:rFonts w:ascii="Arial" w:cs="Arial" w:eastAsia="Arial" w:hAnsi="Arial"/>
                <w:sz w:val="16"/>
                <w:szCs w:val="16"/>
                <w:color w:val="auto"/>
              </w:rPr>
              <w:t>Liftboats</w:t>
            </w:r>
          </w:p>
        </w:tc>
        <w:tc>
          <w:tcPr>
            <w:tcW w:w="4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r>
      <w:tr>
        <w:trPr>
          <w:trHeight w:val="213"/>
        </w:trPr>
        <w:tc>
          <w:tcPr>
            <w:tcW w:w="1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Crew transfer</w:t>
            </w:r>
          </w:p>
        </w:tc>
        <w:tc>
          <w:tcPr>
            <w:tcW w:w="3760" w:type="dxa"/>
            <w:vAlign w:val="bottom"/>
            <w:tcBorders>
              <w:bottom w:val="single" w:sz="8" w:color="CFF0FC"/>
            </w:tcBorders>
            <w:gridSpan w:val="2"/>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FF0FC"/>
            </w:tcBorders>
          </w:tcPr>
          <w:p>
            <w:pPr>
              <w:spacing w:after="0"/>
              <w:rPr>
                <w:sz w:val="18"/>
                <w:szCs w:val="18"/>
                <w:color w:val="auto"/>
              </w:rPr>
            </w:pPr>
          </w:p>
        </w:tc>
      </w:tr>
      <w:tr>
        <w:trPr>
          <w:trHeight w:val="209"/>
        </w:trPr>
        <w:tc>
          <w:tcPr>
            <w:tcW w:w="1440" w:type="dxa"/>
            <w:vAlign w:val="bottom"/>
            <w:shd w:val="clear" w:color="auto" w:fill="CFF0FC"/>
          </w:tcPr>
          <w:p>
            <w:pPr>
              <w:spacing w:after="0"/>
              <w:rPr>
                <w:sz w:val="18"/>
                <w:szCs w:val="18"/>
                <w:color w:val="auto"/>
              </w:rPr>
            </w:pPr>
          </w:p>
        </w:tc>
        <w:tc>
          <w:tcPr>
            <w:tcW w:w="4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FF0FC"/>
          </w:tcPr>
          <w:p>
            <w:pPr>
              <w:spacing w:after="0"/>
              <w:rPr>
                <w:sz w:val="18"/>
                <w:szCs w:val="18"/>
                <w:color w:val="auto"/>
              </w:rPr>
            </w:pPr>
          </w:p>
        </w:tc>
      </w:tr>
      <w:tr>
        <w:trPr>
          <w:trHeight w:val="20"/>
        </w:trPr>
        <w:tc>
          <w:tcPr>
            <w:tcW w:w="1440" w:type="dxa"/>
            <w:vAlign w:val="bottom"/>
            <w:tcBorders>
              <w:top w:val="single" w:sz="8" w:color="CFF0FC"/>
            </w:tcBorders>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December 31, 2019</w:t>
            </w:r>
          </w:p>
        </w:tc>
        <w:tc>
          <w:tcPr>
            <w:tcW w:w="1320" w:type="dxa"/>
            <w:vAlign w:val="bottom"/>
            <w:tcBorders>
              <w:bottom w:val="single" w:sz="8" w:color="CFF0FC"/>
            </w:tcBorders>
            <w:gridSpan w:val="3"/>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1380" w:type="dxa"/>
            <w:vAlign w:val="bottom"/>
            <w:shd w:val="clear" w:color="auto" w:fill="CFF0FC"/>
          </w:tcPr>
          <w:p>
            <w:pPr>
              <w:spacing w:after="0"/>
              <w:rPr>
                <w:sz w:val="20"/>
                <w:szCs w:val="20"/>
                <w:color w:val="auto"/>
              </w:rPr>
            </w:pPr>
            <w:r>
              <w:rPr>
                <w:rFonts w:ascii="Arial" w:cs="Arial" w:eastAsia="Arial" w:hAnsi="Arial"/>
                <w:sz w:val="16"/>
                <w:szCs w:val="16"/>
                <w:color w:val="auto"/>
              </w:rPr>
              <w:t>AHTS</w:t>
            </w:r>
          </w:p>
        </w:tc>
        <w:tc>
          <w:tcPr>
            <w:tcW w:w="4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r>
      <w:tr>
        <w:trPr>
          <w:trHeight w:val="213"/>
        </w:trPr>
        <w:tc>
          <w:tcPr>
            <w:tcW w:w="1380" w:type="dxa"/>
            <w:vAlign w:val="bottom"/>
          </w:tcPr>
          <w:p>
            <w:pPr>
              <w:spacing w:after="0"/>
              <w:rPr>
                <w:sz w:val="20"/>
                <w:szCs w:val="20"/>
                <w:color w:val="auto"/>
              </w:rPr>
            </w:pPr>
            <w:r>
              <w:rPr>
                <w:rFonts w:ascii="Arial" w:cs="Arial" w:eastAsia="Arial" w:hAnsi="Arial"/>
                <w:sz w:val="16"/>
                <w:szCs w:val="16"/>
                <w:color w:val="auto"/>
              </w:rPr>
              <w:t>FSV</w:t>
            </w:r>
          </w:p>
        </w:tc>
        <w:tc>
          <w:tcPr>
            <w:tcW w:w="482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r>
      <w:tr>
        <w:trPr>
          <w:trHeight w:val="219"/>
        </w:trPr>
        <w:tc>
          <w:tcPr>
            <w:tcW w:w="1380" w:type="dxa"/>
            <w:vAlign w:val="bottom"/>
            <w:shd w:val="clear" w:color="auto" w:fill="CFF0FC"/>
          </w:tcPr>
          <w:p>
            <w:pPr>
              <w:spacing w:after="0"/>
              <w:rPr>
                <w:sz w:val="20"/>
                <w:szCs w:val="20"/>
                <w:color w:val="auto"/>
              </w:rPr>
            </w:pPr>
            <w:r>
              <w:rPr>
                <w:rFonts w:ascii="Arial" w:cs="Arial" w:eastAsia="Arial" w:hAnsi="Arial"/>
                <w:sz w:val="16"/>
                <w:szCs w:val="16"/>
                <w:color w:val="auto"/>
              </w:rPr>
              <w:t>Supply</w:t>
            </w:r>
          </w:p>
        </w:tc>
        <w:tc>
          <w:tcPr>
            <w:tcW w:w="4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r>
      <w:tr>
        <w:trPr>
          <w:trHeight w:val="213"/>
        </w:trPr>
        <w:tc>
          <w:tcPr>
            <w:tcW w:w="1380" w:type="dxa"/>
            <w:vAlign w:val="bottom"/>
          </w:tcPr>
          <w:p>
            <w:pPr>
              <w:spacing w:after="0"/>
              <w:rPr>
                <w:sz w:val="20"/>
                <w:szCs w:val="20"/>
                <w:color w:val="auto"/>
              </w:rPr>
            </w:pPr>
            <w:r>
              <w:rPr>
                <w:rFonts w:ascii="Arial" w:cs="Arial" w:eastAsia="Arial" w:hAnsi="Arial"/>
                <w:sz w:val="16"/>
                <w:szCs w:val="16"/>
                <w:color w:val="auto"/>
              </w:rPr>
              <w:t>Specialty</w:t>
            </w:r>
          </w:p>
        </w:tc>
        <w:tc>
          <w:tcPr>
            <w:tcW w:w="482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r>
      <w:tr>
        <w:trPr>
          <w:trHeight w:val="219"/>
        </w:trPr>
        <w:tc>
          <w:tcPr>
            <w:tcW w:w="1380" w:type="dxa"/>
            <w:vAlign w:val="bottom"/>
            <w:shd w:val="clear" w:color="auto" w:fill="CFF0FC"/>
          </w:tcPr>
          <w:p>
            <w:pPr>
              <w:spacing w:after="0"/>
              <w:rPr>
                <w:sz w:val="20"/>
                <w:szCs w:val="20"/>
                <w:color w:val="auto"/>
              </w:rPr>
            </w:pPr>
            <w:r>
              <w:rPr>
                <w:rFonts w:ascii="Arial" w:cs="Arial" w:eastAsia="Arial" w:hAnsi="Arial"/>
                <w:sz w:val="16"/>
                <w:szCs w:val="16"/>
                <w:color w:val="auto"/>
              </w:rPr>
              <w:t>Liftboats</w:t>
            </w:r>
          </w:p>
        </w:tc>
        <w:tc>
          <w:tcPr>
            <w:tcW w:w="4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r>
      <w:tr>
        <w:trPr>
          <w:trHeight w:val="213"/>
        </w:trPr>
        <w:tc>
          <w:tcPr>
            <w:tcW w:w="1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Crew transfer</w:t>
            </w:r>
          </w:p>
        </w:tc>
        <w:tc>
          <w:tcPr>
            <w:tcW w:w="3820" w:type="dxa"/>
            <w:vAlign w:val="bottom"/>
            <w:tcBorders>
              <w:bottom w:val="single" w:sz="8" w:color="CFF0FC"/>
            </w:tcBorders>
            <w:gridSpan w:val="2"/>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FF0FC"/>
            </w:tcBorders>
          </w:tcPr>
          <w:p>
            <w:pPr>
              <w:spacing w:after="0"/>
              <w:rPr>
                <w:sz w:val="18"/>
                <w:szCs w:val="18"/>
                <w:color w:val="auto"/>
              </w:rPr>
            </w:pPr>
          </w:p>
        </w:tc>
      </w:tr>
      <w:tr>
        <w:trPr>
          <w:trHeight w:val="210"/>
        </w:trPr>
        <w:tc>
          <w:tcPr>
            <w:tcW w:w="1380" w:type="dxa"/>
            <w:vAlign w:val="bottom"/>
            <w:shd w:val="clear" w:color="auto" w:fill="CFF0FC"/>
          </w:tcPr>
          <w:p>
            <w:pPr>
              <w:spacing w:after="0"/>
              <w:rPr>
                <w:sz w:val="18"/>
                <w:szCs w:val="18"/>
                <w:color w:val="auto"/>
              </w:rPr>
            </w:pPr>
          </w:p>
        </w:tc>
        <w:tc>
          <w:tcPr>
            <w:tcW w:w="4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FF0FC"/>
          </w:tcPr>
          <w:p>
            <w:pPr>
              <w:spacing w:after="0"/>
              <w:rPr>
                <w:sz w:val="18"/>
                <w:szCs w:val="18"/>
                <w:color w:val="auto"/>
              </w:rPr>
            </w:pPr>
          </w:p>
        </w:tc>
      </w:tr>
      <w:tr>
        <w:trPr>
          <w:trHeight w:val="20"/>
        </w:trPr>
        <w:tc>
          <w:tcPr>
            <w:tcW w:w="1380" w:type="dxa"/>
            <w:vAlign w:val="bottom"/>
            <w:tcBorders>
              <w:top w:val="single" w:sz="8" w:color="CFF0FC"/>
            </w:tcBorders>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United States, primarily Gulf of Mexico. </w:t>
      </w:r>
      <w:r>
        <w:rPr>
          <w:rFonts w:ascii="Arial" w:cs="Arial" w:eastAsia="Arial" w:hAnsi="Arial"/>
          <w:sz w:val="22"/>
          <w:szCs w:val="22"/>
          <w:color w:val="auto"/>
        </w:rPr>
        <w:t>For the three months ended March 31, the Company’s time charter statistics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direct vessel profit (loss) in the United States was as follows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r>
      <w:tr>
        <w:trPr>
          <w:trHeight w:val="212"/>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7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FSV</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32,416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13,260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FSV</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FSV</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7"/>
        </w:trPr>
        <w:tc>
          <w:tcPr>
            <w:tcW w:w="43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30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28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19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4,375</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8,005</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88%</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w:t>
            </w: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marine services</w:t>
            </w:r>
          </w:p>
        </w:tc>
        <w:tc>
          <w:tcPr>
            <w:tcW w:w="23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3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c>
          <w:tcPr>
            <w:tcW w:w="2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12%</w:t>
            </w:r>
          </w:p>
        </w:tc>
      </w:tr>
      <w:tr>
        <w:trPr>
          <w:trHeight w:val="213"/>
        </w:trPr>
        <w:tc>
          <w:tcPr>
            <w:tcW w:w="434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5,741</w:t>
            </w:r>
          </w:p>
        </w:tc>
        <w:tc>
          <w:tcPr>
            <w:tcW w:w="3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9,137</w:t>
            </w:r>
          </w:p>
        </w:tc>
        <w:tc>
          <w:tcPr>
            <w:tcW w:w="2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r>
      <w:tr>
        <w:trPr>
          <w:trHeight w:val="206"/>
        </w:trPr>
        <w:tc>
          <w:tcPr>
            <w:tcW w:w="43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2,928</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617</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2,778</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1,994</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13"/>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23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3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213"/>
        </w:trPr>
        <w:tc>
          <w:tcPr>
            <w:tcW w:w="434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3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93%</w:t>
            </w: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10,640</w:t>
            </w:r>
          </w:p>
        </w:tc>
        <w:tc>
          <w:tcPr>
            <w:tcW w:w="2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w:t>
            </w:r>
          </w:p>
        </w:tc>
      </w:tr>
      <w:tr>
        <w:trPr>
          <w:trHeight w:val="207"/>
        </w:trPr>
        <w:tc>
          <w:tcPr>
            <w:tcW w:w="4340" w:type="dxa"/>
            <w:vAlign w:val="bottom"/>
          </w:tcPr>
          <w:p>
            <w:pPr>
              <w:spacing w:after="0"/>
              <w:rPr>
                <w:sz w:val="20"/>
                <w:szCs w:val="20"/>
                <w:color w:val="auto"/>
              </w:rPr>
            </w:pPr>
            <w:r>
              <w:rPr>
                <w:rFonts w:ascii="Arial" w:cs="Arial" w:eastAsia="Arial" w:hAnsi="Arial"/>
                <w:sz w:val="16"/>
                <w:szCs w:val="16"/>
                <w:color w:val="auto"/>
              </w:rPr>
              <w:t>Direct Vessel Profit</w:t>
            </w:r>
          </w:p>
        </w:tc>
        <w:tc>
          <w:tcPr>
            <w:tcW w:w="2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401</w:t>
            </w:r>
          </w:p>
        </w:tc>
        <w:tc>
          <w:tcPr>
            <w:tcW w:w="3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(1,503)</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
        </w:trPr>
        <w:tc>
          <w:tcPr>
            <w:tcW w:w="4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$2.9 million lower in the Current Year Quarter compared with the Prior Year</w:t>
      </w:r>
      <w:r>
        <w:rPr>
          <w:rFonts w:ascii="Arial" w:cs="Arial" w:eastAsia="Arial" w:hAnsi="Arial"/>
          <w:sz w:val="21"/>
          <w:szCs w:val="21"/>
          <w:i w:val="1"/>
          <w:iCs w:val="1"/>
          <w:color w:val="auto"/>
        </w:rPr>
        <w:t xml:space="preserve"> </w:t>
      </w:r>
      <w:r>
        <w:rPr>
          <w:rFonts w:ascii="Arial" w:cs="Arial" w:eastAsia="Arial" w:hAnsi="Arial"/>
          <w:sz w:val="21"/>
          <w:szCs w:val="21"/>
          <w:color w:val="auto"/>
        </w:rPr>
        <w:t>Quarter. Charter revenues were $1.7 million lower due to net fleet dispositions, $0.6 million lower due to the repositioning of vessels between geographic regions and $0.6 million lower due to lower utilization of the core fleet. As of March 31, 2020, the Company had 12 of 23 owned and leased-in vessels (two AHTS vessels, three FSVs, six liftboats, and one specialty vessel) cold-stacked in this region compared with 16 of 32 vessels as of March 31, 2019.</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$5.3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$1.2 million lower due to the repositioning of vessels between geographic regions and $0.9 million lower due to net fleet dispositions. Direct operating expenses for the core fleet were $3.2 million lower which was primarily due to reduced repair and drydocking costs.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Africa, primarily West Africa. </w:t>
      </w:r>
      <w:r>
        <w:rPr>
          <w:rFonts w:ascii="Arial" w:cs="Arial" w:eastAsia="Arial" w:hAnsi="Arial"/>
          <w:sz w:val="22"/>
          <w:szCs w:val="22"/>
          <w:color w:val="auto"/>
        </w:rPr>
        <w:t>For the three months ended March 31, the Company’s time charter statistics and direct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 profit in Africa was as follows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r>
      <w:tr>
        <w:trPr>
          <w:trHeight w:val="212"/>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7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FSV</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9,554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10,196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9,461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AHTS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94%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94%</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86%</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81%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87%</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FSV</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6"/>
        </w:trPr>
        <w:tc>
          <w:tcPr>
            <w:tcW w:w="43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30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28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200"/>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11,095</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99%</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10,773</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(637)</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r>
      <w:tr>
        <w:trPr>
          <w:trHeight w:val="207"/>
        </w:trPr>
        <w:tc>
          <w:tcPr>
            <w:tcW w:w="4340" w:type="dxa"/>
            <w:vAlign w:val="bottom"/>
            <w:tcBorders>
              <w:bottom w:val="single" w:sz="8" w:color="CFF0FC"/>
            </w:tcBorders>
          </w:tcPr>
          <w:p>
            <w:pPr>
              <w:spacing w:after="0"/>
              <w:rPr>
                <w:sz w:val="17"/>
                <w:szCs w:val="17"/>
                <w:color w:val="auto"/>
              </w:rPr>
            </w:pPr>
          </w:p>
        </w:tc>
        <w:tc>
          <w:tcPr>
            <w:tcW w:w="2320" w:type="dxa"/>
            <w:vAlign w:val="bottom"/>
            <w:tcBorders>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11,262</w:t>
            </w:r>
          </w:p>
        </w:tc>
        <w:tc>
          <w:tcPr>
            <w:tcW w:w="30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100%</w:t>
            </w: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w:t>
            </w:r>
          </w:p>
        </w:tc>
        <w:tc>
          <w:tcPr>
            <w:tcW w:w="2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100%</w:t>
            </w:r>
          </w:p>
        </w:tc>
      </w:tr>
      <w:tr>
        <w:trPr>
          <w:trHeight w:val="21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2,695</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3,867</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472</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754</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2,106</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07"/>
        </w:trPr>
        <w:tc>
          <w:tcPr>
            <w:tcW w:w="4340" w:type="dxa"/>
            <w:vAlign w:val="bottom"/>
            <w:tcBorders>
              <w:bottom w:val="single" w:sz="8" w:color="CFF0FC"/>
            </w:tcBorders>
          </w:tcPr>
          <w:p>
            <w:pPr>
              <w:spacing w:after="0"/>
              <w:rPr>
                <w:sz w:val="17"/>
                <w:szCs w:val="17"/>
                <w:color w:val="auto"/>
              </w:rPr>
            </w:pPr>
          </w:p>
        </w:tc>
        <w:tc>
          <w:tcPr>
            <w:tcW w:w="23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5,374</w:t>
            </w:r>
          </w:p>
        </w:tc>
        <w:tc>
          <w:tcPr>
            <w:tcW w:w="30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48%</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8,462</w:t>
            </w:r>
          </w:p>
        </w:tc>
        <w:tc>
          <w:tcPr>
            <w:tcW w:w="2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83%</w:t>
            </w: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7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5,888</w:t>
            </w:r>
          </w:p>
        </w:tc>
        <w:tc>
          <w:tcPr>
            <w:tcW w:w="3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52%</w:t>
            </w: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2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$0.3 million higher in the Current Year Quarter compared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Prior Year Quarter. Time charter revenues were $0.6 million higher due to one vessel commencing a time charter after previously having revenues recognized only upon receipt of cash, due to collection concerns, and $0.3 million lower due to the repositioning of vessels between geographic regions.</w:t>
      </w:r>
    </w:p>
    <w:p>
      <w:pPr>
        <w:spacing w:after="0" w:line="15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$3.1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On an overall basis, operating costs were $2.5 million lower due to the repositioning of vessels between geographic regions, $0.3 million lower for the active fleet and other changes in fleet mix and $0.3 million lower due to the timing of drydockings.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sectPr>
      </w:pPr>
    </w:p>
    <w:bookmarkStart w:id="34" w:name="page35"/>
    <w:bookmarkEnd w:id="34"/>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months ended March 31, the Company’s time charter statistics and direct vessel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profit in the Middle East and Asia was as follows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80" w:type="dxa"/>
            <w:vAlign w:val="bottom"/>
            <w:gridSpan w:val="5"/>
          </w:tcPr>
          <w:p>
            <w:pPr>
              <w:ind w:left="36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424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top w:val="single" w:sz="8" w:color="auto"/>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r>
      <w:tr>
        <w:trPr>
          <w:trHeight w:val="212"/>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4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2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9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5,619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5,892</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ind w:left="500"/>
              <w:spacing w:after="0"/>
              <w:rPr>
                <w:sz w:val="20"/>
                <w:szCs w:val="20"/>
                <w:color w:val="auto"/>
              </w:rPr>
            </w:pPr>
            <w:r>
              <w:rPr>
                <w:rFonts w:ascii="Arial" w:cs="Arial" w:eastAsia="Arial" w:hAnsi="Arial"/>
                <w:sz w:val="16"/>
                <w:szCs w:val="16"/>
                <w:color w:val="auto"/>
              </w:rPr>
              <w:t>FSV</w:t>
            </w:r>
          </w:p>
        </w:tc>
        <w:tc>
          <w:tcPr>
            <w:tcW w:w="2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color w:val="auto"/>
              </w:rPr>
              <w:t>7,784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6,111</w:t>
            </w: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6,685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5,982</w:t>
            </w:r>
          </w:p>
        </w:tc>
        <w:tc>
          <w:tcPr>
            <w:tcW w:w="140" w:type="dxa"/>
            <w:vAlign w:val="bottom"/>
            <w:shd w:val="clear" w:color="auto" w:fill="CFF0FC"/>
          </w:tcPr>
          <w:p>
            <w:pPr>
              <w:spacing w:after="0"/>
              <w:rPr>
                <w:sz w:val="19"/>
                <w:szCs w:val="19"/>
                <w:color w:val="auto"/>
              </w:rPr>
            </w:pPr>
          </w:p>
        </w:tc>
      </w:tr>
      <w:tr>
        <w:trPr>
          <w:trHeight w:val="213"/>
        </w:trPr>
        <w:tc>
          <w:tcPr>
            <w:tcW w:w="42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color w:val="auto"/>
              </w:rPr>
              <w:t>28,093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27,150</w:t>
            </w:r>
          </w:p>
        </w:tc>
        <w:tc>
          <w:tcPr>
            <w:tcW w:w="140" w:type="dxa"/>
            <w:vAlign w:val="bottom"/>
          </w:tcPr>
          <w:p>
            <w:pPr>
              <w:spacing w:after="0"/>
              <w:rPr>
                <w:sz w:val="18"/>
                <w:szCs w:val="18"/>
                <w:color w:val="auto"/>
              </w:rPr>
            </w:pPr>
          </w:p>
        </w:tc>
      </w:tr>
      <w:tr>
        <w:trPr>
          <w:trHeight w:val="219"/>
        </w:trPr>
        <w:tc>
          <w:tcPr>
            <w:tcW w:w="4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1,982</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FF0FC"/>
          </w:tcPr>
          <w:p>
            <w:pPr>
              <w:spacing w:after="0"/>
              <w:rPr>
                <w:sz w:val="19"/>
                <w:szCs w:val="19"/>
                <w:color w:val="auto"/>
              </w:rPr>
            </w:pPr>
          </w:p>
        </w:tc>
      </w:tr>
      <w:tr>
        <w:trPr>
          <w:trHeight w:val="210"/>
        </w:trPr>
        <w:tc>
          <w:tcPr>
            <w:tcW w:w="4240" w:type="dxa"/>
            <w:vAlign w:val="bottom"/>
          </w:tcPr>
          <w:p>
            <w:pPr>
              <w:ind w:left="500"/>
              <w:spacing w:after="0"/>
              <w:rPr>
                <w:sz w:val="20"/>
                <w:szCs w:val="20"/>
                <w:color w:val="auto"/>
              </w:rPr>
            </w:pPr>
            <w:r>
              <w:rPr>
                <w:rFonts w:ascii="Arial" w:cs="Arial" w:eastAsia="Arial" w:hAnsi="Arial"/>
                <w:sz w:val="16"/>
                <w:szCs w:val="16"/>
                <w:color w:val="auto"/>
              </w:rPr>
              <w:t>Overall</w:t>
            </w:r>
          </w:p>
        </w:tc>
        <w:tc>
          <w:tcPr>
            <w:tcW w:w="2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color w:val="auto"/>
              </w:rPr>
              <w:t>9,634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8,386</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23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AHTS</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41%</w:t>
            </w:r>
          </w:p>
        </w:tc>
        <w:tc>
          <w:tcPr>
            <w:tcW w:w="560" w:type="dxa"/>
            <w:vAlign w:val="bottom"/>
          </w:tcPr>
          <w:p>
            <w:pPr>
              <w:spacing w:after="0"/>
              <w:rPr>
                <w:sz w:val="18"/>
                <w:szCs w:val="18"/>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w:t>
            </w: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w:t>
            </w:r>
          </w:p>
        </w:tc>
        <w:tc>
          <w:tcPr>
            <w:tcW w:w="560" w:type="dxa"/>
            <w:vAlign w:val="bottom"/>
            <w:shd w:val="clear" w:color="auto" w:fill="CFF0FC"/>
          </w:tcPr>
          <w:p>
            <w:pPr>
              <w:spacing w:after="0"/>
              <w:rPr>
                <w:sz w:val="19"/>
                <w:szCs w:val="19"/>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Supply</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8"/>
                <w:szCs w:val="18"/>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w:t>
            </w: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560" w:type="dxa"/>
            <w:vAlign w:val="bottom"/>
            <w:shd w:val="clear" w:color="auto" w:fill="CFF0FC"/>
          </w:tcPr>
          <w:p>
            <w:pPr>
              <w:spacing w:after="0"/>
              <w:rPr>
                <w:sz w:val="19"/>
                <w:szCs w:val="19"/>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8"/>
                <w:szCs w:val="18"/>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w:t>
            </w: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w:t>
            </w:r>
          </w:p>
        </w:tc>
        <w:tc>
          <w:tcPr>
            <w:tcW w:w="560" w:type="dxa"/>
            <w:vAlign w:val="bottom"/>
            <w:shd w:val="clear" w:color="auto" w:fill="CFF0FC"/>
          </w:tcPr>
          <w:p>
            <w:pPr>
              <w:spacing w:after="0"/>
              <w:rPr>
                <w:sz w:val="19"/>
                <w:szCs w:val="19"/>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FSV</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974</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13"/>
        </w:trPr>
        <w:tc>
          <w:tcPr>
            <w:tcW w:w="43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4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3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47"/>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36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28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w:t>
            </w:r>
          </w:p>
        </w:tc>
        <w:tc>
          <w:tcPr>
            <w:tcW w:w="30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r>
      <w:tr>
        <w:trPr>
          <w:trHeight w:val="19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3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8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11,767</w:t>
            </w:r>
          </w:p>
        </w:tc>
        <w:tc>
          <w:tcPr>
            <w:tcW w:w="28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12,499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3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4360" w:type="dxa"/>
            <w:vAlign w:val="bottom"/>
            <w:tcBorders>
              <w:bottom w:val="single" w:sz="8" w:color="CFF0FC"/>
            </w:tcBorders>
          </w:tcPr>
          <w:p>
            <w:pPr>
              <w:spacing w:after="0"/>
              <w:rPr>
                <w:sz w:val="17"/>
                <w:szCs w:val="17"/>
                <w:color w:val="auto"/>
              </w:rPr>
            </w:pPr>
          </w:p>
        </w:tc>
        <w:tc>
          <w:tcPr>
            <w:tcW w:w="23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28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jc w:val="right"/>
              <w:ind w:right="79"/>
              <w:spacing w:after="0"/>
              <w:rPr>
                <w:sz w:val="20"/>
                <w:szCs w:val="20"/>
                <w:color w:val="auto"/>
              </w:rPr>
            </w:pPr>
            <w:r>
              <w:rPr>
                <w:rFonts w:ascii="Arial" w:cs="Arial" w:eastAsia="Arial" w:hAnsi="Arial"/>
                <w:sz w:val="16"/>
                <w:szCs w:val="16"/>
                <w:color w:val="auto"/>
              </w:rPr>
              <w:t>100%</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30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3,811</w:t>
            </w:r>
          </w:p>
        </w:tc>
        <w:tc>
          <w:tcPr>
            <w:tcW w:w="28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w:t>
            </w:r>
          </w:p>
        </w:tc>
        <w:tc>
          <w:tcPr>
            <w:tcW w:w="28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436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w:t>
            </w:r>
          </w:p>
        </w:tc>
        <w:tc>
          <w:tcPr>
            <w:tcW w:w="28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3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w:t>
            </w: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4360" w:type="dxa"/>
            <w:vAlign w:val="bottom"/>
            <w:tcBorders>
              <w:bottom w:val="single" w:sz="8" w:color="CFF0FC"/>
            </w:tcBorders>
          </w:tcPr>
          <w:p>
            <w:pPr>
              <w:spacing w:after="0"/>
              <w:rPr>
                <w:sz w:val="17"/>
                <w:szCs w:val="17"/>
                <w:color w:val="auto"/>
              </w:rPr>
            </w:pPr>
          </w:p>
        </w:tc>
        <w:tc>
          <w:tcPr>
            <w:tcW w:w="236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w:t>
            </w:r>
          </w:p>
        </w:tc>
        <w:tc>
          <w:tcPr>
            <w:tcW w:w="28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jc w:val="right"/>
              <w:ind w:right="79"/>
              <w:spacing w:after="0"/>
              <w:rPr>
                <w:sz w:val="20"/>
                <w:szCs w:val="20"/>
                <w:color w:val="auto"/>
              </w:rPr>
            </w:pPr>
            <w:r>
              <w:rPr>
                <w:rFonts w:ascii="Arial" w:cs="Arial" w:eastAsia="Arial" w:hAnsi="Arial"/>
                <w:sz w:val="16"/>
                <w:szCs w:val="16"/>
                <w:color w:val="auto"/>
              </w:rPr>
              <w:t>59%</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w:t>
            </w:r>
          </w:p>
        </w:tc>
        <w:tc>
          <w:tcPr>
            <w:tcW w:w="30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84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5,029</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3,985</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$0.7 million lower in the Current Year Quarter compared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Prior Year Quarter primarily due to net fleet dispositions. As of March 31, 2020, the Company had no owned and leased in vessels cold stacked in this region compared with one of 23 vessels as of March 31, 2019.</w:t>
      </w:r>
    </w:p>
    <w:p>
      <w:pPr>
        <w:spacing w:after="0" w:line="14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$1.6 million lower in the Current Year Quarter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Year Quarter, primarily due to net fleet dispositions and the timing of dry dockings and certain repair expenditures.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5" w:name="page36"/>
    <w:bookmarkEnd w:id="35"/>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 xml:space="preserve">Latin America (Brazil, Mexico, Central and South America). </w:t>
      </w:r>
      <w:r>
        <w:rPr>
          <w:rFonts w:ascii="Arial" w:cs="Arial" w:eastAsia="Arial" w:hAnsi="Arial"/>
          <w:sz w:val="19"/>
          <w:szCs w:val="19"/>
          <w:color w:val="auto"/>
        </w:rPr>
        <w:t>For the three months ended March 31, the Company’s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time charter statistics and direct vessel profit in Latin America was as follows (in thousands, except statistics):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7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15,913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9,397</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99%</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85%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93%</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71%</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340" w:type="dxa"/>
            <w:vAlign w:val="bottom"/>
          </w:tcPr>
          <w:p>
            <w:pPr>
              <w:ind w:left="500"/>
              <w:spacing w:after="0"/>
              <w:rPr>
                <w:sz w:val="20"/>
                <w:szCs w:val="20"/>
                <w:color w:val="auto"/>
              </w:rPr>
            </w:pPr>
            <w:r>
              <w:rPr>
                <w:rFonts w:ascii="Arial" w:cs="Arial" w:eastAsia="Arial" w:hAnsi="Arial"/>
                <w:sz w:val="16"/>
                <w:szCs w:val="16"/>
                <w:color w:val="auto"/>
              </w:rPr>
              <w:t>Supply</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2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7"/>
        </w:trPr>
        <w:tc>
          <w:tcPr>
            <w:tcW w:w="43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3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30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r>
      <w:tr>
        <w:trPr>
          <w:trHeight w:val="199"/>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7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3,396</w:t>
            </w:r>
          </w:p>
        </w:tc>
        <w:tc>
          <w:tcPr>
            <w:tcW w:w="3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4,922</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r>
      <w:tr>
        <w:trPr>
          <w:trHeight w:val="213"/>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marine services</w:t>
            </w:r>
          </w:p>
        </w:tc>
        <w:tc>
          <w:tcPr>
            <w:tcW w:w="23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4%</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9%</w:t>
            </w:r>
          </w:p>
        </w:tc>
      </w:tr>
      <w:tr>
        <w:trPr>
          <w:trHeight w:val="212"/>
        </w:trPr>
        <w:tc>
          <w:tcPr>
            <w:tcW w:w="434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3,545</w:t>
            </w:r>
          </w:p>
        </w:tc>
        <w:tc>
          <w:tcPr>
            <w:tcW w:w="3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6,700</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r>
      <w:tr>
        <w:trPr>
          <w:trHeight w:val="207"/>
        </w:trPr>
        <w:tc>
          <w:tcPr>
            <w:tcW w:w="43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w:t>
            </w:r>
          </w:p>
        </w:tc>
        <w:tc>
          <w:tcPr>
            <w:tcW w:w="3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(114)</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9"/>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r>
      <w:tr>
        <w:trPr>
          <w:trHeight w:val="213"/>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23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9%</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13"/>
        </w:trPr>
        <w:tc>
          <w:tcPr>
            <w:tcW w:w="434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3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56%</w:t>
            </w: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w:t>
            </w:r>
          </w:p>
        </w:tc>
      </w:tr>
      <w:tr>
        <w:trPr>
          <w:trHeight w:val="207"/>
        </w:trPr>
        <w:tc>
          <w:tcPr>
            <w:tcW w:w="4340" w:type="dxa"/>
            <w:vAlign w:val="bottom"/>
          </w:tcPr>
          <w:p>
            <w:pPr>
              <w:spacing w:after="0"/>
              <w:rPr>
                <w:sz w:val="20"/>
                <w:szCs w:val="20"/>
                <w:color w:val="auto"/>
              </w:rPr>
            </w:pPr>
            <w:r>
              <w:rPr>
                <w:rFonts w:ascii="Arial" w:cs="Arial" w:eastAsia="Arial" w:hAnsi="Arial"/>
                <w:sz w:val="16"/>
                <w:szCs w:val="16"/>
                <w:color w:val="auto"/>
              </w:rPr>
              <w:t>Direct Vessel Profit</w:t>
            </w:r>
          </w:p>
        </w:tc>
        <w:tc>
          <w:tcPr>
            <w:tcW w:w="27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1,543</w:t>
            </w:r>
          </w:p>
        </w:tc>
        <w:tc>
          <w:tcPr>
            <w:tcW w:w="3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44%</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3,646</w:t>
            </w:r>
          </w:p>
        </w:tc>
        <w:tc>
          <w:tcPr>
            <w:tcW w:w="3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0"/>
        </w:trPr>
        <w:tc>
          <w:tcPr>
            <w:tcW w:w="4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$2.7 million lower in the Current Year Quarter compared with the Prior Year</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Charter revenues were $1.6 million lower due to the repositioning of vessels between geographic regions and $1.1 million lower due to the sale of two vessels on bareboat charter. As of March 31, 2020, the Company had no owned and leased-in vessels cold-stacked in this region compared with one of seven vessels as of March 31, 2019.</w:t>
      </w:r>
    </w:p>
    <w:p>
      <w:pPr>
        <w:spacing w:after="0" w:line="102"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$1.1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On an overall basis, vessel operating expenses were $1.4 million lower due to the repositioning of vessels between geographic regions, and $0.3 million higher due to net fleet additions.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6" w:name="page37"/>
    <w:bookmarkEnd w:id="36"/>
    <w:p>
      <w:pPr>
        <w:jc w:val="both"/>
        <w:ind w:firstLine="749"/>
        <w:spacing w:after="0" w:line="251" w:lineRule="auto"/>
        <w:rPr>
          <w:sz w:val="20"/>
          <w:szCs w:val="20"/>
          <w:color w:val="auto"/>
        </w:rPr>
      </w:pPr>
      <w:r>
        <w:rPr>
          <w:rFonts w:ascii="Arial" w:cs="Arial" w:eastAsia="Arial" w:hAnsi="Arial"/>
          <w:sz w:val="22"/>
          <w:szCs w:val="22"/>
          <w:b w:val="1"/>
          <w:bCs w:val="1"/>
          <w:i w:val="1"/>
          <w:iCs w:val="1"/>
          <w:color w:val="auto"/>
        </w:rPr>
        <w:t xml:space="preserve">Europe, primarily North Sea. </w:t>
      </w:r>
      <w:r>
        <w:rPr>
          <w:rFonts w:ascii="Arial" w:cs="Arial" w:eastAsia="Arial" w:hAnsi="Arial"/>
          <w:sz w:val="22"/>
          <w:szCs w:val="22"/>
          <w:color w:val="auto"/>
        </w:rPr>
        <w:t>For the three months ended March 31, the Company’s time charter statistics and direct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 profit in Europe was as follows (in thousands, except statistics):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900" w:type="dxa"/>
            <w:vAlign w:val="bottom"/>
            <w:tcBorders>
              <w:bottom w:val="single" w:sz="8" w:color="CFF0FC"/>
            </w:tcBorders>
          </w:tcPr>
          <w:p>
            <w:pPr>
              <w:spacing w:after="0"/>
              <w:rPr>
                <w:sz w:val="18"/>
                <w:szCs w:val="18"/>
                <w:color w:val="auto"/>
              </w:rPr>
            </w:pPr>
          </w:p>
        </w:tc>
        <w:tc>
          <w:tcPr>
            <w:tcW w:w="18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32,038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61%</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18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7"/>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28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w:t>
            </w:r>
          </w:p>
        </w:tc>
        <w:tc>
          <w:tcPr>
            <w:tcW w:w="30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r>
      <w:tr>
        <w:trPr>
          <w:trHeight w:val="19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8,657</w:t>
            </w:r>
          </w:p>
        </w:tc>
        <w:tc>
          <w:tcPr>
            <w:tcW w:w="2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4,620</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74%</w:t>
            </w:r>
          </w:p>
        </w:tc>
      </w:tr>
      <w:tr>
        <w:trPr>
          <w:trHeight w:val="219"/>
        </w:trPr>
        <w:tc>
          <w:tcPr>
            <w:tcW w:w="4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8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w:t>
            </w: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1,590</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r>
      <w:tr>
        <w:trPr>
          <w:trHeight w:val="206"/>
        </w:trPr>
        <w:tc>
          <w:tcPr>
            <w:tcW w:w="4900" w:type="dxa"/>
            <w:vAlign w:val="bottom"/>
            <w:tcBorders>
              <w:bottom w:val="single" w:sz="8" w:color="CFF0FC"/>
            </w:tcBorders>
          </w:tcPr>
          <w:p>
            <w:pPr>
              <w:spacing w:after="0"/>
              <w:rPr>
                <w:sz w:val="17"/>
                <w:szCs w:val="17"/>
                <w:color w:val="auto"/>
              </w:rPr>
            </w:pPr>
          </w:p>
        </w:tc>
        <w:tc>
          <w:tcPr>
            <w:tcW w:w="18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9,008</w:t>
            </w:r>
          </w:p>
        </w:tc>
        <w:tc>
          <w:tcPr>
            <w:tcW w:w="28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w:t>
            </w:r>
          </w:p>
        </w:tc>
        <w:tc>
          <w:tcPr>
            <w:tcW w:w="30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100%</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3,057</w:t>
            </w:r>
          </w:p>
        </w:tc>
        <w:tc>
          <w:tcPr>
            <w:tcW w:w="2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2,443</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r>
      <w:tr>
        <w:trPr>
          <w:trHeight w:val="219"/>
        </w:trPr>
        <w:tc>
          <w:tcPr>
            <w:tcW w:w="4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w:t>
            </w: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r>
        <w:trPr>
          <w:trHeight w:val="213"/>
        </w:trPr>
        <w:tc>
          <w:tcPr>
            <w:tcW w:w="490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w:t>
            </w:r>
          </w:p>
        </w:tc>
        <w:tc>
          <w:tcPr>
            <w:tcW w:w="2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9"/>
        </w:trPr>
        <w:tc>
          <w:tcPr>
            <w:tcW w:w="4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r>
      <w:tr>
        <w:trPr>
          <w:trHeight w:val="21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8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13"/>
        </w:trPr>
        <w:tc>
          <w:tcPr>
            <w:tcW w:w="49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4,746</w:t>
            </w:r>
          </w:p>
        </w:tc>
        <w:tc>
          <w:tcPr>
            <w:tcW w:w="2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w:t>
            </w: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4,268</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r>
      <w:tr>
        <w:trPr>
          <w:trHeight w:val="206"/>
        </w:trPr>
        <w:tc>
          <w:tcPr>
            <w:tcW w:w="4900" w:type="dxa"/>
            <w:vAlign w:val="bottom"/>
          </w:tcPr>
          <w:p>
            <w:pPr>
              <w:spacing w:after="0"/>
              <w:rPr>
                <w:sz w:val="20"/>
                <w:szCs w:val="20"/>
                <w:color w:val="auto"/>
              </w:rPr>
            </w:pPr>
            <w:r>
              <w:rPr>
                <w:rFonts w:ascii="Arial" w:cs="Arial" w:eastAsia="Arial" w:hAnsi="Arial"/>
                <w:sz w:val="16"/>
                <w:szCs w:val="16"/>
                <w:color w:val="auto"/>
              </w:rPr>
              <w:t>Direct Vessel Profit, for Continuing Operations</w:t>
            </w:r>
          </w:p>
        </w:tc>
        <w:tc>
          <w:tcPr>
            <w:tcW w:w="2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4,262</w:t>
            </w:r>
          </w:p>
        </w:tc>
        <w:tc>
          <w:tcPr>
            <w:tcW w:w="2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1,942</w:t>
            </w:r>
          </w:p>
        </w:tc>
        <w:tc>
          <w:tcPr>
            <w:tcW w:w="3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20"/>
        </w:trPr>
        <w:tc>
          <w:tcPr>
            <w:tcW w:w="4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For CTVs, time charter revenues were $1.1 million higher. Time charter revenues were $0.6</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higher due to net fleet additions, and $0.5 million higher for the core fleet, primarily due to increased utilization. As of March 31, 2020, the Company had one CTV retired and removed from service in this region.</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liftboats, time charter revenues were $2.9 million higher due to the repositioning of vessels between geographic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regions.</w:t>
      </w:r>
    </w:p>
    <w:p>
      <w:pPr>
        <w:spacing w:after="0" w:line="14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Other marine services were $1.2 million lower primarily due to lower mobilization revenues for the liftboat vessels, and the termination of a charter of a PSV owned by a joint venture.</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$0.5 million higher in the Current Year Quarter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vessel operating expenses were $0.6 million higher due to the repositioning of vessels between geographic regions and $0.3 million higher due to net fleet additions. Vessel operating expenses were $0.4 million lower due to the termination of a charter-in of a PSV from a joint venture.</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Leased Expense. </w:t>
      </w:r>
      <w:r>
        <w:rPr>
          <w:rFonts w:ascii="Arial" w:cs="Arial" w:eastAsia="Arial" w:hAnsi="Arial"/>
          <w:sz w:val="22"/>
          <w:szCs w:val="22"/>
          <w:color w:val="auto"/>
        </w:rPr>
        <w:t>Leased-in equipment expenses for the Current Year Quarter were $0.7 million lower compared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Prior Year Quarter, primarily due to the completion of the lease of one supply vessel.</w:t>
      </w:r>
    </w:p>
    <w:p>
      <w:pPr>
        <w:spacing w:after="0" w:line="14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Administrative and general. </w:t>
      </w:r>
      <w:r>
        <w:rPr>
          <w:rFonts w:ascii="Arial" w:cs="Arial" w:eastAsia="Arial" w:hAnsi="Arial"/>
          <w:sz w:val="22"/>
          <w:szCs w:val="22"/>
          <w:color w:val="auto"/>
        </w:rPr>
        <w:t>Administrative and general expenses were flat for the Current Year Quarter compared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Year Quarter.</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was $1.1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lower compared with the Prior Year Quarter primarily due to net fleet dispositions.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Gains (Losses) on Asset Dispositions and Impairments, Net. </w:t>
      </w:r>
      <w:r>
        <w:rPr>
          <w:rFonts w:ascii="Arial" w:cs="Arial" w:eastAsia="Arial" w:hAnsi="Arial"/>
          <w:sz w:val="21"/>
          <w:szCs w:val="21"/>
          <w:color w:val="auto"/>
        </w:rPr>
        <w:t>During the Current Year Quarter, the Company sold two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AHTS vessels and one specialty vessel previously removed from service, two FSVs and other equipment for $3.1 million ($2.2 million cash and $0.9 million in previously received deposits) and gains of $1.1 million all of which was recognized currently. In addition, the Company recorded impairment charges of $9.2 million related to one liftboat and two leased-in liftboats and recognized net losses of $4.5 million ($4.8 million loss due to the disposal of one vessel under construction, offset by a $0.3 million gain due to the redelivery of one leased-in AHTS vessel). During the Prior Year Quarter, the Company sold one vessel under construction for net proceeds of $4.3 million (all of which were previously received deposits) and gains of $0.2 million, (all of which was recognized currently).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March 31, the Company’s other income (expense) was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676</w:t>
            </w:r>
          </w:p>
        </w:tc>
        <w:tc>
          <w:tcPr>
            <w:tcW w:w="280" w:type="dxa"/>
            <w:vAlign w:val="bottom"/>
          </w:tcPr>
          <w:p>
            <w:pPr>
              <w:spacing w:after="0"/>
              <w:rPr>
                <w:sz w:val="18"/>
                <w:szCs w:val="18"/>
                <w:color w:val="auto"/>
              </w:rPr>
            </w:pP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(7,638)</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(7,664)</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 net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(925)</w:t>
            </w: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Foreign currency gains, net</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(1,799)</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(7,594)</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in the Current Year Quarter was higher compared with the Prior Year Quarter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intercompany notes with one of the Company’s joint ventures.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1"/>
          <w:szCs w:val="21"/>
          <w:b w:val="1"/>
          <w:bCs w:val="1"/>
          <w:i w:val="1"/>
          <w:iCs w:val="1"/>
          <w:color w:val="auto"/>
        </w:rPr>
        <w:t xml:space="preserve">Interest expense. </w:t>
      </w:r>
      <w:r>
        <w:rPr>
          <w:rFonts w:ascii="Arial" w:cs="Arial" w:eastAsia="Arial" w:hAnsi="Arial"/>
          <w:sz w:val="21"/>
          <w:szCs w:val="21"/>
          <w:color w:val="auto"/>
        </w:rPr>
        <w:t>Interest expense was flat for the Current Year Quarter compared to the Prior Year Quarter.</w:t>
      </w:r>
    </w:p>
    <w:p>
      <w:pPr>
        <w:spacing w:after="0" w:line="17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Derivative losses, net. </w:t>
      </w:r>
      <w:r>
        <w:rPr>
          <w:rFonts w:ascii="Arial" w:cs="Arial" w:eastAsia="Arial" w:hAnsi="Arial"/>
          <w:sz w:val="22"/>
          <w:szCs w:val="22"/>
          <w:color w:val="auto"/>
        </w:rPr>
        <w:t>Net derivative gains during the Current Year Quarter compared to the Prior Year Quarter were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primarily due to decreases in the fair value of the Company’s conversion option liability embedded in the Company’s Convertible Senior Notes. The decrease in the conversion option liability was primarily the result of the drop in the fair value of the Company’s stock price.</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Foreign currency gains, net. </w:t>
      </w:r>
      <w:r>
        <w:rPr>
          <w:rFonts w:ascii="Arial" w:cs="Arial" w:eastAsia="Arial" w:hAnsi="Arial"/>
          <w:sz w:val="22"/>
          <w:szCs w:val="22"/>
          <w:color w:val="auto"/>
        </w:rPr>
        <w:t>Foreign currency gains for the Current Year Quarter were relatively stable compared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more volatility of fluctuating currencies during 2019.</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Benefit</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For the three months ended March 31, 2020, the Company’s effective income tax rate of 25.2% was primarily due to taxes provided on income attributable to noncontrolling interests, foreign sourced income not subject to U.S. income taxes, foreign taxes not creditable against U.S. income taxes, and the annual return-to-accrual adjustment for the prior year. During the three months ended March 31, 2019, the Company’s effective income tax rate of 13.4% was primarily due to taxes provided on income attributable to noncontrolling interests, foreign sourced income not subject to U.S. income taxes, foreign taxes not creditable against U.S. income taxes, and a reversal of an unrecognized tax benefit.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Equity in losses of 50% or less owned companies for the Current Year Quarter compared with the Prior Year Quarter were $3.2 million lower due to the following changes in equity earnings (losses)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OSV Partners</w:t>
            </w:r>
          </w:p>
        </w:tc>
        <w:tc>
          <w:tcPr>
            <w:tcW w:w="10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(473)</w:t>
            </w: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(463)</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Dynamic Offshore Drilling</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(741)</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SEACOSCO</w:t>
            </w:r>
          </w:p>
        </w:tc>
        <w:tc>
          <w:tcPr>
            <w:tcW w:w="10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(675)</w:t>
            </w: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(1,641)</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(480)</w:t>
            </w:r>
          </w:p>
        </w:tc>
        <w:tc>
          <w:tcPr>
            <w:tcW w:w="10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(740)</w:t>
            </w:r>
          </w:p>
        </w:tc>
      </w:tr>
      <w:tr>
        <w:trPr>
          <w:trHeight w:val="20"/>
        </w:trPr>
        <w:tc>
          <w:tcPr>
            <w:tcW w:w="7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2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(239)</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(3,476)</w:t>
            </w: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2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March 31, 2020, the Company had unfunded capital commitments of $34.2 million that included three PSVs and two CTVs. All of the unfunded capital commitments are payable during the remainder of 2020. The Company has indefinitely deferred an additional $16.3 million of orders with respect to two FSVs that the Company had previously reported unfunded capital commitments.</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March 31, 2020, the Company had outstanding debt of $393.8 million, net of debt discount and issue costs. The Company’s contractual long-term debt maturities as of March 31, 2020,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Actual</w:t>
            </w:r>
          </w:p>
        </w:tc>
      </w:tr>
      <w:tr>
        <w:trPr>
          <w:trHeight w:val="21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2020</w:t>
            </w:r>
          </w:p>
        </w:tc>
        <w:tc>
          <w:tcPr>
            <w:tcW w:w="380" w:type="dxa"/>
            <w:vAlign w:val="bottom"/>
            <w:tcBorders>
              <w:top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12,733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25,446</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49,926</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231,674</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92,412</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Years subsequent to 2024</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11,752</w:t>
            </w:r>
          </w:p>
        </w:tc>
        <w:tc>
          <w:tcPr>
            <w:tcW w:w="100" w:type="dxa"/>
            <w:vAlign w:val="bottom"/>
          </w:tcPr>
          <w:p>
            <w:pPr>
              <w:spacing w:after="0"/>
              <w:rPr>
                <w:sz w:val="18"/>
                <w:szCs w:val="18"/>
                <w:color w:val="auto"/>
              </w:rPr>
            </w:pPr>
          </w:p>
        </w:tc>
      </w:tr>
      <w:tr>
        <w:trPr>
          <w:trHeight w:val="210"/>
        </w:trPr>
        <w:tc>
          <w:tcPr>
            <w:tcW w:w="9260" w:type="dxa"/>
            <w:vAlign w:val="bottom"/>
          </w:tcPr>
          <w:p>
            <w:pPr>
              <w:spacing w:after="0"/>
              <w:rPr>
                <w:sz w:val="18"/>
                <w:szCs w:val="18"/>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423,943</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As of March 31, 2020, the Company held balances of cash, cash equivalents, restricted cash and construction reserve funds totaling $76.3 million. As of March 31, 2020, construction reserve funds of $3.7 million were classified as non-current assets in the accompanying condensed consolidated balance sheets as the Company has the intent and ability to use the funds to acquire equipment. Additionally, the Company had $2.3 million available under subsidiary credit facilities.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9" w:name="page40"/>
    <w:bookmarkEnd w:id="39"/>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the three months ended March 31, the following is a summary of the Company’s cash flows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(8,108)</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(4,855)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(22,254)</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(5,222)</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(7,645)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(1,908)</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Increase in Cash, Restricted Cash and Cash Equivalents from Discontinued Operations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Restricted Cash and Cash Equivalents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(14,474)</w:t>
            </w: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(30,757)</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Cash flows used in continuing operating activities decreased by $3.3 million in the Current Year Quarter compared with the Prior Year Quarter. The components of cash flows used in operating activities during the Current Year Quarter and Prior Year Quarter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7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(1,503)</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primarily West Africa</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Europe, Continuing Operations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4,262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leased-in equipment (excluding amortization of deferred gains)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(3,838)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(4,842)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(9,776)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(10,455)</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SEACOR Holdings management and guarantee fees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(5,182)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(7,144)</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vested</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Cash settlements on derivative transactions, net</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(214)</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r>
      <w:tr>
        <w:trPr>
          <w:trHeight w:val="219"/>
        </w:trPr>
        <w:tc>
          <w:tcPr>
            <w:tcW w:w="77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(4,744)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(4,593)</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Interest received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Income taxes refunded, net</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1,999</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Total cash flows provided by (used in) 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(8,108)</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(4,855)</w:t>
            </w: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line="293" w:lineRule="auto"/>
        <w:tabs>
          <w:tab w:leader="none" w:pos="380" w:val="left"/>
        </w:tabs>
        <w:numPr>
          <w:ilvl w:val="0"/>
          <w:numId w:val="25"/>
        </w:numPr>
        <w:rPr>
          <w:rFonts w:ascii="Arial" w:cs="Arial" w:eastAsia="Arial" w:hAnsi="Arial"/>
          <w:sz w:val="15"/>
          <w:szCs w:val="15"/>
          <w:color w:val="auto"/>
        </w:rPr>
      </w:pPr>
      <w:r>
        <w:rPr>
          <w:rFonts w:ascii="Arial" w:cs="Arial" w:eastAsia="Arial" w:hAnsi="Arial"/>
          <w:sz w:val="16"/>
          <w:szCs w:val="16"/>
          <w:color w:val="auto"/>
        </w:rPr>
        <w:t>During the Current Year Quarter and the Prior Year Quarter, capitalized interest paid and included in purchases of property and equipment for continuing operations was $0.2 million and $0.4 million, respectively.</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During the Current Year Quarter, net cash provided by investing activities was $0.8 million, primarily for the following:</w:t>
      </w:r>
    </w:p>
    <w:p>
      <w:pPr>
        <w:spacing w:after="0" w:line="133" w:lineRule="exact"/>
        <w:rPr>
          <w:sz w:val="20"/>
          <w:szCs w:val="20"/>
          <w:color w:val="auto"/>
        </w:rPr>
      </w:pPr>
    </w:p>
    <w:p>
      <w:pPr>
        <w:ind w:left="1260" w:hanging="510"/>
        <w:spacing w:after="0"/>
        <w:tabs>
          <w:tab w:leader="none" w:pos="12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capital expenditures were $11.2 million;</w:t>
      </w:r>
    </w:p>
    <w:p>
      <w:pPr>
        <w:spacing w:after="0" w:line="98" w:lineRule="exact"/>
        <w:rPr>
          <w:rFonts w:ascii="Arial" w:cs="Arial" w:eastAsia="Arial" w:hAnsi="Arial"/>
          <w:sz w:val="22"/>
          <w:szCs w:val="22"/>
          <w:color w:val="auto"/>
        </w:rPr>
      </w:pPr>
    </w:p>
    <w:p>
      <w:pPr>
        <w:jc w:val="both"/>
        <w:ind w:left="1260" w:hanging="510"/>
        <w:spacing w:after="0"/>
        <w:tabs>
          <w:tab w:leader="none" w:pos="12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sold two AHTS vessels and one specialty vessel previously retired and removed from service, two FSVs and other equipment for net proceeds of $3.1 million ($2.2 million cash and $0.9 million in previously received deposits);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0" w:name="page41"/>
    <w:bookmarkEnd w:id="40"/>
    <w:p>
      <w:pPr>
        <w:ind w:left="1260" w:hanging="510"/>
        <w:spacing w:after="0"/>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$9.1 million; and</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$0.2 million.</w:t>
      </w:r>
    </w:p>
    <w:p>
      <w:pPr>
        <w:spacing w:after="0" w:line="177"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Prior Year Quarter, net cash used in investing activities of continuing operations was $22.3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capital expenditures were $20.6 million;</w:t>
      </w:r>
    </w:p>
    <w:p>
      <w:pPr>
        <w:spacing w:after="0" w:line="98" w:lineRule="exact"/>
        <w:rPr>
          <w:rFonts w:ascii="Arial" w:cs="Arial" w:eastAsia="Arial" w:hAnsi="Arial"/>
          <w:sz w:val="22"/>
          <w:szCs w:val="22"/>
          <w:color w:val="auto"/>
        </w:rPr>
      </w:pPr>
    </w:p>
    <w:p>
      <w:pPr>
        <w:ind w:left="1260" w:right="20" w:hanging="510"/>
        <w:spacing w:after="0" w:line="250" w:lineRule="auto"/>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sold one vessel under construction for net proceeds of $4.3 million (all of which was a previously received deposit) and received $0.4 million in deposits for the future sale of vessels; and</w:t>
      </w:r>
    </w:p>
    <w:p>
      <w:pPr>
        <w:spacing w:after="0" w:line="66"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made investments in, and advances to, its 50% or less owned companies of $2.0 million, comprised primarily of its capital contribution in the SEACOSCO joint venture.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Current Year Quarter, net cash used in financing activities was $5.2 million. The Company:</w:t>
      </w:r>
    </w:p>
    <w:p>
      <w:pPr>
        <w:spacing w:after="0" w:line="98" w:lineRule="exact"/>
        <w:rPr>
          <w:sz w:val="20"/>
          <w:szCs w:val="20"/>
          <w:color w:val="auto"/>
        </w:rPr>
      </w:pPr>
    </w:p>
    <w:p>
      <w:pPr>
        <w:ind w:left="1260" w:hanging="510"/>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made scheduled payments on long-term debt and obligations of $5.2 million.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Year Quarter, net cash used in financing activities was $7.6 million. The Company:</w:t>
      </w:r>
    </w:p>
    <w:p>
      <w:pPr>
        <w:spacing w:after="0" w:line="98" w:lineRule="exact"/>
        <w:rPr>
          <w:sz w:val="20"/>
          <w:szCs w:val="20"/>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made scheduled payments on long-term debt and obligations of $4.4 million;</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purchased subsidiary shares from holders of noncontrolling interests for $3.4 million; and</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issued Common Stok for proceeds of $0.1 million.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To date, the COVID-19 pandemic has not had a material impact on the Company’s liquidity or, except as noted in “Note 5. Long-Term Debt” in the unaudited consolidated financial statements included in Part I. Item 1. “Financial Statements” elsewhere in this Quarterly Report on Form 10-Q, the Company’s ability to meet its financial maintenance covenants in its various credit facilities. Management will continue to closely monitor the Company’s liquidity and the credit and capital markets generally and more specifically as it relates to the COVID-19 pandemic. As noted above under “Overview”, there are a number of steps the Company can take to mitigate any adverse effects to the Company's liquidity stemming from the COVID-19 pandemic and the resulting depressed oil and natural gas price environment, including sales of assets, workforce reduction and other cost reduction measures. In addition, we expect to receive a meaningful amount of tax refunds over the next 12 months as a result of the changes in the current U.S. tax law included in the CARES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off-balance sheet arrangements, refer to Liquidity and Capital Resources included in the Company’s 2019 Annual Report. There has been no material change in the Company’s off-balance sheet arrangements during the three months ended March 31, 2020.</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debt securities and credit agreements, see “Note 5. Long-Term Debt” in the unaudited consolidated financial statements included in Part I. Item 1. “Financial Statements” elsewhere in this Quarterly Report on Form 10-Q and in “Note 8. Long-Term Debt” in the Company’s audited consolidated financial statements included in its 2019 Annual Report.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contractual obligations and commercial commitments, refer to Liquidity and Capital Resources included in the Company’s Annual Report on Form 10-K for the year ended December 31, 2019. There has been no material change in the Company’s contractual obligations and commercial commitments.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As of March 31, 2020, SEACOR Holdings has guaranteed $18.5 million on behalf of the Company for various obligations including: performance obligations under sale-leaseback arrangements and invoiced amounts for funding deficits under the Merchant Navy Officers Pension Fund (“MNOPF”). Pursuant to a Distribution Agreement with SEACOR Holdings, SEACOR Holdings charges the Company a fee of 0.5% per annum on outstanding guaranteed amounts, which declines as the obligations are settled by the Company.</w:t>
      </w:r>
    </w:p>
    <w:p>
      <w:pPr>
        <w:spacing w:after="0" w:line="14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2019 Annual Report. There has been no material change in the Company’s exposure to market risk during the three months ended 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March 31, 2020. Based on their evaluation, the Company’s principal executive officer and principal financial officer concluded that the Company’s disclosure controls and procedures were not effective as of March 31, 2020 solely as a result of the material weakness in the Company’s internal control over financial reporting described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2" w:name="page43"/>
    <w:bookmarkEnd w:id="42"/>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Weakness in Internal Control Over Financial Reporting Existing as of March 31, 2020</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During the preparation of the Company’s financial statements as of and for the quarter ended March 31, 2020, prior to public dissemination of the condensed consolidated financial statements and related information for the period, an error was identified related to the accounting for its bifurcated conversion option liability derivative embedded in its convertible senior notes (See “Note 8. Derivative Instruments and Hedging Strategies” in the unaudited consolidated financial statements included in Part I. Item 1. “Financial Statements” elsewhere in this Quarterly Report on Form 10-Q). As a result, the Company’s management evaluated the effectiveness of the related internal control over financial reporting as of March 31, 2020 and determined that a material weakness existed. Specifically, management determined the Company did not maintain effective controls over the journal entry review of estimates utilizing third-party information, as the control did not operate at the designed level of precision to initially detect the error.</w:t>
      </w:r>
    </w:p>
    <w:p>
      <w:pPr>
        <w:spacing w:after="0" w:line="15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As noted above, the error was detected prior to the release of the applicable financial statements, and notwithstanding the identified material weakness, management believes the condensed consolidated financial statements, as included in this Quarterly Report on Form 10-Q, fairly represent, in all material respects, the Company’s financial condition, results of operations and cash flows as of and for the periods presented in accordance with generally accepted accounting principles in the United States. No previously reported financial statements were affected by this error.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Remediation Plans</w:t>
      </w:r>
    </w:p>
    <w:p>
      <w:pPr>
        <w:spacing w:after="0" w:line="18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Management and the board of directors take the Company’s internal control over financial reporting and the integrity of its financial statements seriously and has immediately begun evaluating a comprehensive remediation plan to address the material weakness identified above. Management currently does not have an expected timetable for the execution and completion of a remediation plan, which will include enhancements to the journal entry review of estimates utilizing third-party information control. Management and the board of directors are committed to maintaining a strong internal control environment and will make every effort to ensure that the material weakness described above will be promptly remediated, however, the material weakness cannot be considered remediated until the applicable remedial control is implemented and operates for a sufficient period of time to allow management to conclude, through testing, that this remediation plan is implemented and the control is operating effectively.</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color w:val="auto"/>
        </w:rPr>
        <w:t>Other than the identification of the material weakness discussed above, there have been no changes in the Company’s internal control over financial reporting (as defined in Rules 13a-15(f) and 15d-15(f) under the Exchange Act) that occurred during the three months ended March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2019 Annual Report, see “Note 12.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risk factors, refer to “Risk Factors” included in the Company’s 2019 Annual Report. Except as set forth below, there have been no material changes in the Company’s risk factors during the Current Three Months.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Company is exposed to fluctuating prices of oil and decreased demand for oil. The coronavirus (COVID-19) pandemic has resulted in a decrease in the price of and demand for oil, which has caused, and may continue to cause, a decrease in the demand for the Company’s services.</w:t>
      </w:r>
    </w:p>
    <w:p>
      <w:pPr>
        <w:spacing w:after="0" w:line="14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In the recent months, oil prices have experienced record declines in response to a significant amount of anticipated oversupply in oil and natural gas caused by (i) the COVID-19 pandemic that began in late 2019 and has led to a substantial decrease in global economic activity and (ii) supply decisions principally by Russia and Saudi Arabia resulting in failure to agree on terms to maintain production limits and the ensuing influx of additional oil to an already oversupplied market. These recent declines in oil and natural gas prices come on top of prices that have, for the last few years, been below historic averages. On January 2, 2020, WTI crude oil prices closed at a price of $61.18 per barrel. By March 31, 2020, the last trading date of the first quarter of 2020, WTI crude oil prices closed at a price of $20.48 per barrel and on April 20, 2020, the NYMEX WTI oil futures price for May 2020 went “negative” to -$37.63 per barrel. While OPEC+ members have implemented production cut, the cuts have failed to have a material positive affect on oil and natural gas prices. To the extent that the outbreak of COVID-19 continues to negatively impact demand, the Company expects there to be excess supply of oil and natural gas for the foreseeable future. This excess supply could, in turn, result in transportation and storage capacity constraints in the United States, or even the elimination of available storage.</w:t>
      </w:r>
    </w:p>
    <w:p>
      <w:pPr>
        <w:spacing w:after="0" w:line="15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market for the Company’s offshore support services is impacted by the comparative price for exploring, developing, and producing oil and natural gas and by the corresponding supply and demand for oil and natural gas, both globally and regionally. Since developing offshore oil fields, particularly in deep waters, is one of the most expensive sources of hydrocarbons and providing transportation and logistics services to these markets is the largest component of the Company’s business, the Company is particularly exposed to depressed oil and natural gas prices that last for some period of time.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The decrease in prices caused by COVID-19 could cause the Company’s customers’ to further reduce exploratory, drilling, completion and other production activities, which could have a material adverse effect on the Company’s business and liquidity.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spacing w:after="0" w:line="250" w:lineRule="auto"/>
        <w:rPr>
          <w:sz w:val="20"/>
          <w:szCs w:val="20"/>
          <w:color w:val="auto"/>
        </w:rPr>
      </w:pPr>
      <w:r>
        <w:rPr>
          <w:rFonts w:ascii="Arial" w:cs="Arial" w:eastAsia="Arial" w:hAnsi="Arial"/>
          <w:sz w:val="22"/>
          <w:szCs w:val="22"/>
          <w:b w:val="1"/>
          <w:bCs w:val="1"/>
          <w:i w:val="1"/>
          <w:iCs w:val="1"/>
          <w:color w:val="auto"/>
        </w:rPr>
        <w:t>The Company’s operation and workforce faces risks related to the COVID-19 pandemic, which could significantly disrupt the Company’s operations</w:t>
      </w:r>
      <w:r>
        <w:rPr>
          <w:rFonts w:ascii="Arial" w:cs="Arial" w:eastAsia="Arial" w:hAnsi="Arial"/>
          <w:sz w:val="22"/>
          <w:szCs w:val="22"/>
          <w:color w:val="auto"/>
        </w:rPr>
        <w:t>.</w:t>
      </w:r>
    </w:p>
    <w:p>
      <w:pPr>
        <w:spacing w:after="0" w:line="14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The Company’s business could be adversely affected by the effects of the widespread outbreak of COVID-19. The pandemic may affect the health of the Company’s workforce, and international, national and local government interventions enacted to reduce the spread of COVID-19 may render the Company’s employees unable to work or travel. Although the Company’s workforce is largely considered to be “essential” under guidance issued by the U.S. Cybersecurity and Infrastructure Security Agency, work, travel and other restrictions may vary in other regions of the world in which the Company has significant operations, such as Africa, Middle East and Asia, Latin America and Europe. Similarly, if the COVID-19 pandemic were to impact a location where the Company has a high concentration of business and resources, its workforces could be affected by the outbreak, which could also significantly disrupt operations and the ability to provide services.</w:t>
      </w:r>
    </w:p>
    <w:p>
      <w:pPr>
        <w:spacing w:after="0" w:line="11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duration and severity of the business disruption and related financial impact from the COVID-19 pandemic cannot be reasonably estimated at this time. If the impact of the COVID-19 pandemic continues for an extended period of time, not only could it materially adversely affect the demand for the Company’s services but also the ability to provide such services, either of which could have a material adverse effect on each company’s business.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Restrictions imposed by the terms of the Company’s existing credit facilities may limit the Company’s operating and financial flexibility. In addition, there can be no assurance that the Company will meet the requirements of its financial covenants on an ongoing basis or that if it should fail to meet such covenants in the future, the lender under the relevant credit agreement will agree to waivers or amendments with respect thereto.</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Many of the Company’s existing credit facilities impose restrictions, such as negative covenants and maintenance of financial ratio covenants, which may limit its operating and financial flexibility. Negative covenants such as limitations on additional indebtedness or liens may affect the Company’s ability to incur additional debt if needed, while asset sale covenants could affect its ability to sell assets to generate liquidity. The Company’s ability to maintain financial ratio covenants may be affected by general economic conditions or other events beyond the Company’s control and no assurance can be given that such ratios will be met in the future. If the Company is unable to meet such ratios, it may be unable to reach agreements with the lenders under such agreements for waivers and/or amendments to the applicable covenants.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Failure to achieve and maintain effective internal controls over financial reporting in accordance with Section 404 of the Sarbanes-Oxley Act could have a material adverse effect on the Company.</w:t>
      </w:r>
    </w:p>
    <w:p>
      <w:pPr>
        <w:spacing w:after="0" w:line="13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As a public company, SEACOR Marine is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beginning with our annual report for the fiscal year ending December 31, 2022, provide a management report on the internal control over financial reporting. Our independent registered public accounting firm is not required to audit the effectiveness of our internal control over financial reporting until after we are no longer an “emerging growth company,” as defined in the Jumpstart Our Business Startups Act, or JOBS Act.</w:t>
      </w:r>
    </w:p>
    <w:p>
      <w:pPr>
        <w:spacing w:after="0" w:line="16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In connection with the preparation of its Quarterly Report on Form 10-Q for the period ended March 31, 2020, it was determined that there was a material weakness in the Company’s internal control over financial reporting limited to the journal entry review of estimates utilizing third-party information as described in Part II, Item 4 of this Quarterly Report on Form 10-Q.</w:t>
      </w:r>
    </w:p>
    <w:p>
      <w:pPr>
        <w:spacing w:after="0" w:line="9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To address this material weakness, we have immediately begun evaluating a comprehensive remediation plan, which will include enhancements to the journal entry review of estimates utilizing third-party information control. While we will be implementing such enhancements to this review process to remediate this material weakness, we cannot predict the success of such plan or the outcome of our assessment of this plan at this time. If our steps are insufficient to successfully remediate the material weakness and otherwise establish and maintain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6" w:name="page47"/>
    <w:bookmarkEnd w:id="46"/>
    <w:p>
      <w:pPr>
        <w:jc w:val="both"/>
        <w:spacing w:after="0" w:line="245" w:lineRule="auto"/>
        <w:rPr>
          <w:sz w:val="20"/>
          <w:szCs w:val="20"/>
          <w:color w:val="auto"/>
        </w:rPr>
      </w:pPr>
      <w:r>
        <w:rPr>
          <w:rFonts w:ascii="Arial" w:cs="Arial" w:eastAsia="Arial" w:hAnsi="Arial"/>
          <w:sz w:val="21"/>
          <w:szCs w:val="21"/>
          <w:color w:val="auto"/>
        </w:rPr>
        <w:t>effective system of internal control over financial reporting, the reliability of our financial reporting, investor confidence in us and the value of our common stock could be materially and adversely affected. We can give no assurance that this implementation will remediate this deficiency in internal control or that additional material weaknesses in our internal control over financial reporting will not be identified in the future. 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5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w:t>
      </w:r>
    </w:p>
    <w:p>
      <w:pPr>
        <w:spacing w:after="0" w:line="14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two more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Number of</w:t>
            </w:r>
          </w:p>
        </w:tc>
        <w:tc>
          <w:tcPr>
            <w:tcW w:w="14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be Purchased Under</w:t>
            </w:r>
          </w:p>
        </w:tc>
      </w:tr>
      <w:tr>
        <w:trPr>
          <w:trHeight w:val="210"/>
        </w:trPr>
        <w:tc>
          <w:tcPr>
            <w:tcW w:w="3660" w:type="dxa"/>
            <w:vAlign w:val="bottom"/>
          </w:tcPr>
          <w:p>
            <w:pPr>
              <w:spacing w:after="0"/>
              <w:rPr>
                <w:sz w:val="18"/>
                <w:szCs w:val="18"/>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 Withheld</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Share</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r>
      <w:tr>
        <w:trPr>
          <w:trHeight w:val="209"/>
        </w:trPr>
        <w:tc>
          <w:tcPr>
            <w:tcW w:w="3660" w:type="dxa"/>
            <w:vAlign w:val="bottom"/>
          </w:tcPr>
          <w:p>
            <w:pPr>
              <w:spacing w:after="0"/>
              <w:rPr>
                <w:sz w:val="20"/>
                <w:szCs w:val="20"/>
                <w:color w:val="auto"/>
              </w:rPr>
            </w:pPr>
            <w:r>
              <w:rPr>
                <w:rFonts w:ascii="Arial" w:cs="Arial" w:eastAsia="Arial" w:hAnsi="Arial"/>
                <w:sz w:val="16"/>
                <w:szCs w:val="16"/>
                <w:color w:val="auto"/>
              </w:rPr>
              <w:t>January 1, 2020 to March 31, 2020</w:t>
            </w:r>
          </w:p>
        </w:tc>
        <w:tc>
          <w:tcPr>
            <w:tcW w:w="1640" w:type="dxa"/>
            <w:vAlign w:val="bottom"/>
          </w:tcPr>
          <w:p>
            <w:pPr>
              <w:jc w:val="right"/>
              <w:spacing w:after="0"/>
              <w:rPr>
                <w:sz w:val="20"/>
                <w:szCs w:val="20"/>
                <w:color w:val="auto"/>
              </w:rPr>
            </w:pPr>
            <w:r>
              <w:rPr>
                <w:rFonts w:ascii="Arial" w:cs="Arial" w:eastAsia="Arial" w:hAnsi="Arial"/>
                <w:sz w:val="16"/>
                <w:szCs w:val="16"/>
                <w:color w:val="auto"/>
              </w:rPr>
              <w:t>24,715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8"/>
                <w:szCs w:val="18"/>
                <w:color w:val="auto"/>
              </w:rPr>
            </w:pPr>
          </w:p>
        </w:tc>
        <w:tc>
          <w:tcPr>
            <w:tcW w:w="19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640" w:type="dxa"/>
            <w:vAlign w:val="bottom"/>
          </w:tcPr>
          <w:p>
            <w:pPr>
              <w:ind w:left="780"/>
              <w:spacing w:after="0"/>
              <w:rPr>
                <w:sz w:val="20"/>
                <w:szCs w:val="20"/>
                <w:color w:val="auto"/>
              </w:rPr>
            </w:pPr>
            <w:r>
              <w:rPr>
                <w:rFonts w:ascii="Arial" w:cs="Arial" w:eastAsia="Arial" w:hAnsi="Arial"/>
                <w:sz w:val="16"/>
                <w:szCs w:val="16"/>
                <w:color w:val="auto"/>
              </w:rPr>
              <w:t>—</w:t>
            </w:r>
          </w:p>
        </w:tc>
      </w:tr>
    </w:tbl>
    <w:p>
      <w:pPr>
        <w:spacing w:after="0" w:line="20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March 31, 2020, the Company acquired for treasury 24,715 shares of Common Stock for an aggregate purchase price of $175,072 from its employees to cover their tax withholding obligations upon the lapsing of restrictions on share awards. These shares were purchased in accordance with the terms of the Company’s 2017 Equity Incentive Plan.</w:t>
      </w:r>
    </w:p>
    <w:p>
      <w:pPr>
        <w:spacing w:after="0" w:line="15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ITEM 6.EXHIBITS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10.1</w:t>
            </w:r>
          </w:p>
        </w:tc>
        <w:tc>
          <w:tcPr>
            <w:tcW w:w="10060" w:type="dxa"/>
            <w:vAlign w:val="bottom"/>
            <w:gridSpan w:val="10"/>
          </w:tcPr>
          <w:p>
            <w:pPr>
              <w:spacing w:after="0"/>
              <w:rPr>
                <w:rFonts w:ascii="Arial" w:cs="Arial" w:eastAsia="Arial" w:hAnsi="Arial"/>
                <w:sz w:val="18"/>
                <w:szCs w:val="18"/>
                <w:color w:val="0000EE"/>
                <w:w w:val="97"/>
              </w:rPr>
            </w:pPr>
            <w:hyperlink r:id="rId61">
              <w:r>
                <w:rPr>
                  <w:rFonts w:ascii="Arial" w:cs="Arial" w:eastAsia="Arial" w:hAnsi="Arial"/>
                  <w:sz w:val="18"/>
                  <w:szCs w:val="18"/>
                  <w:color w:val="0000EE"/>
                  <w:w w:val="97"/>
                </w:rPr>
                <w:t>Registration Rights Agreement, dated March 20, 2020, by and between SEACOR Marine Holdings Inc. and Montco Offshore, LLC</w:t>
              </w:r>
            </w:hyperlink>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(incorporated herein by reference to Exhibit 4.1 of SEACOR Marine Holdings Inc.’s Form 8-K filed with the Commission on March 20,</w:t>
              </w:r>
            </w:hyperlink>
          </w:p>
        </w:tc>
        <w:tc>
          <w:tcPr>
            <w:tcW w:w="2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0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2020 (File No. 001-37966)).</w:t>
              </w:r>
            </w:hyperlink>
          </w:p>
        </w:tc>
        <w:tc>
          <w:tcPr>
            <w:tcW w:w="8020" w:type="dxa"/>
            <w:vAlign w:val="bottom"/>
            <w:gridSpan w:val="7"/>
          </w:tcPr>
          <w:p>
            <w:pPr>
              <w:spacing w:after="0"/>
              <w:rPr>
                <w:sz w:val="17"/>
                <w:szCs w:val="17"/>
                <w:color w:val="auto"/>
              </w:rPr>
            </w:pPr>
          </w:p>
        </w:tc>
      </w:tr>
      <w:tr>
        <w:trPr>
          <w:trHeight w:val="34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10.2</w:t>
            </w:r>
          </w:p>
        </w:tc>
        <w:tc>
          <w:tcPr>
            <w:tcW w:w="9700" w:type="dxa"/>
            <w:vAlign w:val="bottom"/>
            <w:tcBorders>
              <w:bottom w:val="single" w:sz="8" w:color="0000EE"/>
            </w:tcBorders>
            <w:gridSpan w:val="8"/>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Consent, Agreement and Omnibus Amendments, dated as of February 7, 2020, by and among Falcon Global USA LLC, the other loan</w:t>
              </w:r>
            </w:hyperlink>
          </w:p>
        </w:tc>
        <w:tc>
          <w:tcPr>
            <w:tcW w:w="3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4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parties thereto, SEACOR Marine Holdings Inc., JPMorgan Chase Bank, N.A. and the lenders party thereto (incorporated herein by</w:t>
              </w:r>
            </w:hyperlink>
          </w:p>
        </w:tc>
        <w:tc>
          <w:tcPr>
            <w:tcW w:w="58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EE"/>
                <w:w w:val="94"/>
              </w:rPr>
            </w:pPr>
            <w:hyperlink r:id="rId62">
              <w:r>
                <w:rPr>
                  <w:rFonts w:ascii="Arial" w:cs="Arial" w:eastAsia="Arial" w:hAnsi="Arial"/>
                  <w:sz w:val="18"/>
                  <w:szCs w:val="18"/>
                  <w:color w:val="0000EE"/>
                  <w:w w:val="94"/>
                </w:rPr>
                <w:t>reference to Exhibit 10.1 of SEACOR Marine Holdings Inc.’s Form 8-K filed with the Commission on February 11, 2020 (File No. 001-</w:t>
              </w:r>
            </w:hyperlink>
          </w:p>
        </w:tc>
      </w:tr>
      <w:tr>
        <w:trPr>
          <w:trHeight w:val="196"/>
        </w:trPr>
        <w:tc>
          <w:tcPr>
            <w:tcW w:w="116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37966)</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w:t>
              </w:r>
            </w:hyperlink>
          </w:p>
        </w:tc>
        <w:tc>
          <w:tcPr>
            <w:tcW w:w="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345"/>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10.3</w:t>
            </w:r>
          </w:p>
        </w:tc>
        <w:tc>
          <w:tcPr>
            <w:tcW w:w="10060" w:type="dxa"/>
            <w:vAlign w:val="bottom"/>
            <w:gridSpan w:val="10"/>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Sixth Consent and Agreement, dated April 29, 2020, by and among Falcon Global USA LLC, the other loan parties thereto, JPMorgan</w:t>
              </w:r>
            </w:hyperlink>
          </w:p>
        </w:tc>
      </w:tr>
      <w:tr>
        <w:trPr>
          <w:trHeight w:val="20"/>
        </w:trPr>
        <w:tc>
          <w:tcPr>
            <w:tcW w:w="1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Chase Bank, N.A. and the lenders party thereto (incorporated herein by reference to Exhibit 10.1 of SEACOR Marine Holdings Inc.’s Form</w:t>
              </w:r>
            </w:hyperlink>
          </w:p>
        </w:tc>
      </w:tr>
      <w:tr>
        <w:trPr>
          <w:trHeight w:val="196"/>
        </w:trPr>
        <w:tc>
          <w:tcPr>
            <w:tcW w:w="116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8-K filed with the Commission on May 1, 2020 (File No. 001-37966)).</w:t>
              </w:r>
            </w:hyperlink>
          </w:p>
        </w:tc>
      </w:tr>
      <w:tr>
        <w:trPr>
          <w:trHeight w:val="20"/>
        </w:trPr>
        <w:tc>
          <w:tcPr>
            <w:tcW w:w="1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r>
      <w:tr>
        <w:trPr>
          <w:trHeight w:val="34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31.1</w:t>
            </w:r>
          </w:p>
        </w:tc>
        <w:tc>
          <w:tcPr>
            <w:tcW w:w="9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by the Principal Executive Officer pursuant to Rule 13a-14(a) and Rule 15d-14(a) of the Securities Exchange Act, as</w:t>
              </w:r>
            </w:hyperlink>
          </w:p>
        </w:tc>
        <w:tc>
          <w:tcPr>
            <w:tcW w:w="70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50">
              <w:r>
                <w:rPr>
                  <w:rFonts w:ascii="Arial" w:cs="Arial" w:eastAsia="Arial" w:hAnsi="Arial"/>
                  <w:sz w:val="18"/>
                  <w:szCs w:val="18"/>
                  <w:color w:val="0000EE"/>
                  <w:w w:val="84"/>
                </w:rPr>
                <w:t>amended.</w:t>
              </w:r>
            </w:hyperlink>
          </w:p>
        </w:tc>
        <w:tc>
          <w:tcPr>
            <w:tcW w:w="9360" w:type="dxa"/>
            <w:vAlign w:val="bottom"/>
            <w:gridSpan w:val="8"/>
          </w:tcPr>
          <w:p>
            <w:pPr>
              <w:spacing w:after="0"/>
              <w:rPr>
                <w:sz w:val="17"/>
                <w:szCs w:val="17"/>
                <w:color w:val="auto"/>
              </w:rPr>
            </w:pPr>
          </w:p>
        </w:tc>
      </w:tr>
      <w:tr>
        <w:trPr>
          <w:trHeight w:val="385"/>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31.2</w:t>
            </w:r>
          </w:p>
        </w:tc>
        <w:tc>
          <w:tcPr>
            <w:tcW w:w="10060" w:type="dxa"/>
            <w:vAlign w:val="bottom"/>
            <w:gridSpan w:val="10"/>
          </w:tcPr>
          <w:p>
            <w:pPr>
              <w:spacing w:after="0"/>
              <w:rPr>
                <w:rFonts w:ascii="Arial" w:cs="Arial" w:eastAsia="Arial" w:hAnsi="Arial"/>
                <w:sz w:val="18"/>
                <w:szCs w:val="18"/>
                <w:u w:val="single" w:color="auto"/>
                <w:color w:val="0000EE"/>
                <w:w w:val="91"/>
              </w:rPr>
            </w:pPr>
            <w:hyperlink w:anchor="page51">
              <w:r>
                <w:rPr>
                  <w:rFonts w:ascii="Arial" w:cs="Arial" w:eastAsia="Arial" w:hAnsi="Arial"/>
                  <w:sz w:val="18"/>
                  <w:szCs w:val="18"/>
                  <w:u w:val="single" w:color="auto"/>
                  <w:color w:val="0000EE"/>
                  <w:w w:val="91"/>
                </w:rPr>
                <w:t>Certification by the Principal Financial Officer pursuant to Rule 13a-14(a) and Rule 15d-14(a) of the Securities Exchange Act, as amended.</w:t>
              </w:r>
            </w:hyperlink>
          </w:p>
        </w:tc>
      </w:tr>
    </w:tbl>
    <w:p>
      <w:pPr>
        <w:spacing w:after="0" w:line="134" w:lineRule="exact"/>
        <w:rPr>
          <w:sz w:val="20"/>
          <w:szCs w:val="20"/>
          <w:color w:val="auto"/>
        </w:rPr>
      </w:pPr>
    </w:p>
    <w:p>
      <w:pPr>
        <w:ind w:left="1160" w:right="320" w:hanging="1152"/>
        <w:spacing w:after="0" w:line="277" w:lineRule="auto"/>
        <w:tabs>
          <w:tab w:leader="none" w:pos="1160" w:val="left"/>
        </w:tabs>
        <w:numPr>
          <w:ilvl w:val="0"/>
          <w:numId w:val="32"/>
        </w:numPr>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Section 906 of the Sarbanes-Oxley Act of 2002</w:t>
        </w:r>
        <w:r>
          <w:rPr>
            <w:rFonts w:ascii="Arial" w:cs="Arial" w:eastAsia="Arial" w:hAnsi="Arial"/>
            <w:sz w:val="18"/>
            <w:szCs w:val="18"/>
            <w:u w:val="single" w:color="auto"/>
            <w:color w:val="000000"/>
          </w:rPr>
          <w:t>.</w:t>
        </w:r>
      </w:hyperlink>
    </w:p>
    <w:p>
      <w:pPr>
        <w:sectPr>
          <w:pgSz w:w="11900" w:h="16838" w:orient="portrait"/>
          <w:cols w:equalWidth="0" w:num="1">
            <w:col w:w="11220"/>
          </w:cols>
          <w:pgMar w:left="320" w:top="112" w:right="35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80" w:lineRule="exact"/>
        <w:rPr>
          <w:rFonts w:ascii="Arial" w:cs="Arial" w:eastAsia="Arial" w:hAnsi="Arial"/>
          <w:sz w:val="18"/>
          <w:szCs w:val="18"/>
          <w:color w:val="auto"/>
        </w:rPr>
      </w:pPr>
    </w:p>
    <w:p>
      <w:pPr>
        <w:sectPr>
          <w:pgSz w:w="11900" w:h="16838" w:orient="portrait"/>
          <w:cols w:equalWidth="0" w:num="2">
            <w:col w:w="800" w:space="360"/>
            <w:col w:w="10060"/>
          </w:cols>
          <w:pgMar w:left="320" w:top="112" w:right="35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60"/>
          </w:cols>
          <w:pgMar w:left="320" w:top="112" w:right="35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60"/>
          </w:cols>
          <w:pgMar w:left="320" w:top="112" w:right="35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60"/>
          </w:cols>
          <w:pgMar w:left="320" w:top="112" w:right="35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60"/>
          </w:cols>
          <w:pgMar w:left="320" w:top="112" w:right="35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-730885</wp:posOffset>
            </wp:positionH>
            <wp:positionV relativeFrom="paragraph">
              <wp:posOffset>114935</wp:posOffset>
            </wp:positionV>
            <wp:extent cx="19030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1" w:lineRule="exact"/>
        <w:rPr>
          <w:rFonts w:ascii="Arial" w:cs="Arial" w:eastAsia="Arial" w:hAnsi="Arial"/>
          <w:sz w:val="18"/>
          <w:szCs w:val="18"/>
          <w:color w:val="auto"/>
        </w:rPr>
      </w:pPr>
    </w:p>
    <w:p>
      <w:pPr>
        <w:sectPr>
          <w:pgSz w:w="11900" w:h="16838" w:orient="portrait"/>
          <w:cols w:equalWidth="0" w:num="2">
            <w:col w:w="840" w:space="320"/>
            <w:col w:w="10060"/>
          </w:cols>
          <w:pgMar w:left="320" w:top="112" w:right="359" w:bottom="1440" w:gutter="0" w:footer="0" w:header="0"/>
          <w:type w:val="continuous"/>
        </w:sectPr>
      </w:pPr>
    </w:p>
    <w:p>
      <w:pPr>
        <w:spacing w:after="0" w:line="10" w:lineRule="exact"/>
        <w:rPr>
          <w:rFonts w:ascii="Arial" w:cs="Arial" w:eastAsia="Arial" w:hAnsi="Arial"/>
          <w:sz w:val="18"/>
          <w:szCs w:val="18"/>
          <w:color w:val="auto"/>
        </w:rPr>
      </w:pPr>
    </w:p>
    <w:p>
      <w:pPr>
        <w:ind w:left="500" w:right="280" w:hanging="492"/>
        <w:spacing w:after="0" w:line="27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A copy of any omitted schedule will be furnished to the SEC upon request.</w:t>
      </w:r>
    </w:p>
    <w:p>
      <w:pPr>
        <w:spacing w:after="0" w:line="2" w:lineRule="exact"/>
        <w:rPr>
          <w:rFonts w:ascii="Arial" w:cs="Arial" w:eastAsia="Arial" w:hAnsi="Arial"/>
          <w:sz w:val="18"/>
          <w:szCs w:val="18"/>
          <w:color w:val="auto"/>
        </w:rPr>
      </w:pPr>
    </w:p>
    <w:p>
      <w:pPr>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7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368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3680" w:type="dxa"/>
            <w:vAlign w:val="bottom"/>
          </w:tcPr>
          <w:p>
            <w:pPr>
              <w:spacing w:after="0"/>
              <w:rPr>
                <w:sz w:val="20"/>
                <w:szCs w:val="20"/>
                <w:color w:val="auto"/>
              </w:rPr>
            </w:pPr>
            <w:r>
              <w:rPr>
                <w:rFonts w:ascii="Arial" w:cs="Arial" w:eastAsia="Arial" w:hAnsi="Arial"/>
                <w:sz w:val="22"/>
                <w:szCs w:val="22"/>
                <w:color w:val="auto"/>
              </w:rPr>
              <w:t>DATE: May 11, 2020</w:t>
            </w:r>
          </w:p>
        </w:tc>
        <w:tc>
          <w:tcPr>
            <w:tcW w:w="4080" w:type="dxa"/>
            <w:vAlign w:val="bottom"/>
          </w:tcPr>
          <w:p>
            <w:pPr>
              <w:ind w:left="338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36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3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368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3680" w:type="dxa"/>
            <w:vAlign w:val="bottom"/>
          </w:tcPr>
          <w:p>
            <w:pPr>
              <w:spacing w:after="0"/>
              <w:rPr>
                <w:sz w:val="20"/>
                <w:szCs w:val="20"/>
                <w:color w:val="auto"/>
              </w:rPr>
            </w:pPr>
            <w:r>
              <w:rPr>
                <w:rFonts w:ascii="Arial" w:cs="Arial" w:eastAsia="Arial" w:hAnsi="Arial"/>
                <w:sz w:val="22"/>
                <w:szCs w:val="22"/>
                <w:color w:val="auto"/>
              </w:rPr>
              <w:t>DATE: May 11, 2020</w:t>
            </w:r>
          </w:p>
        </w:tc>
        <w:tc>
          <w:tcPr>
            <w:tcW w:w="4080" w:type="dxa"/>
            <w:vAlign w:val="bottom"/>
          </w:tcPr>
          <w:p>
            <w:pPr>
              <w:ind w:left="338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36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3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368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3680" w:type="dxa"/>
            <w:vAlign w:val="bottom"/>
          </w:tcPr>
          <w:p>
            <w:pPr>
              <w:spacing w:after="0"/>
              <w:rPr>
                <w:sz w:val="20"/>
                <w:szCs w:val="20"/>
                <w:color w:val="auto"/>
              </w:rPr>
            </w:pPr>
            <w:r>
              <w:rPr>
                <w:rFonts w:ascii="Arial" w:cs="Arial" w:eastAsia="Arial" w:hAnsi="Arial"/>
                <w:sz w:val="22"/>
                <w:szCs w:val="22"/>
                <w:color w:val="auto"/>
              </w:rPr>
              <w:t>DATE: May 11, 2020</w:t>
            </w:r>
          </w:p>
        </w:tc>
        <w:tc>
          <w:tcPr>
            <w:tcW w:w="4080" w:type="dxa"/>
            <w:vAlign w:val="bottom"/>
          </w:tcPr>
          <w:p>
            <w:pPr>
              <w:ind w:left="338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36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3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3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4"/>
        </w:trPr>
        <w:tc>
          <w:tcPr>
            <w:tcW w:w="368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r>
        <w:trPr>
          <w:trHeight w:val="918"/>
        </w:trPr>
        <w:tc>
          <w:tcPr>
            <w:tcW w:w="3680" w:type="dxa"/>
            <w:vAlign w:val="bottom"/>
          </w:tcPr>
          <w:p>
            <w:pPr>
              <w:spacing w:after="0"/>
              <w:rPr>
                <w:sz w:val="24"/>
                <w:szCs w:val="24"/>
                <w:color w:val="auto"/>
              </w:rPr>
            </w:pPr>
          </w:p>
        </w:tc>
        <w:tc>
          <w:tcPr>
            <w:tcW w:w="4080" w:type="dxa"/>
            <w:vAlign w:val="bottom"/>
          </w:tcPr>
          <w:p>
            <w:pPr>
              <w:jc w:val="right"/>
              <w:ind w:right="1992"/>
              <w:spacing w:after="0"/>
              <w:rPr>
                <w:sz w:val="20"/>
                <w:szCs w:val="20"/>
                <w:color w:val="auto"/>
              </w:rPr>
            </w:pPr>
            <w:r>
              <w:rPr>
                <w:rFonts w:ascii="Arial" w:cs="Arial" w:eastAsia="Arial" w:hAnsi="Arial"/>
                <w:sz w:val="22"/>
                <w:szCs w:val="22"/>
                <w:color w:val="auto"/>
              </w:rPr>
              <w:t>47</w:t>
            </w:r>
          </w:p>
        </w:tc>
        <w:tc>
          <w:tcPr>
            <w:tcW w:w="340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May 11, 2020</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60" w:type="dxa"/>
            <w:vAlign w:val="bottom"/>
          </w:tcPr>
          <w:p>
            <w:pPr>
              <w:ind w:left="160"/>
              <w:spacing w:after="0"/>
              <w:rPr>
                <w:sz w:val="20"/>
                <w:szCs w:val="20"/>
                <w:color w:val="auto"/>
              </w:rPr>
            </w:pPr>
            <w:r>
              <w:rPr>
                <w:rFonts w:ascii="Arial" w:cs="Arial" w:eastAsia="Arial" w:hAnsi="Arial"/>
                <w:sz w:val="18"/>
                <w:szCs w:val="18"/>
                <w:color w:val="auto"/>
                <w:w w:val="89"/>
              </w:rPr>
              <w:t>May 11, 2020</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March 31, 2020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May 11, 2020</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May 11, 2020</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8"/>
    </w:lvl>
    <w:lvl w:ilvl="1">
      <w:lvlJc w:val="left"/>
      <w:lvlText w:val="•"/>
      <w:numFmt w:val="bullet"/>
      <w:start w:val="1"/>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3"/>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5"/>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3"/>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1" Type="http://schemas.openxmlformats.org/officeDocument/2006/relationships/hyperlink" Target="http://www.sec.gov/Archives/edgar/data/1690334/000119312520080834/d878027dex41.htm" TargetMode="External"/><Relationship Id="rId62" Type="http://schemas.openxmlformats.org/officeDocument/2006/relationships/hyperlink" Target="http://www.sec.gov/Archives/edgar/data/1690334/000119312520030121/d870023dex101.htm" TargetMode="External"/><Relationship Id="rId63" Type="http://schemas.openxmlformats.org/officeDocument/2006/relationships/hyperlink" Target="http://www.sec.gov/Archives/edgar/data/1690334/000119312520131063/d9247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2020-05-11T05:55:31Z</dcterms:created>
  <dcterms:modified xsi:type="dcterms:W3CDTF">2020-05-11T05:55:31Z</dcterms:modified>
</cp:coreProperties>
</file>