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Young Lisa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16,564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48,242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award reported in this Form 4 will lapse on the earlier of (i) the date of the 2027 annual meeting of stockholders of the Issuer, provided that such date is not less than 50 weeks from the grant date of such award, and (ii) June 2,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3111"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3284</Characters>
  <CharactersWithSpaces>3842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