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Llorca Jesus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SEACOR MARINE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12121 WICKCHESTER LANE,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SEACOR Marine Holdings Inc.</w:t>
              </w:r>
            </w:hyperlink>
            <w:r>
              <w:rPr/>
              <w:t xml:space="preserve"> [ </w:t>
            </w:r>
            <w:r>
              <w:rPr>
                <w:rFonts w:ascii="Times;serif" w:hAnsi="Times;serif"/>
                <w:color w:val="0000FF"/>
                <w:sz w:val="24"/>
                <w:shd w:fill="FFFFFF" w:val="clear"/>
              </w:rPr>
              <w:t>SMHI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54"/>
        <w:gridCol w:w="461"/>
        <w:gridCol w:w="717"/>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3,207</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9.85</w:t>
            </w:r>
            <w:r>
              <w:rPr>
                <w:rFonts w:ascii="Times;serif" w:hAnsi="Times;serif"/>
                <w:color w:val="008000"/>
                <w:position w:val="7"/>
                <w:sz w:val="16"/>
                <w:sz w:val="20"/>
                <w:shd w:fill="FFFFFF" w:val="clear"/>
              </w:rPr>
              <w:t>(1)</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385,082</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$9.77 to $9.94,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sale of 3,207 shares occurred automatically pursuant to a Rule 10b5-1 trading plan adopted by the Reporting Person on March 12,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H. Everett 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05427" TargetMode="External"/><Relationship Id="rId5" Type="http://schemas.openxmlformats.org/officeDocument/2006/relationships/hyperlink" Target="http://www.sec.gov/cgi-bin/browse-edgar?action=getcompany&amp;CIK=00016903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673</Words>
  <Characters>3615</Characters>
  <CharactersWithSpaces>4219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