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108585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3"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(Mark One)</w:t>
      </w:r>
    </w:p>
    <w:p>
      <w:pPr>
        <w:spacing w:after="0" w:line="126"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05"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54" w:lineRule="exact"/>
        <w:rPr>
          <w:sz w:val="24"/>
          <w:szCs w:val="24"/>
          <w:color w:val="auto"/>
        </w:rPr>
      </w:pPr>
    </w:p>
    <w:p>
      <w:pPr>
        <w:jc w:val="center"/>
        <w:ind w:right="-19"/>
        <w:spacing w:after="0"/>
        <w:tabs>
          <w:tab w:leader="none" w:pos="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1-37966</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SEACOR Marine Holdings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2"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560" w:type="dxa"/>
            <w:vAlign w:val="bottom"/>
          </w:tcPr>
          <w:p>
            <w:pPr>
              <w:jc w:val="center"/>
              <w:ind w:right="1710"/>
              <w:spacing w:after="0"/>
              <w:rPr>
                <w:sz w:val="20"/>
                <w:szCs w:val="20"/>
                <w:color w:val="auto"/>
              </w:rPr>
            </w:pPr>
            <w:r>
              <w:rPr>
                <w:rFonts w:ascii="Arial" w:cs="Arial" w:eastAsia="Arial" w:hAnsi="Arial"/>
                <w:sz w:val="18"/>
                <w:szCs w:val="18"/>
                <w:b w:val="1"/>
                <w:bCs w:val="1"/>
                <w:color w:val="auto"/>
                <w:w w:val="91"/>
              </w:rPr>
              <w:t>Delaware</w:t>
            </w:r>
          </w:p>
        </w:tc>
        <w:tc>
          <w:tcPr>
            <w:tcW w:w="3200" w:type="dxa"/>
            <w:vAlign w:val="bottom"/>
          </w:tcPr>
          <w:p>
            <w:pPr>
              <w:jc w:val="right"/>
              <w:ind w:right="170"/>
              <w:spacing w:after="0"/>
              <w:rPr>
                <w:sz w:val="20"/>
                <w:szCs w:val="20"/>
                <w:color w:val="auto"/>
              </w:rPr>
            </w:pPr>
            <w:r>
              <w:rPr>
                <w:rFonts w:ascii="Arial" w:cs="Arial" w:eastAsia="Arial" w:hAnsi="Arial"/>
                <w:sz w:val="18"/>
                <w:szCs w:val="18"/>
                <w:b w:val="1"/>
                <w:bCs w:val="1"/>
                <w:color w:val="auto"/>
              </w:rPr>
              <w:t>47-2564547</w:t>
            </w:r>
          </w:p>
        </w:tc>
      </w:tr>
      <w:tr>
        <w:trPr>
          <w:trHeight w:val="216"/>
        </w:trPr>
        <w:tc>
          <w:tcPr>
            <w:tcW w:w="5560" w:type="dxa"/>
            <w:vAlign w:val="bottom"/>
          </w:tcPr>
          <w:p>
            <w:pPr>
              <w:jc w:val="center"/>
              <w:ind w:right="1710"/>
              <w:spacing w:after="0"/>
              <w:rPr>
                <w:sz w:val="20"/>
                <w:szCs w:val="20"/>
                <w:color w:val="auto"/>
              </w:rPr>
            </w:pPr>
            <w:r>
              <w:rPr>
                <w:rFonts w:ascii="Arial" w:cs="Arial" w:eastAsia="Arial" w:hAnsi="Arial"/>
                <w:sz w:val="18"/>
                <w:szCs w:val="18"/>
                <w:b w:val="1"/>
                <w:bCs w:val="1"/>
                <w:color w:val="auto"/>
                <w:w w:val="90"/>
              </w:rPr>
              <w:t>(State or Other Jurisdiction of</w:t>
            </w:r>
          </w:p>
        </w:tc>
        <w:tc>
          <w:tcPr>
            <w:tcW w:w="3200" w:type="dxa"/>
            <w:vAlign w:val="bottom"/>
          </w:tcPr>
          <w:p>
            <w:pPr>
              <w:jc w:val="center"/>
              <w:ind w:left="17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5560" w:type="dxa"/>
            <w:vAlign w:val="bottom"/>
          </w:tcPr>
          <w:p>
            <w:pPr>
              <w:jc w:val="center"/>
              <w:ind w:right="1730"/>
              <w:spacing w:after="0"/>
              <w:rPr>
                <w:sz w:val="20"/>
                <w:szCs w:val="20"/>
                <w:color w:val="auto"/>
              </w:rPr>
            </w:pPr>
            <w:r>
              <w:rPr>
                <w:rFonts w:ascii="Arial" w:cs="Arial" w:eastAsia="Arial" w:hAnsi="Arial"/>
                <w:sz w:val="18"/>
                <w:szCs w:val="18"/>
                <w:b w:val="1"/>
                <w:bCs w:val="1"/>
                <w:color w:val="auto"/>
                <w:w w:val="93"/>
              </w:rPr>
              <w:t>Incorporation or Organization)</w:t>
            </w:r>
          </w:p>
        </w:tc>
        <w:tc>
          <w:tcPr>
            <w:tcW w:w="3200" w:type="dxa"/>
            <w:vAlign w:val="bottom"/>
          </w:tcPr>
          <w:p>
            <w:pPr>
              <w:jc w:val="center"/>
              <w:ind w:left="1710"/>
              <w:spacing w:after="0"/>
              <w:rPr>
                <w:sz w:val="20"/>
                <w:szCs w:val="20"/>
                <w:color w:val="auto"/>
              </w:rPr>
            </w:pPr>
            <w:r>
              <w:rPr>
                <w:rFonts w:ascii="Arial" w:cs="Arial" w:eastAsia="Arial" w:hAnsi="Arial"/>
                <w:sz w:val="18"/>
                <w:szCs w:val="18"/>
                <w:b w:val="1"/>
                <w:bCs w:val="1"/>
                <w:color w:val="auto"/>
                <w:w w:val="92"/>
              </w:rPr>
              <w:t>Identification No.)</w:t>
            </w:r>
          </w:p>
        </w:tc>
      </w:tr>
      <w:tr>
        <w:trPr>
          <w:trHeight w:val="338"/>
        </w:trPr>
        <w:tc>
          <w:tcPr>
            <w:tcW w:w="5560" w:type="dxa"/>
            <w:vAlign w:val="bottom"/>
          </w:tcPr>
          <w:p>
            <w:pPr>
              <w:jc w:val="center"/>
              <w:ind w:right="1710"/>
              <w:spacing w:after="0"/>
              <w:rPr>
                <w:sz w:val="20"/>
                <w:szCs w:val="20"/>
                <w:color w:val="auto"/>
              </w:rPr>
            </w:pPr>
            <w:r>
              <w:rPr>
                <w:rFonts w:ascii="Arial" w:cs="Arial" w:eastAsia="Arial" w:hAnsi="Arial"/>
                <w:sz w:val="18"/>
                <w:szCs w:val="18"/>
                <w:b w:val="1"/>
                <w:bCs w:val="1"/>
                <w:color w:val="auto"/>
                <w:w w:val="90"/>
              </w:rPr>
              <w:t>12121 Wickchester Lane, Suite 500, Houston, TX</w:t>
            </w:r>
          </w:p>
        </w:tc>
        <w:tc>
          <w:tcPr>
            <w:tcW w:w="3200" w:type="dxa"/>
            <w:vAlign w:val="bottom"/>
          </w:tcPr>
          <w:p>
            <w:pPr>
              <w:jc w:val="right"/>
              <w:ind w:right="390"/>
              <w:spacing w:after="0"/>
              <w:rPr>
                <w:sz w:val="20"/>
                <w:szCs w:val="20"/>
                <w:color w:val="auto"/>
              </w:rPr>
            </w:pPr>
            <w:r>
              <w:rPr>
                <w:rFonts w:ascii="Arial" w:cs="Arial" w:eastAsia="Arial" w:hAnsi="Arial"/>
                <w:sz w:val="18"/>
                <w:szCs w:val="18"/>
                <w:b w:val="1"/>
                <w:bCs w:val="1"/>
                <w:color w:val="auto"/>
              </w:rPr>
              <w:t>77079</w:t>
            </w:r>
          </w:p>
        </w:tc>
      </w:tr>
      <w:tr>
        <w:trPr>
          <w:trHeight w:val="297"/>
        </w:trPr>
        <w:tc>
          <w:tcPr>
            <w:tcW w:w="5560" w:type="dxa"/>
            <w:vAlign w:val="bottom"/>
          </w:tcPr>
          <w:p>
            <w:pPr>
              <w:jc w:val="center"/>
              <w:ind w:right="171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200" w:type="dxa"/>
            <w:vAlign w:val="bottom"/>
          </w:tcPr>
          <w:p>
            <w:pPr>
              <w:jc w:val="center"/>
              <w:ind w:left="1710"/>
              <w:spacing w:after="0"/>
              <w:rPr>
                <w:sz w:val="20"/>
                <w:szCs w:val="20"/>
                <w:color w:val="auto"/>
              </w:rPr>
            </w:pPr>
            <w:r>
              <w:rPr>
                <w:rFonts w:ascii="Arial" w:cs="Arial" w:eastAsia="Arial" w:hAnsi="Arial"/>
                <w:sz w:val="18"/>
                <w:szCs w:val="18"/>
                <w:b w:val="1"/>
                <w:bCs w:val="1"/>
                <w:color w:val="auto"/>
                <w:w w:val="94"/>
              </w:rPr>
              <w:t>(Zip Code)</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(346) 980-1700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7" w:lineRule="exact"/>
        <w:rPr>
          <w:sz w:val="24"/>
          <w:szCs w:val="24"/>
          <w:color w:val="auto"/>
        </w:rPr>
      </w:pPr>
    </w:p>
    <w:p>
      <w:pPr>
        <w:ind w:left="7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3" w:lineRule="exact"/>
        <w:rPr>
          <w:sz w:val="24"/>
          <w:szCs w:val="24"/>
          <w:color w:val="auto"/>
        </w:rPr>
      </w:pPr>
    </w:p>
    <w:tbl>
      <w:tblPr>
        <w:tblLayout w:type="fixed"/>
        <w:tblInd w:w="760" w:type="dxa"/>
        <w:tblCellMar>
          <w:top w:w="0" w:type="dxa"/>
          <w:left w:w="0" w:type="dxa"/>
          <w:bottom w:w="0" w:type="dxa"/>
          <w:right w:w="0" w:type="dxa"/>
        </w:tblCellMar>
      </w:tblPr>
      <w:tr>
        <w:trPr>
          <w:trHeight w:val="207"/>
        </w:trPr>
        <w:tc>
          <w:tcPr>
            <w:tcW w:w="8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400" w:type="dxa"/>
            <w:vAlign w:val="bottom"/>
          </w:tcPr>
          <w:p>
            <w:pPr>
              <w:spacing w:after="0"/>
              <w:rPr>
                <w:sz w:val="18"/>
                <w:szCs w:val="18"/>
                <w:color w:val="auto"/>
              </w:rPr>
            </w:pPr>
          </w:p>
        </w:tc>
        <w:tc>
          <w:tcPr>
            <w:tcW w:w="298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9"/>
              </w:rPr>
              <w:t>Trading Symbol(s)</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37"/>
        </w:trPr>
        <w:tc>
          <w:tcPr>
            <w:tcW w:w="3580" w:type="dxa"/>
            <w:vAlign w:val="bottom"/>
            <w:gridSpan w:val="3"/>
          </w:tcPr>
          <w:p>
            <w:pPr>
              <w:jc w:val="center"/>
              <w:ind w:right="580"/>
              <w:spacing w:after="0"/>
              <w:rPr>
                <w:sz w:val="20"/>
                <w:szCs w:val="20"/>
                <w:color w:val="auto"/>
              </w:rPr>
            </w:pPr>
            <w:r>
              <w:rPr>
                <w:rFonts w:ascii="Arial" w:cs="Arial" w:eastAsia="Arial" w:hAnsi="Arial"/>
                <w:sz w:val="18"/>
                <w:szCs w:val="18"/>
                <w:color w:val="auto"/>
                <w:w w:val="89"/>
              </w:rPr>
              <w:t>Common stock, par value $0.01 per share</w:t>
            </w:r>
          </w:p>
        </w:tc>
        <w:tc>
          <w:tcPr>
            <w:tcW w:w="580" w:type="dxa"/>
            <w:vAlign w:val="bottom"/>
          </w:tcPr>
          <w:p>
            <w:pPr>
              <w:spacing w:after="0"/>
              <w:rPr>
                <w:sz w:val="20"/>
                <w:szCs w:val="20"/>
                <w:color w:val="auto"/>
              </w:rPr>
            </w:pPr>
          </w:p>
        </w:tc>
        <w:tc>
          <w:tcPr>
            <w:tcW w:w="2400" w:type="dxa"/>
            <w:vAlign w:val="bottom"/>
            <w:gridSpan w:val="2"/>
          </w:tcPr>
          <w:p>
            <w:pPr>
              <w:jc w:val="center"/>
              <w:ind w:right="980"/>
              <w:spacing w:after="0"/>
              <w:rPr>
                <w:sz w:val="20"/>
                <w:szCs w:val="20"/>
                <w:color w:val="auto"/>
              </w:rPr>
            </w:pPr>
            <w:r>
              <w:rPr>
                <w:rFonts w:ascii="Arial" w:cs="Arial" w:eastAsia="Arial" w:hAnsi="Arial"/>
                <w:sz w:val="18"/>
                <w:szCs w:val="18"/>
                <w:color w:val="auto"/>
              </w:rPr>
              <w:t>SMHI</w:t>
            </w: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07" w:lineRule="exact"/>
        <w:rPr>
          <w:sz w:val="24"/>
          <w:szCs w:val="24"/>
          <w:color w:val="auto"/>
        </w:rPr>
      </w:pPr>
    </w:p>
    <w:p>
      <w:pPr>
        <w:jc w:val="both"/>
        <w:ind w:firstLine="74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74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749"/>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553" w:right="339" w:bottom="1440" w:gutter="0" w:footer="0" w:header="0"/>
        </w:sectPr>
      </w:pPr>
    </w:p>
    <w:p>
      <w:pPr>
        <w:spacing w:after="0" w:line="89"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jc w:val="center"/>
        <w:spacing w:after="0"/>
        <w:tabs>
          <w:tab w:leader="none" w:pos="3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Emerging growth</w:t>
      </w:r>
    </w:p>
    <w:p>
      <w:pPr>
        <w:spacing w:after="0" w:line="58"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company</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jc w:val="center"/>
        <w:ind w:right="400"/>
        <w:spacing w:after="0" w:line="161" w:lineRule="exact"/>
        <w:rPr>
          <w:sz w:val="20"/>
          <w:szCs w:val="20"/>
          <w:color w:val="auto"/>
        </w:rPr>
      </w:pPr>
      <w:r>
        <w:rPr>
          <w:rFonts w:ascii="MS PGothic" w:cs="MS PGothic" w:eastAsia="MS PGothic" w:hAnsi="MS PGothic"/>
          <w:sz w:val="16"/>
          <w:szCs w:val="16"/>
          <w:color w:val="auto"/>
        </w:rPr>
        <w:t>☒</w:t>
      </w:r>
    </w:p>
    <w:p>
      <w:pPr>
        <w:spacing w:after="0" w:line="426" w:lineRule="exact"/>
        <w:rPr>
          <w:sz w:val="24"/>
          <w:szCs w:val="24"/>
          <w:color w:val="auto"/>
        </w:rPr>
      </w:pPr>
    </w:p>
    <w:p>
      <w:pPr>
        <w:sectPr>
          <w:pgSz w:w="11900" w:h="16838" w:orient="portrait"/>
          <w:cols w:equalWidth="0" w:num="9">
            <w:col w:w="1620" w:space="80"/>
            <w:col w:w="160" w:space="400"/>
            <w:col w:w="1200" w:space="500"/>
            <w:col w:w="160" w:space="400"/>
            <w:col w:w="1520" w:space="160"/>
            <w:col w:w="160" w:space="420"/>
            <w:col w:w="1260" w:space="420"/>
            <w:col w:w="1820" w:space="400"/>
            <w:col w:w="560"/>
          </w:cols>
          <w:pgMar w:left="320" w:top="553" w:right="339" w:bottom="1440" w:gutter="0" w:footer="0" w:header="0"/>
          <w:type w:val="continuous"/>
        </w:sectPr>
      </w:pPr>
    </w:p>
    <w:p>
      <w:pPr>
        <w:ind w:right="20" w:firstLine="749"/>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760"/>
        <w:spacing w:after="0" w:line="207" w:lineRule="exact"/>
        <w:tabs>
          <w:tab w:leader="none" w:pos="96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50" w:lineRule="exact"/>
        <w:rPr>
          <w:sz w:val="24"/>
          <w:szCs w:val="24"/>
          <w:color w:val="auto"/>
        </w:rPr>
      </w:pPr>
    </w:p>
    <w:p>
      <w:pPr>
        <w:ind w:left="760"/>
        <w:spacing w:after="0"/>
        <w:rPr>
          <w:sz w:val="20"/>
          <w:szCs w:val="20"/>
          <w:color w:val="auto"/>
        </w:rPr>
      </w:pPr>
      <w:r>
        <w:rPr>
          <w:rFonts w:ascii="Arial" w:cs="Arial" w:eastAsia="Arial" w:hAnsi="Arial"/>
          <w:sz w:val="16"/>
          <w:szCs w:val="16"/>
          <w:color w:val="auto"/>
        </w:rPr>
        <w:t>The total number of shares of common stock, par value $.01 per share (“Common Stock”), outstanding as of October 28, 2022 was 26,702,161.</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has no other class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320" w:type="dxa"/>
            <w:vAlign w:val="bottom"/>
            <w:gridSpan w:val="11"/>
          </w:tcPr>
          <w:p>
            <w:pPr>
              <w:jc w:val="center"/>
              <w:ind w:right="3180"/>
              <w:spacing w:after="0"/>
              <w:rPr>
                <w:sz w:val="20"/>
                <w:szCs w:val="20"/>
                <w:color w:val="auto"/>
              </w:rPr>
            </w:pPr>
            <w:r>
              <w:rPr>
                <w:rFonts w:ascii="Arial" w:cs="Arial" w:eastAsia="Arial" w:hAnsi="Arial"/>
                <w:sz w:val="18"/>
                <w:szCs w:val="18"/>
                <w:b w:val="1"/>
                <w:bCs w:val="1"/>
                <w:color w:val="auto"/>
              </w:rPr>
              <w:t>SEACOR MARINE HOLDINGS INC.</w:t>
            </w:r>
          </w:p>
        </w:tc>
        <w:tc>
          <w:tcPr>
            <w:tcW w:w="860" w:type="dxa"/>
            <w:vAlign w:val="bottom"/>
          </w:tcPr>
          <w:p>
            <w:pPr>
              <w:spacing w:after="0"/>
              <w:rPr>
                <w:sz w:val="20"/>
                <w:szCs w:val="20"/>
                <w:color w:val="auto"/>
              </w:rPr>
            </w:pPr>
          </w:p>
        </w:tc>
      </w:tr>
      <w:tr>
        <w:trPr>
          <w:trHeight w:val="392"/>
        </w:trPr>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60" w:type="dxa"/>
            <w:vAlign w:val="bottom"/>
            <w:gridSpan w:val="9"/>
          </w:tcPr>
          <w:p>
            <w:pPr>
              <w:jc w:val="center"/>
              <w:ind w:right="3460"/>
              <w:spacing w:after="0"/>
              <w:rPr>
                <w:sz w:val="20"/>
                <w:szCs w:val="20"/>
                <w:color w:val="auto"/>
              </w:rPr>
            </w:pPr>
            <w:r>
              <w:rPr>
                <w:rFonts w:ascii="Arial" w:cs="Arial" w:eastAsia="Arial" w:hAnsi="Arial"/>
                <w:sz w:val="18"/>
                <w:szCs w:val="18"/>
                <w:b w:val="1"/>
                <w:bCs w:val="1"/>
                <w:color w:val="auto"/>
                <w:w w:val="89"/>
              </w:rPr>
              <w:t>Table of Contents</w:t>
            </w:r>
          </w:p>
        </w:tc>
        <w:tc>
          <w:tcPr>
            <w:tcW w:w="860" w:type="dxa"/>
            <w:vAlign w:val="bottom"/>
          </w:tcPr>
          <w:p>
            <w:pPr>
              <w:spacing w:after="0"/>
              <w:rPr>
                <w:sz w:val="24"/>
                <w:szCs w:val="24"/>
                <w:color w:val="auto"/>
              </w:rPr>
            </w:pPr>
          </w:p>
        </w:tc>
      </w:tr>
      <w:tr>
        <w:trPr>
          <w:trHeight w:val="391"/>
        </w:trPr>
        <w:tc>
          <w:tcPr>
            <w:tcW w:w="920" w:type="dxa"/>
            <w:vAlign w:val="bottom"/>
          </w:tcPr>
          <w:p>
            <w:pPr>
              <w:spacing w:after="0"/>
              <w:rPr>
                <w:sz w:val="20"/>
                <w:szCs w:val="20"/>
                <w:color w:val="auto"/>
              </w:rPr>
            </w:pPr>
            <w:r>
              <w:rPr>
                <w:rFonts w:ascii="Arial" w:cs="Arial" w:eastAsia="Arial" w:hAnsi="Arial"/>
                <w:sz w:val="18"/>
                <w:szCs w:val="18"/>
                <w:color w:val="auto"/>
              </w:rPr>
              <w:t>Part I.</w:t>
            </w:r>
          </w:p>
        </w:tc>
        <w:tc>
          <w:tcPr>
            <w:tcW w:w="16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5"/>
              </w:rPr>
              <w:t>Financial Information</w:t>
            </w:r>
          </w:p>
        </w:tc>
        <w:tc>
          <w:tcPr>
            <w:tcW w:w="7820" w:type="dxa"/>
            <w:vAlign w:val="bottom"/>
            <w:gridSpan w:val="16"/>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89"/>
              </w:rPr>
              <w:t>Financial Statements (Unaudited)</w:t>
            </w:r>
          </w:p>
        </w:tc>
        <w:tc>
          <w:tcPr>
            <w:tcW w:w="6060" w:type="dxa"/>
            <w:vAlign w:val="bottom"/>
            <w:gridSpan w:val="9"/>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58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88"/>
              </w:rPr>
              <w:t>Condensed Consolidated Balance Sheets as of September 30, 2022 and December 31, 2021</w:t>
            </w:r>
          </w:p>
        </w:tc>
        <w:tc>
          <w:tcPr>
            <w:tcW w:w="1900" w:type="dxa"/>
            <w:vAlign w:val="bottom"/>
            <w:gridSpan w:val="4"/>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8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89"/>
              </w:rPr>
              <w:t>Condensed Consolidated Statements of Income (Loss) for the Three and Nine Months Ended September 30, 2022 and</w:t>
            </w: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4"/>
              </w:rPr>
              <w:t>2021</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80" w:type="dxa"/>
            <w:vAlign w:val="bottom"/>
            <w:gridSpan w:val="19"/>
          </w:tcPr>
          <w:p>
            <w:pPr>
              <w:spacing w:after="0"/>
              <w:rPr>
                <w:sz w:val="20"/>
                <w:szCs w:val="20"/>
                <w:color w:val="auto"/>
              </w:rPr>
            </w:pPr>
            <w:r>
              <w:rPr>
                <w:rFonts w:ascii="Arial" w:cs="Arial" w:eastAsia="Arial" w:hAnsi="Arial"/>
                <w:sz w:val="18"/>
                <w:szCs w:val="18"/>
                <w:color w:val="0000EE"/>
                <w:w w:val="96"/>
              </w:rPr>
              <w:t>Condensed Consolidated Statements of Comprehensive Income (Loss) for the Three and Nine Months Ended</w:t>
            </w: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7"/>
              </w:rPr>
              <w:t>September 30, 2022 and 2021</w:t>
            </w:r>
          </w:p>
        </w:tc>
        <w:tc>
          <w:tcPr>
            <w:tcW w:w="5700" w:type="dxa"/>
            <w:vAlign w:val="bottom"/>
            <w:tcBorders>
              <w:top w:val="single" w:sz="8" w:color="0000EE"/>
            </w:tcBorders>
            <w:gridSpan w:val="8"/>
          </w:tcPr>
          <w:p>
            <w:pPr>
              <w:spacing w:after="0"/>
              <w:rPr>
                <w:sz w:val="17"/>
                <w:szCs w:val="17"/>
                <w:color w:val="auto"/>
              </w:rPr>
            </w:pPr>
          </w:p>
        </w:tc>
        <w:tc>
          <w:tcPr>
            <w:tcW w:w="62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80" w:type="dxa"/>
            <w:vAlign w:val="bottom"/>
            <w:gridSpan w:val="19"/>
          </w:tcPr>
          <w:p>
            <w:pPr>
              <w:spacing w:after="0"/>
              <w:rPr>
                <w:sz w:val="20"/>
                <w:szCs w:val="20"/>
                <w:color w:val="auto"/>
              </w:rPr>
            </w:pPr>
            <w:r>
              <w:rPr>
                <w:rFonts w:ascii="Arial" w:cs="Arial" w:eastAsia="Arial" w:hAnsi="Arial"/>
                <w:sz w:val="18"/>
                <w:szCs w:val="18"/>
                <w:color w:val="0000EE"/>
                <w:w w:val="89"/>
              </w:rPr>
              <w:t>Condensed Consolidated Statements of Changes in Equity for the Three and Nine Months Ended September 30, 2022</w:t>
            </w: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60" w:type="dxa"/>
            <w:vAlign w:val="bottom"/>
            <w:tcBorders>
              <w:top w:val="single" w:sz="8" w:color="0000EE"/>
            </w:tcBorders>
            <w:gridSpan w:val="18"/>
          </w:tcPr>
          <w:p>
            <w:pPr>
              <w:spacing w:after="0" w:line="196" w:lineRule="exact"/>
              <w:rPr>
                <w:sz w:val="20"/>
                <w:szCs w:val="20"/>
                <w:color w:val="auto"/>
              </w:rPr>
            </w:pPr>
            <w:r>
              <w:rPr>
                <w:rFonts w:ascii="Arial" w:cs="Arial" w:eastAsia="Arial" w:hAnsi="Arial"/>
                <w:sz w:val="18"/>
                <w:szCs w:val="18"/>
                <w:color w:val="0000EE"/>
              </w:rPr>
              <w:t>and 2021</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80" w:type="dxa"/>
            <w:vAlign w:val="bottom"/>
            <w:gridSpan w:val="19"/>
          </w:tcPr>
          <w:p>
            <w:pPr>
              <w:spacing w:after="0"/>
              <w:rPr>
                <w:sz w:val="20"/>
                <w:szCs w:val="20"/>
                <w:color w:val="auto"/>
              </w:rPr>
            </w:pPr>
            <w:r>
              <w:rPr>
                <w:rFonts w:ascii="Arial" w:cs="Arial" w:eastAsia="Arial" w:hAnsi="Arial"/>
                <w:sz w:val="18"/>
                <w:szCs w:val="18"/>
                <w:color w:val="0000EE"/>
                <w:w w:val="95"/>
              </w:rPr>
              <w:t>Condensed Consolidated Statements of Cash Flows for the Nine Months Ended September 30, 2022 and 2021</w:t>
            </w: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11"/>
          </w:tcPr>
          <w:p>
            <w:pPr>
              <w:spacing w:after="0"/>
              <w:rPr>
                <w:sz w:val="20"/>
                <w:szCs w:val="20"/>
                <w:color w:val="auto"/>
              </w:rPr>
            </w:pPr>
            <w:r>
              <w:rPr>
                <w:rFonts w:ascii="Arial" w:cs="Arial" w:eastAsia="Arial" w:hAnsi="Arial"/>
                <w:sz w:val="18"/>
                <w:szCs w:val="18"/>
                <w:color w:val="0000EE"/>
                <w:w w:val="88"/>
              </w:rPr>
              <w:t>Notes to Condensed Consolidated Financial Statements</w:t>
            </w:r>
          </w:p>
        </w:tc>
        <w:tc>
          <w:tcPr>
            <w:tcW w:w="3920" w:type="dxa"/>
            <w:vAlign w:val="bottom"/>
            <w:tcBorders>
              <w:top w:val="single" w:sz="8" w:color="0000EE"/>
            </w:tcBorders>
            <w:gridSpan w:val="6"/>
          </w:tcPr>
          <w:p>
            <w:pPr>
              <w:spacing w:after="0"/>
              <w:rPr>
                <w:sz w:val="24"/>
                <w:szCs w:val="24"/>
                <w:color w:val="auto"/>
              </w:rPr>
            </w:pPr>
          </w:p>
        </w:tc>
        <w:tc>
          <w:tcPr>
            <w:tcW w:w="560" w:type="dxa"/>
            <w:vAlign w:val="bottom"/>
            <w:gridSpan w:val="2"/>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2020" w:type="dxa"/>
            <w:vAlign w:val="bottom"/>
            <w:gridSpan w:val="5"/>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2"/>
              </w:rPr>
              <w:t>Quantitative and Qualitative Disclosures About Market Risk</w:t>
            </w:r>
          </w:p>
        </w:tc>
        <w:tc>
          <w:tcPr>
            <w:tcW w:w="4120" w:type="dxa"/>
            <w:vAlign w:val="bottom"/>
            <w:gridSpan w:val="6"/>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8480" w:type="dxa"/>
            <w:vAlign w:val="bottom"/>
            <w:gridSpan w:val="19"/>
          </w:tcPr>
          <w:p>
            <w:pPr>
              <w:spacing w:after="0"/>
              <w:rPr>
                <w:sz w:val="20"/>
                <w:szCs w:val="20"/>
                <w:color w:val="auto"/>
              </w:rPr>
            </w:pPr>
            <w:r>
              <w:rPr>
                <w:rFonts w:ascii="Arial" w:cs="Arial" w:eastAsia="Arial" w:hAnsi="Arial"/>
                <w:sz w:val="18"/>
                <w:szCs w:val="18"/>
                <w:color w:val="0000EE"/>
              </w:rPr>
              <w:t>Controls and Procedures</w:t>
            </w:r>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414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Part II.</w:t>
            </w:r>
          </w:p>
        </w:tc>
        <w:tc>
          <w:tcPr>
            <w:tcW w:w="13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2"/>
              </w:rPr>
              <w:t>Other Information</w:t>
            </w:r>
          </w:p>
        </w:tc>
        <w:tc>
          <w:tcPr>
            <w:tcW w:w="8140" w:type="dxa"/>
            <w:vAlign w:val="bottom"/>
            <w:gridSpan w:val="18"/>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88"/>
              </w:rPr>
              <w:t>Legal Proceedings</w:t>
            </w:r>
          </w:p>
        </w:tc>
        <w:tc>
          <w:tcPr>
            <w:tcW w:w="7140" w:type="dxa"/>
            <w:vAlign w:val="bottom"/>
            <w:gridSpan w:val="13"/>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1A.</w:t>
            </w:r>
          </w:p>
        </w:tc>
        <w:tc>
          <w:tcPr>
            <w:tcW w:w="8480" w:type="dxa"/>
            <w:vAlign w:val="bottom"/>
            <w:gridSpan w:val="19"/>
          </w:tcPr>
          <w:p>
            <w:pPr>
              <w:spacing w:after="0"/>
              <w:rPr>
                <w:sz w:val="20"/>
                <w:szCs w:val="20"/>
                <w:color w:val="auto"/>
              </w:rPr>
            </w:pPr>
            <w:r>
              <w:rPr>
                <w:rFonts w:ascii="Arial" w:cs="Arial" w:eastAsia="Arial" w:hAnsi="Arial"/>
                <w:sz w:val="18"/>
                <w:szCs w:val="18"/>
                <w:color w:val="0000EE"/>
              </w:rPr>
              <w:t>Risk Factors</w:t>
            </w: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414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17"/>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8480" w:type="dxa"/>
            <w:vAlign w:val="bottom"/>
            <w:gridSpan w:val="19"/>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226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color w:val="0000EE"/>
                <w:w w:val="91"/>
              </w:rPr>
              <w:t>Default Upon Senior Securities</w:t>
            </w:r>
          </w:p>
        </w:tc>
        <w:tc>
          <w:tcPr>
            <w:tcW w:w="2080" w:type="dxa"/>
            <w:vAlign w:val="bottom"/>
            <w:tcBorders>
              <w:top w:val="single" w:sz="8" w:color="0000EE"/>
            </w:tcBorders>
            <w:gridSpan w:val="3"/>
          </w:tcPr>
          <w:p>
            <w:pPr>
              <w:spacing w:after="0"/>
              <w:rPr>
                <w:sz w:val="24"/>
                <w:szCs w:val="24"/>
                <w:color w:val="auto"/>
              </w:rPr>
            </w:pPr>
          </w:p>
        </w:tc>
        <w:tc>
          <w:tcPr>
            <w:tcW w:w="4140" w:type="dxa"/>
            <w:vAlign w:val="bottom"/>
            <w:gridSpan w:val="7"/>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8480" w:type="dxa"/>
            <w:vAlign w:val="bottom"/>
            <w:gridSpan w:val="19"/>
          </w:tcPr>
          <w:p>
            <w:pPr>
              <w:spacing w:after="0"/>
              <w:rPr>
                <w:sz w:val="20"/>
                <w:szCs w:val="20"/>
                <w:color w:val="auto"/>
              </w:rPr>
            </w:pPr>
            <w:r>
              <w:rPr>
                <w:rFonts w:ascii="Arial" w:cs="Arial" w:eastAsia="Arial" w:hAnsi="Arial"/>
                <w:sz w:val="18"/>
                <w:szCs w:val="18"/>
                <w:color w:val="0000EE"/>
              </w:rPr>
              <w:t>Mine Safety Disclosures</w:t>
            </w: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92"/>
              </w:rPr>
              <w:t>Other Information</w:t>
            </w:r>
          </w:p>
        </w:tc>
        <w:tc>
          <w:tcPr>
            <w:tcW w:w="440" w:type="dxa"/>
            <w:vAlign w:val="bottom"/>
            <w:tcBorders>
              <w:top w:val="single" w:sz="8" w:color="0000EE"/>
            </w:tcBorders>
            <w:gridSpan w:val="2"/>
          </w:tcPr>
          <w:p>
            <w:pPr>
              <w:spacing w:after="0"/>
              <w:rPr>
                <w:sz w:val="24"/>
                <w:szCs w:val="24"/>
                <w:color w:val="auto"/>
              </w:rPr>
            </w:pPr>
          </w:p>
        </w:tc>
        <w:tc>
          <w:tcPr>
            <w:tcW w:w="6720" w:type="dxa"/>
            <w:vAlign w:val="bottom"/>
            <w:gridSpan w:val="12"/>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6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Exhibits</w:t>
            </w:r>
          </w:p>
        </w:tc>
        <w:tc>
          <w:tcPr>
            <w:tcW w:w="7820" w:type="dxa"/>
            <w:vAlign w:val="bottom"/>
            <w:gridSpan w:val="16"/>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PART I—FINANCIAL INFORMATION</w:t>
      </w:r>
    </w:p>
    <w:p>
      <w:pPr>
        <w:spacing w:after="0" w:line="14"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22"/>
          <w:szCs w:val="22"/>
          <w:b w:val="1"/>
          <w:bCs w:val="1"/>
          <w:color w:val="auto"/>
        </w:rPr>
        <w:t>FINANCIAL STATEMENTS</w:t>
      </w:r>
    </w:p>
    <w:p>
      <w:pPr>
        <w:spacing w:after="0" w:line="7"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SEACOR MARINE HOLDINGS INC. UNAUDITED CONDENSED CONSOLIDATED BALANCE SHEETS (in thousands, except share data)</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w w:val="90"/>
              </w:rPr>
              <w:t>September 30, 2022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2"/>
              </w:rPr>
              <w:t>December 31, 2021</w:t>
            </w:r>
          </w:p>
        </w:tc>
      </w:tr>
      <w:tr>
        <w:trPr>
          <w:trHeight w:val="142"/>
        </w:trPr>
        <w:tc>
          <w:tcPr>
            <w:tcW w:w="7820" w:type="dxa"/>
            <w:vAlign w:val="bottom"/>
            <w:tcBorders>
              <w:top w:val="single" w:sz="8" w:color="CFF0FC"/>
            </w:tcBorders>
            <w:shd w:val="clear" w:color="auto" w:fill="CFF0FC"/>
          </w:tcPr>
          <w:p>
            <w:pPr>
              <w:ind w:left="3580"/>
              <w:spacing w:after="0" w:line="142" w:lineRule="exact"/>
              <w:rPr>
                <w:sz w:val="20"/>
                <w:szCs w:val="20"/>
                <w:color w:val="auto"/>
              </w:rPr>
            </w:pPr>
            <w:r>
              <w:rPr>
                <w:rFonts w:ascii="Arial" w:cs="Arial" w:eastAsia="Arial" w:hAnsi="Arial"/>
                <w:sz w:val="13"/>
                <w:szCs w:val="13"/>
                <w:b w:val="1"/>
                <w:bCs w:val="1"/>
                <w:color w:val="auto"/>
              </w:rPr>
              <w:t>ASSETS</w:t>
            </w:r>
          </w:p>
        </w:tc>
        <w:tc>
          <w:tcPr>
            <w:tcW w:w="140" w:type="dxa"/>
            <w:vAlign w:val="bottom"/>
            <w:tcBorders>
              <w:top w:val="single" w:sz="8" w:color="auto"/>
            </w:tcBorders>
            <w:shd w:val="clear" w:color="auto" w:fill="CFF0FC"/>
          </w:tcPr>
          <w:p>
            <w:pPr>
              <w:spacing w:after="0"/>
              <w:rPr>
                <w:sz w:val="12"/>
                <w:szCs w:val="12"/>
                <w:color w:val="auto"/>
              </w:rPr>
            </w:pPr>
          </w:p>
        </w:tc>
        <w:tc>
          <w:tcPr>
            <w:tcW w:w="136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3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48"/>
        </w:trPr>
        <w:tc>
          <w:tcPr>
            <w:tcW w:w="7820" w:type="dxa"/>
            <w:vAlign w:val="bottom"/>
          </w:tcPr>
          <w:p>
            <w:pPr>
              <w:spacing w:after="0"/>
              <w:rPr>
                <w:sz w:val="20"/>
                <w:szCs w:val="20"/>
                <w:color w:val="auto"/>
              </w:rPr>
            </w:pPr>
            <w:r>
              <w:rPr>
                <w:rFonts w:ascii="Arial" w:cs="Arial" w:eastAsia="Arial" w:hAnsi="Arial"/>
                <w:sz w:val="13"/>
                <w:szCs w:val="13"/>
                <w:color w:val="auto"/>
              </w:rPr>
              <w:t>Current Assets:</w:t>
            </w: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and cash equivalents</w:t>
            </w:r>
          </w:p>
        </w:tc>
        <w:tc>
          <w:tcPr>
            <w:tcW w:w="140" w:type="dxa"/>
            <w:vAlign w:val="bottom"/>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47,514</w:t>
            </w:r>
          </w:p>
        </w:tc>
        <w:tc>
          <w:tcPr>
            <w:tcW w:w="28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ind w:right="74"/>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37,619</w:t>
            </w: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ind w:left="260"/>
              <w:spacing w:after="0"/>
              <w:rPr>
                <w:sz w:val="20"/>
                <w:szCs w:val="20"/>
                <w:color w:val="auto"/>
              </w:rPr>
            </w:pPr>
            <w:r>
              <w:rPr>
                <w:rFonts w:ascii="Arial" w:cs="Arial" w:eastAsia="Arial" w:hAnsi="Arial"/>
                <w:sz w:val="13"/>
                <w:szCs w:val="13"/>
                <w:color w:val="auto"/>
              </w:rPr>
              <w:t>Restricted cash</w:t>
            </w: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3,296</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3,601</w:t>
            </w:r>
          </w:p>
        </w:tc>
        <w:tc>
          <w:tcPr>
            <w:tcW w:w="120" w:type="dxa"/>
            <w:vAlign w:val="bottom"/>
          </w:tcPr>
          <w:p>
            <w:pPr>
              <w:spacing w:after="0"/>
              <w:rPr>
                <w:sz w:val="12"/>
                <w:szCs w:val="12"/>
                <w:color w:val="auto"/>
              </w:rPr>
            </w:pPr>
          </w:p>
        </w:tc>
      </w:tr>
      <w:tr>
        <w:trPr>
          <w:trHeight w:val="149"/>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Receivables:</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ind w:left="500"/>
              <w:spacing w:after="0"/>
              <w:rPr>
                <w:sz w:val="20"/>
                <w:szCs w:val="20"/>
                <w:color w:val="auto"/>
              </w:rPr>
            </w:pPr>
            <w:r>
              <w:rPr>
                <w:rFonts w:ascii="Arial" w:cs="Arial" w:eastAsia="Arial" w:hAnsi="Arial"/>
                <w:sz w:val="13"/>
                <w:szCs w:val="13"/>
                <w:color w:val="auto"/>
              </w:rPr>
              <w:t>Trade, net of allowance for credit loss accounts of $1,639 and $1,312 in 2022 and 2021, respectively</w:t>
            </w: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58,572</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55,544</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Other</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6,647</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6,118</w:t>
            </w: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ind w:left="260"/>
              <w:spacing w:after="0"/>
              <w:rPr>
                <w:sz w:val="20"/>
                <w:szCs w:val="20"/>
                <w:color w:val="auto"/>
              </w:rPr>
            </w:pPr>
            <w:r>
              <w:rPr>
                <w:rFonts w:ascii="Arial" w:cs="Arial" w:eastAsia="Arial" w:hAnsi="Arial"/>
                <w:sz w:val="13"/>
                <w:szCs w:val="13"/>
                <w:color w:val="auto"/>
              </w:rPr>
              <w:t>Note receivable</w:t>
            </w: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20,000</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Tax receivable</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1,238</w:t>
            </w:r>
          </w:p>
        </w:tc>
        <w:tc>
          <w:tcPr>
            <w:tcW w:w="120" w:type="dxa"/>
            <w:vAlign w:val="bottom"/>
            <w:shd w:val="clear" w:color="auto" w:fill="CFF0FC"/>
          </w:tcPr>
          <w:p>
            <w:pPr>
              <w:spacing w:after="0"/>
              <w:rPr>
                <w:sz w:val="12"/>
                <w:szCs w:val="12"/>
                <w:color w:val="auto"/>
              </w:rPr>
            </w:pPr>
          </w:p>
        </w:tc>
      </w:tr>
      <w:tr>
        <w:trPr>
          <w:trHeight w:val="149"/>
        </w:trPr>
        <w:tc>
          <w:tcPr>
            <w:tcW w:w="7820" w:type="dxa"/>
            <w:vAlign w:val="bottom"/>
          </w:tcPr>
          <w:p>
            <w:pPr>
              <w:ind w:left="260"/>
              <w:spacing w:after="0"/>
              <w:rPr>
                <w:sz w:val="20"/>
                <w:szCs w:val="20"/>
                <w:color w:val="auto"/>
              </w:rPr>
            </w:pPr>
            <w:r>
              <w:rPr>
                <w:rFonts w:ascii="Arial" w:cs="Arial" w:eastAsia="Arial" w:hAnsi="Arial"/>
                <w:sz w:val="13"/>
                <w:szCs w:val="13"/>
                <w:color w:val="auto"/>
              </w:rPr>
              <w:t>Inventories</w:t>
            </w: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2,059</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928</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Prepaid expenses and other</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4,700</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3,730</w:t>
            </w: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Assets held for sale</w:t>
            </w: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6,000</w:t>
            </w:r>
          </w:p>
        </w:tc>
        <w:tc>
          <w:tcPr>
            <w:tcW w:w="28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2,235</w:t>
            </w:r>
          </w:p>
        </w:tc>
        <w:tc>
          <w:tcPr>
            <w:tcW w:w="120" w:type="dxa"/>
            <w:vAlign w:val="bottom"/>
            <w:tcBorders>
              <w:bottom w:val="single" w:sz="8" w:color="CFF0FC"/>
            </w:tcBorders>
          </w:tcPr>
          <w:p>
            <w:pPr>
              <w:spacing w:after="0"/>
              <w:rPr>
                <w:sz w:val="12"/>
                <w:szCs w:val="12"/>
                <w:color w:val="auto"/>
              </w:rPr>
            </w:pPr>
          </w:p>
        </w:tc>
      </w:tr>
      <w:tr>
        <w:trPr>
          <w:trHeight w:val="142"/>
        </w:trPr>
        <w:tc>
          <w:tcPr>
            <w:tcW w:w="7820" w:type="dxa"/>
            <w:vAlign w:val="bottom"/>
            <w:shd w:val="clear" w:color="auto" w:fill="CFF0FC"/>
          </w:tcPr>
          <w:p>
            <w:pPr>
              <w:ind w:left="500"/>
              <w:spacing w:after="0" w:line="142" w:lineRule="exact"/>
              <w:rPr>
                <w:sz w:val="20"/>
                <w:szCs w:val="20"/>
                <w:color w:val="auto"/>
              </w:rPr>
            </w:pPr>
            <w:r>
              <w:rPr>
                <w:rFonts w:ascii="Arial" w:cs="Arial" w:eastAsia="Arial" w:hAnsi="Arial"/>
                <w:sz w:val="13"/>
                <w:szCs w:val="13"/>
                <w:color w:val="auto"/>
              </w:rPr>
              <w:t>Total current assets</w:t>
            </w:r>
          </w:p>
        </w:tc>
        <w:tc>
          <w:tcPr>
            <w:tcW w:w="14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148,867</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111,013</w:t>
            </w:r>
          </w:p>
        </w:tc>
        <w:tc>
          <w:tcPr>
            <w:tcW w:w="120" w:type="dxa"/>
            <w:vAlign w:val="bottom"/>
            <w:shd w:val="clear" w:color="auto" w:fill="CFF0FC"/>
          </w:tcPr>
          <w:p>
            <w:pPr>
              <w:spacing w:after="0"/>
              <w:rPr>
                <w:sz w:val="12"/>
                <w:szCs w:val="12"/>
                <w:color w:val="auto"/>
              </w:rPr>
            </w:pPr>
          </w:p>
        </w:tc>
      </w:tr>
      <w:tr>
        <w:trPr>
          <w:trHeight w:val="142"/>
        </w:trPr>
        <w:tc>
          <w:tcPr>
            <w:tcW w:w="7820" w:type="dxa"/>
            <w:vAlign w:val="bottom"/>
          </w:tcPr>
          <w:p>
            <w:pPr>
              <w:spacing w:after="0" w:line="142" w:lineRule="exact"/>
              <w:rPr>
                <w:sz w:val="20"/>
                <w:szCs w:val="20"/>
                <w:color w:val="auto"/>
              </w:rPr>
            </w:pPr>
            <w:r>
              <w:rPr>
                <w:rFonts w:ascii="Arial" w:cs="Arial" w:eastAsia="Arial" w:hAnsi="Arial"/>
                <w:sz w:val="13"/>
                <w:szCs w:val="13"/>
                <w:color w:val="auto"/>
              </w:rPr>
              <w:t>Property and Equipment:</w:t>
            </w: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Historical cost</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992,423</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1,008,080</w:t>
            </w: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ind w:left="260"/>
              <w:spacing w:after="0"/>
              <w:rPr>
                <w:sz w:val="20"/>
                <w:szCs w:val="20"/>
                <w:color w:val="auto"/>
              </w:rPr>
            </w:pPr>
            <w:r>
              <w:rPr>
                <w:rFonts w:ascii="Arial" w:cs="Arial" w:eastAsia="Arial" w:hAnsi="Arial"/>
                <w:sz w:val="13"/>
                <w:szCs w:val="13"/>
                <w:color w:val="auto"/>
              </w:rPr>
              <w:t>Accumulated depreciation</w:t>
            </w:r>
          </w:p>
        </w:tc>
        <w:tc>
          <w:tcPr>
            <w:tcW w:w="140" w:type="dxa"/>
            <w:vAlign w:val="bottom"/>
          </w:tcPr>
          <w:p>
            <w:pPr>
              <w:spacing w:after="0"/>
              <w:rPr>
                <w:sz w:val="12"/>
                <w:szCs w:val="12"/>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3"/>
                <w:szCs w:val="13"/>
                <w:color w:val="auto"/>
              </w:rPr>
              <w:t>(321,898)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3"/>
                <w:szCs w:val="13"/>
                <w:color w:val="auto"/>
              </w:rPr>
              <w:t>(302,328)</w:t>
            </w:r>
          </w:p>
        </w:tc>
      </w:tr>
      <w:tr>
        <w:trPr>
          <w:trHeight w:val="142"/>
        </w:trPr>
        <w:tc>
          <w:tcPr>
            <w:tcW w:w="78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3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670,525</w:t>
            </w:r>
          </w:p>
        </w:tc>
        <w:tc>
          <w:tcPr>
            <w:tcW w:w="28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3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705,752</w:t>
            </w:r>
          </w:p>
        </w:tc>
        <w:tc>
          <w:tcPr>
            <w:tcW w:w="120" w:type="dxa"/>
            <w:vAlign w:val="bottom"/>
            <w:tcBorders>
              <w:top w:val="single" w:sz="8" w:color="CFF0FC"/>
            </w:tcBorders>
            <w:shd w:val="clear" w:color="auto" w:fill="CFF0FC"/>
          </w:tcPr>
          <w:p>
            <w:pPr>
              <w:spacing w:after="0"/>
              <w:rPr>
                <w:sz w:val="12"/>
                <w:szCs w:val="12"/>
                <w:color w:val="auto"/>
              </w:rPr>
            </w:pPr>
          </w:p>
        </w:tc>
      </w:tr>
      <w:tr>
        <w:trPr>
          <w:trHeight w:val="149"/>
        </w:trPr>
        <w:tc>
          <w:tcPr>
            <w:tcW w:w="782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Construction in progress</w:t>
            </w: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8,422</w:t>
            </w:r>
          </w:p>
        </w:tc>
        <w:tc>
          <w:tcPr>
            <w:tcW w:w="28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15,531</w:t>
            </w:r>
          </w:p>
        </w:tc>
        <w:tc>
          <w:tcPr>
            <w:tcW w:w="120" w:type="dxa"/>
            <w:vAlign w:val="bottom"/>
            <w:tcBorders>
              <w:bottom w:val="single" w:sz="8" w:color="CFF0FC"/>
            </w:tcBorders>
          </w:tcPr>
          <w:p>
            <w:pPr>
              <w:spacing w:after="0"/>
              <w:rPr>
                <w:sz w:val="12"/>
                <w:szCs w:val="12"/>
                <w:color w:val="auto"/>
              </w:rPr>
            </w:pPr>
          </w:p>
        </w:tc>
      </w:tr>
      <w:tr>
        <w:trPr>
          <w:trHeight w:val="142"/>
        </w:trPr>
        <w:tc>
          <w:tcPr>
            <w:tcW w:w="7820" w:type="dxa"/>
            <w:vAlign w:val="bottom"/>
            <w:shd w:val="clear" w:color="auto" w:fill="CFF0FC"/>
          </w:tcPr>
          <w:p>
            <w:pPr>
              <w:ind w:left="260"/>
              <w:spacing w:after="0" w:line="142" w:lineRule="exact"/>
              <w:rPr>
                <w:sz w:val="20"/>
                <w:szCs w:val="20"/>
                <w:color w:val="auto"/>
              </w:rPr>
            </w:pPr>
            <w:r>
              <w:rPr>
                <w:rFonts w:ascii="Arial" w:cs="Arial" w:eastAsia="Arial" w:hAnsi="Arial"/>
                <w:sz w:val="13"/>
                <w:szCs w:val="13"/>
                <w:color w:val="auto"/>
              </w:rPr>
              <w:t>Net property and equipment</w:t>
            </w:r>
          </w:p>
        </w:tc>
        <w:tc>
          <w:tcPr>
            <w:tcW w:w="14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678,947</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721,283</w:t>
            </w:r>
          </w:p>
        </w:tc>
        <w:tc>
          <w:tcPr>
            <w:tcW w:w="120" w:type="dxa"/>
            <w:vAlign w:val="bottom"/>
            <w:shd w:val="clear" w:color="auto" w:fill="CFF0FC"/>
          </w:tcPr>
          <w:p>
            <w:pPr>
              <w:spacing w:after="0"/>
              <w:rPr>
                <w:sz w:val="12"/>
                <w:szCs w:val="12"/>
                <w:color w:val="auto"/>
              </w:rPr>
            </w:pPr>
          </w:p>
        </w:tc>
      </w:tr>
      <w:tr>
        <w:trPr>
          <w:trHeight w:val="142"/>
        </w:trPr>
        <w:tc>
          <w:tcPr>
            <w:tcW w:w="7820" w:type="dxa"/>
            <w:vAlign w:val="bottom"/>
          </w:tcPr>
          <w:p>
            <w:pPr>
              <w:spacing w:after="0" w:line="142" w:lineRule="exact"/>
              <w:rPr>
                <w:sz w:val="20"/>
                <w:szCs w:val="20"/>
                <w:color w:val="auto"/>
              </w:rPr>
            </w:pPr>
            <w:r>
              <w:rPr>
                <w:rFonts w:ascii="Arial" w:cs="Arial" w:eastAsia="Arial" w:hAnsi="Arial"/>
                <w:sz w:val="13"/>
                <w:szCs w:val="13"/>
                <w:color w:val="auto"/>
              </w:rPr>
              <w:t>Right-of-use asset - operating leases</w:t>
            </w:r>
          </w:p>
        </w:tc>
        <w:tc>
          <w:tcPr>
            <w:tcW w:w="14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Arial" w:cs="Arial" w:eastAsia="Arial" w:hAnsi="Arial"/>
                <w:sz w:val="13"/>
                <w:szCs w:val="13"/>
                <w:color w:val="auto"/>
              </w:rPr>
              <w:t>4,419</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Arial" w:cs="Arial" w:eastAsia="Arial" w:hAnsi="Arial"/>
                <w:sz w:val="13"/>
                <w:szCs w:val="13"/>
                <w:color w:val="auto"/>
              </w:rPr>
              <w:t>6,608</w:t>
            </w:r>
          </w:p>
        </w:tc>
        <w:tc>
          <w:tcPr>
            <w:tcW w:w="120" w:type="dxa"/>
            <w:vAlign w:val="bottom"/>
          </w:tcPr>
          <w:p>
            <w:pPr>
              <w:spacing w:after="0"/>
              <w:rPr>
                <w:sz w:val="12"/>
                <w:szCs w:val="12"/>
                <w:color w:val="auto"/>
              </w:rPr>
            </w:pPr>
          </w:p>
        </w:tc>
      </w:tr>
      <w:tr>
        <w:trPr>
          <w:trHeight w:val="149"/>
        </w:trPr>
        <w:tc>
          <w:tcPr>
            <w:tcW w:w="7820" w:type="dxa"/>
            <w:vAlign w:val="bottom"/>
            <w:shd w:val="clear" w:color="auto" w:fill="CFF0FC"/>
          </w:tcPr>
          <w:p>
            <w:pPr>
              <w:spacing w:after="0"/>
              <w:rPr>
                <w:sz w:val="20"/>
                <w:szCs w:val="20"/>
                <w:color w:val="auto"/>
              </w:rPr>
            </w:pPr>
            <w:r>
              <w:rPr>
                <w:rFonts w:ascii="Arial" w:cs="Arial" w:eastAsia="Arial" w:hAnsi="Arial"/>
                <w:sz w:val="13"/>
                <w:szCs w:val="13"/>
                <w:color w:val="auto"/>
              </w:rPr>
              <w:t>Right-of-use asset - finance leases</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6,972</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spacing w:after="0"/>
              <w:rPr>
                <w:sz w:val="20"/>
                <w:szCs w:val="20"/>
                <w:color w:val="auto"/>
              </w:rPr>
            </w:pPr>
            <w:r>
              <w:rPr>
                <w:rFonts w:ascii="Arial" w:cs="Arial" w:eastAsia="Arial" w:hAnsi="Arial"/>
                <w:sz w:val="13"/>
                <w:szCs w:val="13"/>
                <w:color w:val="auto"/>
              </w:rPr>
              <w:t>Investments, at equity, and advances to 50% or less owned companies</w:t>
            </w: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1,901</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71,727</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spacing w:after="0"/>
              <w:rPr>
                <w:sz w:val="20"/>
                <w:szCs w:val="20"/>
                <w:color w:val="auto"/>
              </w:rPr>
            </w:pPr>
            <w:r>
              <w:rPr>
                <w:rFonts w:ascii="Arial" w:cs="Arial" w:eastAsia="Arial" w:hAnsi="Arial"/>
                <w:sz w:val="13"/>
                <w:szCs w:val="13"/>
                <w:color w:val="auto"/>
              </w:rPr>
              <w:t>Other assets</w:t>
            </w:r>
          </w:p>
        </w:tc>
        <w:tc>
          <w:tcPr>
            <w:tcW w:w="14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1,887</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1,771</w:t>
            </w:r>
          </w:p>
        </w:tc>
        <w:tc>
          <w:tcPr>
            <w:tcW w:w="120" w:type="dxa"/>
            <w:vAlign w:val="bottom"/>
            <w:shd w:val="clear" w:color="auto" w:fill="CFF0FC"/>
          </w:tcPr>
          <w:p>
            <w:pPr>
              <w:spacing w:after="0"/>
              <w:rPr>
                <w:sz w:val="12"/>
                <w:szCs w:val="12"/>
                <w:color w:val="auto"/>
              </w:rPr>
            </w:pPr>
          </w:p>
        </w:tc>
      </w:tr>
      <w:tr>
        <w:trPr>
          <w:trHeight w:val="182"/>
        </w:trPr>
        <w:tc>
          <w:tcPr>
            <w:tcW w:w="7820" w:type="dxa"/>
            <w:vAlign w:val="bottom"/>
            <w:tcBorders>
              <w:bottom w:val="single" w:sz="8" w:color="CFF0FC"/>
            </w:tcBorders>
          </w:tcPr>
          <w:p>
            <w:pPr>
              <w:ind w:left="500"/>
              <w:spacing w:after="0" w:line="142" w:lineRule="exact"/>
              <w:rPr>
                <w:sz w:val="20"/>
                <w:szCs w:val="20"/>
                <w:color w:val="auto"/>
              </w:rPr>
            </w:pPr>
            <w:r>
              <w:rPr>
                <w:rFonts w:ascii="Arial" w:cs="Arial" w:eastAsia="Arial" w:hAnsi="Arial"/>
                <w:sz w:val="13"/>
                <w:szCs w:val="13"/>
                <w:color w:val="auto"/>
              </w:rPr>
              <w:t>Total assets</w:t>
            </w: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842,993</w:t>
            </w:r>
          </w:p>
        </w:tc>
        <w:tc>
          <w:tcPr>
            <w:tcW w:w="2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jc w:val="right"/>
              <w:ind w:right="74"/>
              <w:spacing w:after="0"/>
              <w:rPr>
                <w:sz w:val="20"/>
                <w:szCs w:val="20"/>
                <w:color w:val="auto"/>
              </w:rPr>
            </w:pPr>
            <w:r>
              <w:rPr>
                <w:rFonts w:ascii="Arial" w:cs="Arial" w:eastAsia="Arial" w:hAnsi="Arial"/>
                <w:sz w:val="5"/>
                <w:szCs w:val="5"/>
                <w:color w:val="auto"/>
                <w:w w:val="70"/>
              </w:rPr>
              <w:t>$</w:t>
            </w:r>
          </w:p>
        </w:tc>
        <w:tc>
          <w:tcPr>
            <w:tcW w:w="1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912,502</w:t>
            </w:r>
          </w:p>
        </w:tc>
        <w:tc>
          <w:tcPr>
            <w:tcW w:w="120" w:type="dxa"/>
            <w:vAlign w:val="bottom"/>
            <w:tcBorders>
              <w:bottom w:val="single" w:sz="8" w:color="CFF0FC"/>
            </w:tcBorders>
          </w:tcPr>
          <w:p>
            <w:pPr>
              <w:spacing w:after="0"/>
              <w:rPr>
                <w:sz w:val="15"/>
                <w:szCs w:val="15"/>
                <w:color w:val="auto"/>
              </w:rPr>
            </w:pPr>
          </w:p>
        </w:tc>
      </w:tr>
      <w:tr>
        <w:trPr>
          <w:trHeight w:val="129"/>
        </w:trPr>
        <w:tc>
          <w:tcPr>
            <w:tcW w:w="7820" w:type="dxa"/>
            <w:vAlign w:val="bottom"/>
            <w:shd w:val="clear" w:color="auto" w:fill="CFF0FC"/>
          </w:tcPr>
          <w:p>
            <w:pPr>
              <w:ind w:left="3020"/>
              <w:spacing w:after="0" w:line="129" w:lineRule="exact"/>
              <w:rPr>
                <w:sz w:val="20"/>
                <w:szCs w:val="20"/>
                <w:color w:val="auto"/>
              </w:rPr>
            </w:pPr>
            <w:r>
              <w:rPr>
                <w:rFonts w:ascii="Arial" w:cs="Arial" w:eastAsia="Arial" w:hAnsi="Arial"/>
                <w:sz w:val="13"/>
                <w:szCs w:val="13"/>
                <w:b w:val="1"/>
                <w:bCs w:val="1"/>
                <w:color w:val="auto"/>
              </w:rPr>
              <w:t>LIABILITIES AND EQUITY</w:t>
            </w:r>
          </w:p>
        </w:tc>
        <w:tc>
          <w:tcPr>
            <w:tcW w:w="14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8"/>
        </w:trPr>
        <w:tc>
          <w:tcPr>
            <w:tcW w:w="7820" w:type="dxa"/>
            <w:vAlign w:val="bottom"/>
          </w:tcPr>
          <w:p>
            <w:pPr>
              <w:spacing w:after="0"/>
              <w:rPr>
                <w:sz w:val="20"/>
                <w:szCs w:val="20"/>
                <w:color w:val="auto"/>
              </w:rPr>
            </w:pPr>
            <w:r>
              <w:rPr>
                <w:rFonts w:ascii="Arial" w:cs="Arial" w:eastAsia="Arial" w:hAnsi="Arial"/>
                <w:sz w:val="13"/>
                <w:szCs w:val="13"/>
                <w:color w:val="auto"/>
              </w:rPr>
              <w:t>Current Liabilities:</w:t>
            </w: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Current portion of operating lease liabilities</w:t>
            </w:r>
          </w:p>
        </w:tc>
        <w:tc>
          <w:tcPr>
            <w:tcW w:w="140" w:type="dxa"/>
            <w:vAlign w:val="bottom"/>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1,792</w:t>
            </w:r>
          </w:p>
        </w:tc>
        <w:tc>
          <w:tcPr>
            <w:tcW w:w="28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ind w:right="74"/>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1,986</w:t>
            </w:r>
          </w:p>
        </w:tc>
        <w:tc>
          <w:tcPr>
            <w:tcW w:w="120" w:type="dxa"/>
            <w:vAlign w:val="bottom"/>
            <w:shd w:val="clear" w:color="auto" w:fill="CFF0FC"/>
          </w:tcPr>
          <w:p>
            <w:pPr>
              <w:spacing w:after="0"/>
              <w:rPr>
                <w:sz w:val="12"/>
                <w:szCs w:val="12"/>
                <w:color w:val="auto"/>
              </w:rPr>
            </w:pPr>
          </w:p>
        </w:tc>
      </w:tr>
      <w:tr>
        <w:trPr>
          <w:trHeight w:val="149"/>
        </w:trPr>
        <w:tc>
          <w:tcPr>
            <w:tcW w:w="7820" w:type="dxa"/>
            <w:vAlign w:val="bottom"/>
          </w:tcPr>
          <w:p>
            <w:pPr>
              <w:ind w:left="260"/>
              <w:spacing w:after="0"/>
              <w:rPr>
                <w:sz w:val="20"/>
                <w:szCs w:val="20"/>
                <w:color w:val="auto"/>
              </w:rPr>
            </w:pPr>
            <w:r>
              <w:rPr>
                <w:rFonts w:ascii="Arial" w:cs="Arial" w:eastAsia="Arial" w:hAnsi="Arial"/>
                <w:sz w:val="13"/>
                <w:szCs w:val="13"/>
                <w:color w:val="auto"/>
              </w:rPr>
              <w:t>Current portion of financing lease liabilities</w:t>
            </w: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374</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Current portion of long-term debt:</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ind w:left="500"/>
              <w:spacing w:after="0"/>
              <w:rPr>
                <w:sz w:val="20"/>
                <w:szCs w:val="20"/>
                <w:color w:val="auto"/>
              </w:rPr>
            </w:pPr>
            <w:r>
              <w:rPr>
                <w:rFonts w:ascii="Arial" w:cs="Arial" w:eastAsia="Arial" w:hAnsi="Arial"/>
                <w:sz w:val="13"/>
                <w:szCs w:val="13"/>
                <w:color w:val="auto"/>
              </w:rPr>
              <w:t>Recourse</w:t>
            </w: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57,567</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31,602</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Accounts payable and accrued expenses</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36,248</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28,419</w:t>
            </w:r>
          </w:p>
        </w:tc>
        <w:tc>
          <w:tcPr>
            <w:tcW w:w="120" w:type="dxa"/>
            <w:vAlign w:val="bottom"/>
            <w:shd w:val="clear" w:color="auto" w:fill="CFF0FC"/>
          </w:tcPr>
          <w:p>
            <w:pPr>
              <w:spacing w:after="0"/>
              <w:rPr>
                <w:sz w:val="12"/>
                <w:szCs w:val="12"/>
                <w:color w:val="auto"/>
              </w:rPr>
            </w:pPr>
          </w:p>
        </w:tc>
      </w:tr>
      <w:tr>
        <w:trPr>
          <w:trHeight w:val="149"/>
        </w:trPr>
        <w:tc>
          <w:tcPr>
            <w:tcW w:w="7820" w:type="dxa"/>
            <w:vAlign w:val="bottom"/>
          </w:tcPr>
          <w:p>
            <w:pPr>
              <w:ind w:left="260"/>
              <w:spacing w:after="0"/>
              <w:rPr>
                <w:sz w:val="20"/>
                <w:szCs w:val="20"/>
                <w:color w:val="auto"/>
              </w:rPr>
            </w:pPr>
            <w:r>
              <w:rPr>
                <w:rFonts w:ascii="Arial" w:cs="Arial" w:eastAsia="Arial" w:hAnsi="Arial"/>
                <w:sz w:val="13"/>
                <w:szCs w:val="13"/>
                <w:color w:val="auto"/>
              </w:rPr>
              <w:t>Due to SEACOR Holdings</w:t>
            </w: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264</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274</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Accrued wages and benefits</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3,112</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3,711</w:t>
            </w:r>
          </w:p>
        </w:tc>
        <w:tc>
          <w:tcPr>
            <w:tcW w:w="120" w:type="dxa"/>
            <w:vAlign w:val="bottom"/>
            <w:shd w:val="clear" w:color="auto" w:fill="CFF0FC"/>
          </w:tcPr>
          <w:p>
            <w:pPr>
              <w:spacing w:after="0"/>
              <w:rPr>
                <w:sz w:val="12"/>
                <w:szCs w:val="12"/>
                <w:color w:val="auto"/>
              </w:rPr>
            </w:pPr>
          </w:p>
        </w:tc>
      </w:tr>
      <w:tr>
        <w:trPr>
          <w:trHeight w:val="149"/>
        </w:trPr>
        <w:tc>
          <w:tcPr>
            <w:tcW w:w="7820" w:type="dxa"/>
            <w:vAlign w:val="bottom"/>
          </w:tcPr>
          <w:p>
            <w:pPr>
              <w:ind w:left="260"/>
              <w:spacing w:after="0"/>
              <w:rPr>
                <w:sz w:val="20"/>
                <w:szCs w:val="20"/>
                <w:color w:val="auto"/>
              </w:rPr>
            </w:pPr>
            <w:r>
              <w:rPr>
                <w:rFonts w:ascii="Arial" w:cs="Arial" w:eastAsia="Arial" w:hAnsi="Arial"/>
                <w:sz w:val="13"/>
                <w:szCs w:val="13"/>
                <w:color w:val="auto"/>
              </w:rPr>
              <w:t>Accrued interest</w:t>
            </w: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2,988</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2,273</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Deferred revenue and unearned revenue</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827</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1,606</w:t>
            </w: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ind w:left="260"/>
              <w:spacing w:after="0"/>
              <w:rPr>
                <w:sz w:val="20"/>
                <w:szCs w:val="20"/>
                <w:color w:val="auto"/>
              </w:rPr>
            </w:pPr>
            <w:r>
              <w:rPr>
                <w:rFonts w:ascii="Arial" w:cs="Arial" w:eastAsia="Arial" w:hAnsi="Arial"/>
                <w:sz w:val="13"/>
                <w:szCs w:val="13"/>
                <w:color w:val="auto"/>
              </w:rPr>
              <w:t>Accrued capital, repair, and maintenance expenditures</w:t>
            </w: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6,779</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2,438</w:t>
            </w:r>
          </w:p>
        </w:tc>
        <w:tc>
          <w:tcPr>
            <w:tcW w:w="120" w:type="dxa"/>
            <w:vAlign w:val="bottom"/>
          </w:tcPr>
          <w:p>
            <w:pPr>
              <w:spacing w:after="0"/>
              <w:rPr>
                <w:sz w:val="12"/>
                <w:szCs w:val="12"/>
                <w:color w:val="auto"/>
              </w:rPr>
            </w:pPr>
          </w:p>
        </w:tc>
      </w:tr>
      <w:tr>
        <w:trPr>
          <w:trHeight w:val="149"/>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Accrued insurance deductibles and premiums</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2,205</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2,720</w:t>
            </w: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ind w:left="260"/>
              <w:spacing w:after="0"/>
              <w:rPr>
                <w:sz w:val="20"/>
                <w:szCs w:val="20"/>
                <w:color w:val="auto"/>
              </w:rPr>
            </w:pPr>
            <w:r>
              <w:rPr>
                <w:rFonts w:ascii="Arial" w:cs="Arial" w:eastAsia="Arial" w:hAnsi="Arial"/>
                <w:sz w:val="13"/>
                <w:szCs w:val="13"/>
                <w:color w:val="auto"/>
              </w:rPr>
              <w:t>Accrued professional fees</w:t>
            </w: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2,580</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1,214</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Derivatives</w:t>
            </w:r>
          </w:p>
        </w:tc>
        <w:tc>
          <w:tcPr>
            <w:tcW w:w="14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1,831</w:t>
            </w:r>
          </w:p>
        </w:tc>
        <w:tc>
          <w:tcPr>
            <w:tcW w:w="120" w:type="dxa"/>
            <w:vAlign w:val="bottom"/>
            <w:shd w:val="clear" w:color="auto" w:fill="CFF0FC"/>
          </w:tcPr>
          <w:p>
            <w:pPr>
              <w:spacing w:after="0"/>
              <w:rPr>
                <w:sz w:val="12"/>
                <w:szCs w:val="12"/>
                <w:color w:val="auto"/>
              </w:rPr>
            </w:pPr>
          </w:p>
        </w:tc>
      </w:tr>
      <w:tr>
        <w:trPr>
          <w:trHeight w:val="149"/>
        </w:trPr>
        <w:tc>
          <w:tcPr>
            <w:tcW w:w="782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Other current liabilities</w:t>
            </w: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3,541</w:t>
            </w:r>
          </w:p>
        </w:tc>
        <w:tc>
          <w:tcPr>
            <w:tcW w:w="28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6,558</w:t>
            </w:r>
          </w:p>
        </w:tc>
        <w:tc>
          <w:tcPr>
            <w:tcW w:w="120" w:type="dxa"/>
            <w:vAlign w:val="bottom"/>
            <w:tcBorders>
              <w:bottom w:val="single" w:sz="8" w:color="CFF0FC"/>
            </w:tcBorders>
          </w:tcPr>
          <w:p>
            <w:pPr>
              <w:spacing w:after="0"/>
              <w:rPr>
                <w:sz w:val="12"/>
                <w:szCs w:val="12"/>
                <w:color w:val="auto"/>
              </w:rPr>
            </w:pPr>
          </w:p>
        </w:tc>
      </w:tr>
      <w:tr>
        <w:trPr>
          <w:trHeight w:val="142"/>
        </w:trPr>
        <w:tc>
          <w:tcPr>
            <w:tcW w:w="7820" w:type="dxa"/>
            <w:vAlign w:val="bottom"/>
            <w:shd w:val="clear" w:color="auto" w:fill="CFF0FC"/>
          </w:tcPr>
          <w:p>
            <w:pPr>
              <w:ind w:left="500"/>
              <w:spacing w:after="0" w:line="141" w:lineRule="exact"/>
              <w:rPr>
                <w:sz w:val="20"/>
                <w:szCs w:val="20"/>
                <w:color w:val="auto"/>
              </w:rPr>
            </w:pPr>
            <w:r>
              <w:rPr>
                <w:rFonts w:ascii="Arial" w:cs="Arial" w:eastAsia="Arial" w:hAnsi="Arial"/>
                <w:sz w:val="13"/>
                <w:szCs w:val="13"/>
                <w:color w:val="auto"/>
              </w:rPr>
              <w:t>Total current liabilities</w:t>
            </w:r>
          </w:p>
        </w:tc>
        <w:tc>
          <w:tcPr>
            <w:tcW w:w="14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118,277</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84,665</w:t>
            </w:r>
          </w:p>
        </w:tc>
        <w:tc>
          <w:tcPr>
            <w:tcW w:w="120" w:type="dxa"/>
            <w:vAlign w:val="bottom"/>
            <w:shd w:val="clear" w:color="auto" w:fill="CFF0FC"/>
          </w:tcPr>
          <w:p>
            <w:pPr>
              <w:spacing w:after="0"/>
              <w:rPr>
                <w:sz w:val="12"/>
                <w:szCs w:val="12"/>
                <w:color w:val="auto"/>
              </w:rPr>
            </w:pPr>
          </w:p>
        </w:tc>
      </w:tr>
      <w:tr>
        <w:trPr>
          <w:trHeight w:val="142"/>
        </w:trPr>
        <w:tc>
          <w:tcPr>
            <w:tcW w:w="7820" w:type="dxa"/>
            <w:vAlign w:val="bottom"/>
          </w:tcPr>
          <w:p>
            <w:pPr>
              <w:spacing w:after="0" w:line="142" w:lineRule="exact"/>
              <w:rPr>
                <w:sz w:val="20"/>
                <w:szCs w:val="20"/>
                <w:color w:val="auto"/>
              </w:rPr>
            </w:pPr>
            <w:r>
              <w:rPr>
                <w:rFonts w:ascii="Arial" w:cs="Arial" w:eastAsia="Arial" w:hAnsi="Arial"/>
                <w:sz w:val="13"/>
                <w:szCs w:val="13"/>
                <w:color w:val="auto"/>
              </w:rPr>
              <w:t>Long-term operating lease liabilities</w:t>
            </w:r>
          </w:p>
        </w:tc>
        <w:tc>
          <w:tcPr>
            <w:tcW w:w="14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Arial" w:cs="Arial" w:eastAsia="Arial" w:hAnsi="Arial"/>
                <w:sz w:val="13"/>
                <w:szCs w:val="13"/>
                <w:color w:val="auto"/>
              </w:rPr>
              <w:t>3,759</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Arial" w:cs="Arial" w:eastAsia="Arial" w:hAnsi="Arial"/>
                <w:sz w:val="13"/>
                <w:szCs w:val="13"/>
                <w:color w:val="auto"/>
              </w:rPr>
              <w:t>4,885</w:t>
            </w:r>
          </w:p>
        </w:tc>
        <w:tc>
          <w:tcPr>
            <w:tcW w:w="120" w:type="dxa"/>
            <w:vAlign w:val="bottom"/>
          </w:tcPr>
          <w:p>
            <w:pPr>
              <w:spacing w:after="0"/>
              <w:rPr>
                <w:sz w:val="12"/>
                <w:szCs w:val="12"/>
                <w:color w:val="auto"/>
              </w:rPr>
            </w:pPr>
          </w:p>
        </w:tc>
      </w:tr>
      <w:tr>
        <w:trPr>
          <w:trHeight w:val="149"/>
        </w:trPr>
        <w:tc>
          <w:tcPr>
            <w:tcW w:w="7820" w:type="dxa"/>
            <w:vAlign w:val="bottom"/>
            <w:shd w:val="clear" w:color="auto" w:fill="CFF0FC"/>
          </w:tcPr>
          <w:p>
            <w:pPr>
              <w:spacing w:after="0"/>
              <w:rPr>
                <w:sz w:val="20"/>
                <w:szCs w:val="20"/>
                <w:color w:val="auto"/>
              </w:rPr>
            </w:pPr>
            <w:r>
              <w:rPr>
                <w:rFonts w:ascii="Arial" w:cs="Arial" w:eastAsia="Arial" w:hAnsi="Arial"/>
                <w:sz w:val="13"/>
                <w:szCs w:val="13"/>
                <w:color w:val="auto"/>
              </w:rPr>
              <w:t>Long-term financing lease liabilities</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6,916</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w:t>
            </w: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spacing w:after="0"/>
              <w:rPr>
                <w:sz w:val="20"/>
                <w:szCs w:val="20"/>
                <w:color w:val="auto"/>
              </w:rPr>
            </w:pPr>
            <w:r>
              <w:rPr>
                <w:rFonts w:ascii="Arial" w:cs="Arial" w:eastAsia="Arial" w:hAnsi="Arial"/>
                <w:sz w:val="13"/>
                <w:szCs w:val="13"/>
                <w:color w:val="auto"/>
              </w:rPr>
              <w:t>Long-term Debt:</w:t>
            </w: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Recourse</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277,100</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327,300</w:t>
            </w:r>
          </w:p>
        </w:tc>
        <w:tc>
          <w:tcPr>
            <w:tcW w:w="120" w:type="dxa"/>
            <w:vAlign w:val="bottom"/>
            <w:shd w:val="clear" w:color="auto" w:fill="CFF0FC"/>
          </w:tcPr>
          <w:p>
            <w:pPr>
              <w:spacing w:after="0"/>
              <w:rPr>
                <w:sz w:val="12"/>
                <w:szCs w:val="12"/>
                <w:color w:val="auto"/>
              </w:rPr>
            </w:pPr>
          </w:p>
        </w:tc>
      </w:tr>
      <w:tr>
        <w:trPr>
          <w:trHeight w:val="149"/>
        </w:trPr>
        <w:tc>
          <w:tcPr>
            <w:tcW w:w="7820" w:type="dxa"/>
            <w:vAlign w:val="bottom"/>
          </w:tcPr>
          <w:p>
            <w:pPr>
              <w:ind w:left="260"/>
              <w:spacing w:after="0"/>
              <w:rPr>
                <w:sz w:val="20"/>
                <w:szCs w:val="20"/>
                <w:color w:val="auto"/>
              </w:rPr>
            </w:pPr>
            <w:r>
              <w:rPr>
                <w:rFonts w:ascii="Arial" w:cs="Arial" w:eastAsia="Arial" w:hAnsi="Arial"/>
                <w:sz w:val="13"/>
                <w:szCs w:val="13"/>
                <w:color w:val="auto"/>
              </w:rPr>
              <w:t>Non-recourse</w:t>
            </w: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5,456</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5,462</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spacing w:after="0"/>
              <w:rPr>
                <w:sz w:val="20"/>
                <w:szCs w:val="20"/>
                <w:color w:val="auto"/>
              </w:rPr>
            </w:pPr>
            <w:r>
              <w:rPr>
                <w:rFonts w:ascii="Arial" w:cs="Arial" w:eastAsia="Arial" w:hAnsi="Arial"/>
                <w:sz w:val="13"/>
                <w:szCs w:val="13"/>
                <w:color w:val="auto"/>
              </w:rPr>
              <w:t>Deferred income taxes</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39,823</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40,682</w:t>
            </w:r>
          </w:p>
        </w:tc>
        <w:tc>
          <w:tcPr>
            <w:tcW w:w="120" w:type="dxa"/>
            <w:vAlign w:val="bottom"/>
            <w:shd w:val="clear" w:color="auto" w:fill="CFF0FC"/>
          </w:tcPr>
          <w:p>
            <w:pPr>
              <w:spacing w:after="0"/>
              <w:rPr>
                <w:sz w:val="12"/>
                <w:szCs w:val="12"/>
                <w:color w:val="auto"/>
              </w:rPr>
            </w:pPr>
          </w:p>
        </w:tc>
      </w:tr>
      <w:tr>
        <w:trPr>
          <w:trHeight w:val="149"/>
        </w:trPr>
        <w:tc>
          <w:tcPr>
            <w:tcW w:w="782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Deferred gains and other liabilities</w:t>
            </w: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2,692</w:t>
            </w:r>
          </w:p>
        </w:tc>
        <w:tc>
          <w:tcPr>
            <w:tcW w:w="28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2,891</w:t>
            </w:r>
          </w:p>
        </w:tc>
        <w:tc>
          <w:tcPr>
            <w:tcW w:w="120" w:type="dxa"/>
            <w:vAlign w:val="bottom"/>
            <w:tcBorders>
              <w:bottom w:val="single" w:sz="8" w:color="CFF0FC"/>
            </w:tcBorders>
          </w:tcPr>
          <w:p>
            <w:pPr>
              <w:spacing w:after="0"/>
              <w:rPr>
                <w:sz w:val="12"/>
                <w:szCs w:val="12"/>
                <w:color w:val="auto"/>
              </w:rPr>
            </w:pPr>
          </w:p>
        </w:tc>
      </w:tr>
      <w:tr>
        <w:trPr>
          <w:trHeight w:val="142"/>
        </w:trPr>
        <w:tc>
          <w:tcPr>
            <w:tcW w:w="7820" w:type="dxa"/>
            <w:vAlign w:val="bottom"/>
            <w:shd w:val="clear" w:color="auto" w:fill="CFF0FC"/>
          </w:tcPr>
          <w:p>
            <w:pPr>
              <w:ind w:left="500"/>
              <w:spacing w:after="0" w:line="142" w:lineRule="exact"/>
              <w:rPr>
                <w:sz w:val="20"/>
                <w:szCs w:val="20"/>
                <w:color w:val="auto"/>
              </w:rPr>
            </w:pPr>
            <w:r>
              <w:rPr>
                <w:rFonts w:ascii="Arial" w:cs="Arial" w:eastAsia="Arial" w:hAnsi="Arial"/>
                <w:sz w:val="13"/>
                <w:szCs w:val="13"/>
                <w:color w:val="auto"/>
              </w:rPr>
              <w:t>Total liabilities</w:t>
            </w:r>
          </w:p>
        </w:tc>
        <w:tc>
          <w:tcPr>
            <w:tcW w:w="14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454,023</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465,961</w:t>
            </w:r>
          </w:p>
        </w:tc>
        <w:tc>
          <w:tcPr>
            <w:tcW w:w="120" w:type="dxa"/>
            <w:vAlign w:val="bottom"/>
            <w:shd w:val="clear" w:color="auto" w:fill="CFF0FC"/>
          </w:tcPr>
          <w:p>
            <w:pPr>
              <w:spacing w:after="0"/>
              <w:rPr>
                <w:sz w:val="12"/>
                <w:szCs w:val="12"/>
                <w:color w:val="auto"/>
              </w:rPr>
            </w:pPr>
          </w:p>
        </w:tc>
      </w:tr>
      <w:tr>
        <w:trPr>
          <w:trHeight w:val="142"/>
        </w:trPr>
        <w:tc>
          <w:tcPr>
            <w:tcW w:w="7820" w:type="dxa"/>
            <w:vAlign w:val="bottom"/>
          </w:tcPr>
          <w:p>
            <w:pPr>
              <w:spacing w:after="0" w:line="142" w:lineRule="exact"/>
              <w:rPr>
                <w:sz w:val="20"/>
                <w:szCs w:val="20"/>
                <w:color w:val="auto"/>
              </w:rPr>
            </w:pPr>
            <w:r>
              <w:rPr>
                <w:rFonts w:ascii="Arial" w:cs="Arial" w:eastAsia="Arial" w:hAnsi="Arial"/>
                <w:sz w:val="13"/>
                <w:szCs w:val="13"/>
                <w:color w:val="auto"/>
              </w:rPr>
              <w:t>Equity:</w:t>
            </w: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SEACOR Marine Holdings Inc. stockholders’ equity:</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7820" w:type="dxa"/>
            <w:vAlign w:val="bottom"/>
          </w:tcPr>
          <w:p>
            <w:pPr>
              <w:ind w:left="260"/>
              <w:spacing w:after="0"/>
              <w:rPr>
                <w:sz w:val="20"/>
                <w:szCs w:val="20"/>
                <w:color w:val="auto"/>
              </w:rPr>
            </w:pPr>
            <w:r>
              <w:rPr>
                <w:rFonts w:ascii="Arial" w:cs="Arial" w:eastAsia="Arial" w:hAnsi="Arial"/>
                <w:sz w:val="13"/>
                <w:szCs w:val="13"/>
                <w:color w:val="auto"/>
                <w:w w:val="95"/>
              </w:rPr>
              <w:t>Common stock, $.01 par value, 60,000,000 shares authorized; 26,950,799 and 26,120,124 shares issued in 2022 and 2021, respectively</w:t>
            </w: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272</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262</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Additional paid-in capital</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465,449</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461,931</w:t>
            </w:r>
          </w:p>
        </w:tc>
        <w:tc>
          <w:tcPr>
            <w:tcW w:w="120" w:type="dxa"/>
            <w:vAlign w:val="bottom"/>
            <w:shd w:val="clear" w:color="auto" w:fill="CFF0FC"/>
          </w:tcPr>
          <w:p>
            <w:pPr>
              <w:spacing w:after="0"/>
              <w:rPr>
                <w:sz w:val="12"/>
                <w:szCs w:val="12"/>
                <w:color w:val="auto"/>
              </w:rPr>
            </w:pPr>
          </w:p>
        </w:tc>
      </w:tr>
      <w:tr>
        <w:trPr>
          <w:trHeight w:val="149"/>
        </w:trPr>
        <w:tc>
          <w:tcPr>
            <w:tcW w:w="7820" w:type="dxa"/>
            <w:vAlign w:val="bottom"/>
          </w:tcPr>
          <w:p>
            <w:pPr>
              <w:ind w:left="260"/>
              <w:spacing w:after="0"/>
              <w:rPr>
                <w:sz w:val="20"/>
                <w:szCs w:val="20"/>
                <w:color w:val="auto"/>
              </w:rPr>
            </w:pPr>
            <w:r>
              <w:rPr>
                <w:rFonts w:ascii="Arial" w:cs="Arial" w:eastAsia="Arial" w:hAnsi="Arial"/>
                <w:sz w:val="13"/>
                <w:szCs w:val="13"/>
                <w:color w:val="auto"/>
              </w:rPr>
              <w:t>Accumulated deficit</w:t>
            </w:r>
          </w:p>
        </w:tc>
        <w:tc>
          <w:tcPr>
            <w:tcW w:w="140" w:type="dxa"/>
            <w:vAlign w:val="bottom"/>
          </w:tcPr>
          <w:p>
            <w:pPr>
              <w:spacing w:after="0"/>
              <w:rPr>
                <w:sz w:val="12"/>
                <w:szCs w:val="12"/>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3"/>
                <w:szCs w:val="13"/>
                <w:color w:val="auto"/>
              </w:rPr>
              <w:t>(79,769)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3"/>
                <w:szCs w:val="13"/>
                <w:color w:val="auto"/>
              </w:rPr>
              <w:t>(22,907)</w:t>
            </w:r>
          </w:p>
        </w:tc>
      </w:tr>
      <w:tr>
        <w:trPr>
          <w:trHeight w:val="148"/>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Shares held in treasury of 248,638 and 127,887, respectively, at cost</w:t>
            </w:r>
          </w:p>
        </w:tc>
        <w:tc>
          <w:tcPr>
            <w:tcW w:w="14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(1,852)</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(1,120)</w:t>
            </w:r>
          </w:p>
        </w:tc>
      </w:tr>
      <w:tr>
        <w:trPr>
          <w:trHeight w:val="148"/>
        </w:trPr>
        <w:tc>
          <w:tcPr>
            <w:tcW w:w="782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Accumulated other comprehensive income, net of tax</w:t>
            </w: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4,549</w:t>
            </w:r>
          </w:p>
        </w:tc>
        <w:tc>
          <w:tcPr>
            <w:tcW w:w="28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8,055</w:t>
            </w:r>
          </w:p>
        </w:tc>
        <w:tc>
          <w:tcPr>
            <w:tcW w:w="120" w:type="dxa"/>
            <w:vAlign w:val="bottom"/>
            <w:tcBorders>
              <w:bottom w:val="single" w:sz="8" w:color="CFF0FC"/>
            </w:tcBorders>
          </w:tcPr>
          <w:p>
            <w:pPr>
              <w:spacing w:after="0"/>
              <w:rPr>
                <w:sz w:val="12"/>
                <w:szCs w:val="12"/>
                <w:color w:val="auto"/>
              </w:rPr>
            </w:pPr>
          </w:p>
        </w:tc>
      </w:tr>
      <w:tr>
        <w:trPr>
          <w:trHeight w:val="142"/>
        </w:trPr>
        <w:tc>
          <w:tcPr>
            <w:tcW w:w="7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388,649</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446,221</w:t>
            </w: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Noncontrolling interests in subsidiaries</w:t>
            </w: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321</w:t>
            </w:r>
          </w:p>
        </w:tc>
        <w:tc>
          <w:tcPr>
            <w:tcW w:w="28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320</w:t>
            </w:r>
          </w:p>
        </w:tc>
        <w:tc>
          <w:tcPr>
            <w:tcW w:w="120" w:type="dxa"/>
            <w:vAlign w:val="bottom"/>
            <w:tcBorders>
              <w:bottom w:val="single" w:sz="8" w:color="CFF0FC"/>
            </w:tcBorders>
          </w:tcPr>
          <w:p>
            <w:pPr>
              <w:spacing w:after="0"/>
              <w:rPr>
                <w:sz w:val="12"/>
                <w:szCs w:val="12"/>
                <w:color w:val="auto"/>
              </w:rPr>
            </w:pPr>
          </w:p>
        </w:tc>
      </w:tr>
      <w:tr>
        <w:trPr>
          <w:trHeight w:val="142"/>
        </w:trPr>
        <w:tc>
          <w:tcPr>
            <w:tcW w:w="7820" w:type="dxa"/>
            <w:vAlign w:val="bottom"/>
            <w:shd w:val="clear" w:color="auto" w:fill="CFF0FC"/>
          </w:tcPr>
          <w:p>
            <w:pPr>
              <w:ind w:left="500"/>
              <w:spacing w:after="0" w:line="142" w:lineRule="exact"/>
              <w:rPr>
                <w:sz w:val="20"/>
                <w:szCs w:val="20"/>
                <w:color w:val="auto"/>
              </w:rPr>
            </w:pPr>
            <w:r>
              <w:rPr>
                <w:rFonts w:ascii="Arial" w:cs="Arial" w:eastAsia="Arial" w:hAnsi="Arial"/>
                <w:sz w:val="13"/>
                <w:szCs w:val="13"/>
                <w:color w:val="auto"/>
              </w:rPr>
              <w:t>Total equity</w:t>
            </w:r>
          </w:p>
        </w:tc>
        <w:tc>
          <w:tcPr>
            <w:tcW w:w="14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388,970</w:t>
            </w: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446,541</w:t>
            </w:r>
          </w:p>
        </w:tc>
        <w:tc>
          <w:tcPr>
            <w:tcW w:w="120" w:type="dxa"/>
            <w:vAlign w:val="bottom"/>
            <w:shd w:val="clear" w:color="auto" w:fill="CFF0FC"/>
          </w:tcPr>
          <w:p>
            <w:pPr>
              <w:spacing w:after="0"/>
              <w:rPr>
                <w:sz w:val="12"/>
                <w:szCs w:val="12"/>
                <w:color w:val="auto"/>
              </w:rPr>
            </w:pPr>
          </w:p>
        </w:tc>
      </w:tr>
      <w:tr>
        <w:trPr>
          <w:trHeight w:val="142"/>
        </w:trPr>
        <w:tc>
          <w:tcPr>
            <w:tcW w:w="7820" w:type="dxa"/>
            <w:vAlign w:val="bottom"/>
          </w:tcPr>
          <w:p>
            <w:pPr>
              <w:ind w:left="500"/>
              <w:spacing w:after="0" w:line="142" w:lineRule="exact"/>
              <w:rPr>
                <w:sz w:val="20"/>
                <w:szCs w:val="20"/>
                <w:color w:val="auto"/>
              </w:rPr>
            </w:pPr>
            <w:r>
              <w:rPr>
                <w:rFonts w:ascii="Arial" w:cs="Arial" w:eastAsia="Arial" w:hAnsi="Arial"/>
                <w:sz w:val="13"/>
                <w:szCs w:val="13"/>
                <w:color w:val="auto"/>
              </w:rPr>
              <w:t>Total liabilities and equity</w:t>
            </w: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842,993</w:t>
            </w:r>
          </w:p>
        </w:tc>
        <w:tc>
          <w:tcPr>
            <w:tcW w:w="2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jc w:val="right"/>
              <w:ind w:right="74"/>
              <w:spacing w:after="0"/>
              <w:rPr>
                <w:sz w:val="20"/>
                <w:szCs w:val="20"/>
                <w:color w:val="auto"/>
              </w:rPr>
            </w:pPr>
            <w:r>
              <w:rPr>
                <w:rFonts w:ascii="Arial" w:cs="Arial" w:eastAsia="Arial" w:hAnsi="Arial"/>
                <w:sz w:val="5"/>
                <w:szCs w:val="5"/>
                <w:color w:val="auto"/>
                <w:w w:val="70"/>
              </w:rPr>
              <w:t>$</w:t>
            </w:r>
          </w:p>
        </w:tc>
        <w:tc>
          <w:tcPr>
            <w:tcW w:w="1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912,502</w:t>
            </w:r>
          </w:p>
        </w:tc>
        <w:tc>
          <w:tcPr>
            <w:tcW w:w="120" w:type="dxa"/>
            <w:vAlign w:val="bottom"/>
          </w:tcPr>
          <w:p>
            <w:pPr>
              <w:spacing w:after="0"/>
              <w:rPr>
                <w:sz w:val="12"/>
                <w:szCs w:val="12"/>
                <w:color w:val="auto"/>
              </w:rPr>
            </w:pPr>
          </w:p>
        </w:tc>
      </w:tr>
      <w:tr>
        <w:trPr>
          <w:trHeight w:val="20"/>
        </w:trPr>
        <w:tc>
          <w:tcPr>
            <w:tcW w:w="7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 and should be read in conjunction herewith.</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SEACOR MARINE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CONDENSED CONSOLIDATED STATEMENTS OF INCOME (LOSS)</w:t>
      </w:r>
    </w:p>
    <w:p>
      <w:pPr>
        <w:jc w:val="center"/>
        <w:spacing w:after="0"/>
        <w:rPr>
          <w:sz w:val="20"/>
          <w:szCs w:val="20"/>
          <w:color w:val="auto"/>
        </w:rPr>
      </w:pPr>
      <w:r>
        <w:rPr>
          <w:rFonts w:ascii="Arial" w:cs="Arial" w:eastAsia="Arial" w:hAnsi="Arial"/>
          <w:sz w:val="22"/>
          <w:szCs w:val="22"/>
          <w:b w:val="1"/>
          <w:bCs w:val="1"/>
          <w:color w:val="auto"/>
        </w:rPr>
        <w:t>(in thousands, except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0" w:type="dxa"/>
            <w:vAlign w:val="bottom"/>
            <w:gridSpan w:val="6"/>
          </w:tcPr>
          <w:p>
            <w:pPr>
              <w:jc w:val="right"/>
              <w:ind w:right="68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7"/>
                <w:szCs w:val="17"/>
                <w:color w:val="auto"/>
              </w:rPr>
            </w:pPr>
          </w:p>
        </w:tc>
        <w:tc>
          <w:tcPr>
            <w:tcW w:w="2300" w:type="dxa"/>
            <w:vAlign w:val="bottom"/>
            <w:gridSpan w:val="6"/>
          </w:tcPr>
          <w:p>
            <w:pPr>
              <w:jc w:val="right"/>
              <w:ind w:right="62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6"/>
          </w:tcPr>
          <w:p>
            <w:pPr>
              <w:jc w:val="right"/>
              <w:ind w:right="92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8"/>
                <w:szCs w:val="18"/>
                <w:color w:val="auto"/>
              </w:rPr>
            </w:pPr>
          </w:p>
        </w:tc>
        <w:tc>
          <w:tcPr>
            <w:tcW w:w="2300" w:type="dxa"/>
            <w:vAlign w:val="bottom"/>
            <w:gridSpan w:val="6"/>
          </w:tcPr>
          <w:p>
            <w:pPr>
              <w:jc w:val="right"/>
              <w:ind w:right="82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36"/>
        </w:trPr>
        <w:tc>
          <w:tcPr>
            <w:tcW w:w="586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top w:val="single" w:sz="8" w:color="auto"/>
              <w:bottom w:val="single" w:sz="8" w:color="CFF0FC"/>
            </w:tcBorders>
          </w:tcPr>
          <w:p>
            <w:pPr>
              <w:spacing w:after="0"/>
              <w:rPr>
                <w:sz w:val="20"/>
                <w:szCs w:val="20"/>
                <w:color w:val="auto"/>
              </w:rPr>
            </w:pPr>
          </w:p>
        </w:tc>
        <w:tc>
          <w:tcPr>
            <w:tcW w:w="80" w:type="dxa"/>
            <w:vAlign w:val="bottom"/>
            <w:tcBorders>
              <w:top w:val="single" w:sz="8" w:color="auto"/>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top w:val="single" w:sz="8" w:color="auto"/>
              <w:bottom w:val="single" w:sz="8" w:color="CFF0FC"/>
            </w:tcBorders>
          </w:tcPr>
          <w:p>
            <w:pPr>
              <w:spacing w:after="0"/>
              <w:rPr>
                <w:sz w:val="20"/>
                <w:szCs w:val="20"/>
                <w:color w:val="auto"/>
              </w:rPr>
            </w:pPr>
          </w:p>
        </w:tc>
        <w:tc>
          <w:tcPr>
            <w:tcW w:w="80" w:type="dxa"/>
            <w:vAlign w:val="bottom"/>
            <w:tcBorders>
              <w:top w:val="single" w:sz="8" w:color="auto"/>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46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59,791</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43,663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159,399</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122,974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860" w:type="dxa"/>
            <w:vAlign w:val="bottom"/>
          </w:tcPr>
          <w:p>
            <w:pPr>
              <w:spacing w:after="0"/>
              <w:rPr>
                <w:sz w:val="20"/>
                <w:szCs w:val="20"/>
                <w:color w:val="auto"/>
              </w:rPr>
            </w:pPr>
            <w:r>
              <w:rPr>
                <w:rFonts w:ascii="Arial" w:cs="Arial" w:eastAsia="Arial" w:hAnsi="Arial"/>
                <w:sz w:val="16"/>
                <w:szCs w:val="16"/>
                <w:color w:val="auto"/>
              </w:rPr>
              <w:t>Costs and Expenses:</w:t>
            </w: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44,006</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33,448</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127,647</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92,370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60" w:type="dxa"/>
            <w:vAlign w:val="bottom"/>
          </w:tcPr>
          <w:p>
            <w:pPr>
              <w:ind w:left="260"/>
              <w:spacing w:after="0"/>
              <w:rPr>
                <w:sz w:val="20"/>
                <w:szCs w:val="20"/>
                <w:color w:val="auto"/>
              </w:rPr>
            </w:pPr>
            <w:r>
              <w:rPr>
                <w:rFonts w:ascii="Arial" w:cs="Arial" w:eastAsia="Arial" w:hAnsi="Arial"/>
                <w:sz w:val="16"/>
                <w:szCs w:val="16"/>
                <w:color w:val="auto"/>
              </w:rPr>
              <w:t>Administrative and general</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9,978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9,134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30,112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26,897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Lease expense</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1,168</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1,109</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3,236</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26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13,754</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14,306</w:t>
            </w:r>
          </w:p>
        </w:tc>
        <w:tc>
          <w:tcPr>
            <w:tcW w:w="2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42,333</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43,197</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68,906</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57,997</w:t>
            </w:r>
          </w:p>
        </w:tc>
        <w:tc>
          <w:tcPr>
            <w:tcW w:w="2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203,328</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165,885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860" w:type="dxa"/>
            <w:vAlign w:val="bottom"/>
          </w:tcPr>
          <w:p>
            <w:pPr>
              <w:spacing w:after="0"/>
              <w:rPr>
                <w:sz w:val="20"/>
                <w:szCs w:val="20"/>
                <w:color w:val="auto"/>
              </w:rPr>
            </w:pPr>
            <w:r>
              <w:rPr>
                <w:rFonts w:ascii="Arial" w:cs="Arial" w:eastAsia="Arial" w:hAnsi="Arial"/>
                <w:sz w:val="16"/>
                <w:szCs w:val="16"/>
                <w:color w:val="auto"/>
              </w:rPr>
              <w:t>(Losses) Gains on Asset Dispositions and Impairments, Net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(1,783)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20,436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86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(10,898)</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(14,278)</w:t>
            </w: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(43,548)</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(22,475)</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Arial" w:cs="Arial" w:eastAsia="Arial" w:hAnsi="Arial"/>
                <w:sz w:val="16"/>
                <w:szCs w:val="16"/>
                <w:color w:val="auto"/>
              </w:rPr>
              <w:t>Other Income (Expense):</w:t>
            </w: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income</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(123)</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60" w:type="dxa"/>
            <w:vAlign w:val="bottom"/>
          </w:tcPr>
          <w:p>
            <w:pPr>
              <w:ind w:left="26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(7,634)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(6,403)</w:t>
            </w: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(21,250)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(21,731)</w:t>
            </w:r>
          </w:p>
        </w:tc>
        <w:tc>
          <w:tcPr>
            <w:tcW w:w="0" w:type="dxa"/>
            <w:vAlign w:val="bottom"/>
          </w:tcPr>
          <w:p>
            <w:pPr>
              <w:spacing w:after="0"/>
              <w:rPr>
                <w:sz w:val="1"/>
                <w:szCs w:val="1"/>
                <w:color w:val="auto"/>
              </w:rPr>
            </w:pPr>
          </w:p>
        </w:tc>
      </w:tr>
      <w:tr>
        <w:trPr>
          <w:trHeight w:val="246"/>
        </w:trPr>
        <w:tc>
          <w:tcPr>
            <w:tcW w:w="5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SEACOR Holdings guarantee fees</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40"/>
        </w:trPr>
        <w:tc>
          <w:tcPr>
            <w:tcW w:w="5860" w:type="dxa"/>
            <w:vAlign w:val="bottom"/>
          </w:tcPr>
          <w:p>
            <w:pPr>
              <w:ind w:left="260"/>
              <w:spacing w:after="0"/>
              <w:rPr>
                <w:sz w:val="20"/>
                <w:szCs w:val="20"/>
                <w:color w:val="auto"/>
              </w:rPr>
            </w:pPr>
            <w:r>
              <w:rPr>
                <w:rFonts w:ascii="Arial" w:cs="Arial" w:eastAsia="Arial" w:hAnsi="Arial"/>
                <w:sz w:val="16"/>
                <w:szCs w:val="16"/>
                <w:color w:val="auto"/>
              </w:rPr>
              <w:t>Gain on debt extinguishment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61,994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Derivative gains, net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60" w:type="dxa"/>
            <w:vAlign w:val="bottom"/>
          </w:tcPr>
          <w:p>
            <w:pPr>
              <w:ind w:left="260"/>
              <w:spacing w:after="0"/>
              <w:rPr>
                <w:sz w:val="20"/>
                <w:szCs w:val="20"/>
                <w:color w:val="auto"/>
              </w:rPr>
            </w:pPr>
            <w:r>
              <w:rPr>
                <w:rFonts w:ascii="Arial" w:cs="Arial" w:eastAsia="Arial" w:hAnsi="Arial"/>
                <w:sz w:val="16"/>
                <w:szCs w:val="16"/>
                <w:color w:val="auto"/>
              </w:rPr>
              <w:t>Foreign currency gains (losses), net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2,314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4,305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(878)</w:t>
            </w:r>
          </w:p>
        </w:tc>
        <w:tc>
          <w:tcPr>
            <w:tcW w:w="0" w:type="dxa"/>
            <w:vAlign w:val="bottom"/>
          </w:tcPr>
          <w:p>
            <w:pPr>
              <w:spacing w:after="0"/>
              <w:rPr>
                <w:sz w:val="1"/>
                <w:szCs w:val="1"/>
                <w:color w:val="auto"/>
              </w:rPr>
            </w:pPr>
          </w:p>
        </w:tc>
      </w:tr>
      <w:tr>
        <w:trPr>
          <w:trHeight w:val="243"/>
        </w:trPr>
        <w:tc>
          <w:tcPr>
            <w:tcW w:w="586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8"/>
              </w:rPr>
              <w:t>Gain from return of investments in 50% or less owned companies and other, net</w:t>
            </w:r>
          </w:p>
        </w:tc>
        <w:tc>
          <w:tcPr>
            <w:tcW w:w="26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659</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9,442</w:t>
            </w:r>
          </w:p>
        </w:tc>
        <w:tc>
          <w:tcPr>
            <w:tcW w:w="22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618</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9,441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(4,783)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3,410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(16,231)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50,451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w w:val="96"/>
              </w:rPr>
              <w:t>(Loss) Income from Continuing Operations Before Income Tax Expense (Benefit) and</w:t>
            </w:r>
          </w:p>
        </w:tc>
        <w:tc>
          <w:tcPr>
            <w:tcW w:w="2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Equity in Earnings of 50% or Less Owned Companies</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(15,681)</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(10,868)</w:t>
            </w: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(59,779)</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86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8,418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(725)</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4,363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12,502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w w:val="97"/>
              </w:rPr>
              <w:t>(Loss) Income from Continuing Operations Before Equity in Earnings of 50% or Less</w:t>
            </w:r>
          </w:p>
        </w:tc>
        <w:tc>
          <w:tcPr>
            <w:tcW w:w="2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Owned Companies</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(24,099)</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(10,143)</w:t>
            </w: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(64,142)</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860" w:type="dxa"/>
            <w:vAlign w:val="bottom"/>
          </w:tcPr>
          <w:p>
            <w:pPr>
              <w:spacing w:after="0"/>
              <w:rPr>
                <w:sz w:val="20"/>
                <w:szCs w:val="20"/>
                <w:color w:val="auto"/>
              </w:rPr>
            </w:pPr>
            <w:r>
              <w:rPr>
                <w:rFonts w:ascii="Arial" w:cs="Arial" w:eastAsia="Arial" w:hAnsi="Arial"/>
                <w:sz w:val="16"/>
                <w:szCs w:val="16"/>
                <w:color w:val="auto"/>
              </w:rPr>
              <w:t>Equity in Earnings (Losses) Gains of 50% or Less Owned Companies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(254)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4,314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5,835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(Loss) Income from Continuing Operations</w:t>
            </w: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86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(24,353)</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(5,829)</w:t>
            </w: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(58,307)</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26,058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on Discontinued Operations, Net of Tax (see Note 13)</w:t>
            </w:r>
          </w:p>
        </w:tc>
        <w:tc>
          <w:tcPr>
            <w:tcW w:w="26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22,925</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Net (Loss) Income</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(24,353)</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(5,829)</w:t>
            </w: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(58,307)</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48,983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60" w:type="dxa"/>
            <w:vAlign w:val="bottom"/>
          </w:tcPr>
          <w:p>
            <w:pPr>
              <w:spacing w:after="0"/>
              <w:rPr>
                <w:sz w:val="20"/>
                <w:szCs w:val="20"/>
                <w:color w:val="auto"/>
              </w:rPr>
            </w:pPr>
            <w:r>
              <w:rPr>
                <w:rFonts w:ascii="Arial" w:cs="Arial" w:eastAsia="Arial" w:hAnsi="Arial"/>
                <w:sz w:val="16"/>
                <w:szCs w:val="16"/>
                <w:color w:val="auto"/>
              </w:rPr>
              <w:t>Net (Loss) Income attributable to Noncontrolling Interests in Subsidiaries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(Loss) Income attributable to SEACOR Marine Holdings Inc.</w:t>
            </w: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6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(24,351)</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(5,829)</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(58,308)</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48,982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(Loss) Income Per Common Share from Continuing Operations:</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860" w:type="dxa"/>
            <w:vAlign w:val="bottom"/>
          </w:tcPr>
          <w:p>
            <w:pPr>
              <w:ind w:left="260"/>
              <w:spacing w:after="0"/>
              <w:rPr>
                <w:sz w:val="20"/>
                <w:szCs w:val="20"/>
                <w:color w:val="auto"/>
              </w:rPr>
            </w:pPr>
            <w:r>
              <w:rPr>
                <w:rFonts w:ascii="Arial" w:cs="Arial" w:eastAsia="Arial" w:hAnsi="Arial"/>
                <w:sz w:val="16"/>
                <w:szCs w:val="16"/>
                <w:color w:val="auto"/>
              </w:rPr>
              <w:t>Basic</w:t>
            </w:r>
          </w:p>
        </w:tc>
        <w:tc>
          <w:tcPr>
            <w:tcW w:w="46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(0.91)</w:t>
            </w: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(0.23)</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(2.19)</w:t>
            </w: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(0.91)</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(0.23)</w:t>
            </w: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(2.19)</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60" w:type="dxa"/>
            <w:vAlign w:val="bottom"/>
          </w:tcPr>
          <w:p>
            <w:pPr>
              <w:spacing w:after="0"/>
              <w:rPr>
                <w:sz w:val="20"/>
                <w:szCs w:val="20"/>
                <w:color w:val="auto"/>
              </w:rPr>
            </w:pPr>
            <w:r>
              <w:rPr>
                <w:rFonts w:ascii="Arial" w:cs="Arial" w:eastAsia="Arial" w:hAnsi="Arial"/>
                <w:sz w:val="16"/>
                <w:szCs w:val="16"/>
                <w:color w:val="auto"/>
              </w:rPr>
              <w:t>Net Earnings Per Share from Discontinued Operations: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Basic</w:t>
            </w:r>
          </w:p>
        </w:tc>
        <w:tc>
          <w:tcPr>
            <w:tcW w:w="46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60" w:type="dxa"/>
            <w:vAlign w:val="bottom"/>
          </w:tcPr>
          <w:p>
            <w:pPr>
              <w:ind w:left="260"/>
              <w:spacing w:after="0"/>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(Loss) Earnings Per Share:</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ind w:left="26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8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(0.91)</w:t>
            </w: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(0.23)</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(2.19)</w:t>
            </w: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6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(0.91)</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(0.23)</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(2.19)</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Weighted Average Common Stock and Warrants Outstanding:</w:t>
            </w: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8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26,727,864</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25,515,569</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26,591,911</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25,419,303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260"/>
              <w:spacing w:after="0"/>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26,727,864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25,515,569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26,591,911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25,430,762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 and should be read in conjunction herewith.</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SEACOR MARINE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CONDENSED CONSOLIDATED STATEMENTS OF COMPREHENSIVE INCOME (LOSS)</w:t>
      </w: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jc w:val="right"/>
              <w:ind w:right="78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2400" w:type="dxa"/>
            <w:vAlign w:val="bottom"/>
            <w:gridSpan w:val="5"/>
          </w:tcPr>
          <w:p>
            <w:pPr>
              <w:jc w:val="right"/>
              <w:ind w:right="70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9"/>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2021</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Net (Loss) Income</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(24,353)</w:t>
            </w:r>
          </w:p>
        </w:tc>
        <w:tc>
          <w:tcPr>
            <w:tcW w:w="380" w:type="dxa"/>
            <w:vAlign w:val="bottom"/>
            <w:shd w:val="clear" w:color="auto" w:fill="CFF0FC"/>
          </w:tcPr>
          <w:p>
            <w:pPr>
              <w:jc w:val="right"/>
              <w:ind w:right="22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(5,829)</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(58,307)</w:t>
            </w:r>
          </w:p>
        </w:tc>
        <w:tc>
          <w:tcPr>
            <w:tcW w:w="380" w:type="dxa"/>
            <w:vAlign w:val="bottom"/>
            <w:shd w:val="clear" w:color="auto" w:fill="CFF0FC"/>
          </w:tcPr>
          <w:p>
            <w:pPr>
              <w:jc w:val="right"/>
              <w:ind w:right="22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48,983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4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currency translation (losses) gains</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(2,154)</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(504)</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(6,717)</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Derivative gains (losses) on cash flow hedges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(54)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1,521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Reclassification of derivative losses on cash flow hedges to interest expense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749</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840" w:type="dxa"/>
            <w:vAlign w:val="bottom"/>
          </w:tcPr>
          <w:p>
            <w:pPr>
              <w:ind w:left="260"/>
              <w:spacing w:after="0"/>
              <w:rPr>
                <w:sz w:val="20"/>
                <w:szCs w:val="20"/>
                <w:color w:val="auto"/>
              </w:rPr>
            </w:pPr>
            <w:r>
              <w:rPr>
                <w:rFonts w:ascii="Arial" w:cs="Arial" w:eastAsia="Arial" w:hAnsi="Arial"/>
                <w:sz w:val="16"/>
                <w:szCs w:val="16"/>
                <w:color w:val="auto"/>
              </w:rPr>
              <w:t>Reclassification of derivative gains (losses) on cash flow hedges to equity in</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40" w:type="dxa"/>
            <w:vAlign w:val="bottom"/>
          </w:tcPr>
          <w:p>
            <w:pPr>
              <w:ind w:left="260"/>
              <w:spacing w:after="0"/>
              <w:rPr>
                <w:sz w:val="20"/>
                <w:szCs w:val="20"/>
                <w:color w:val="auto"/>
              </w:rPr>
            </w:pPr>
            <w:r>
              <w:rPr>
                <w:rFonts w:ascii="Arial" w:cs="Arial" w:eastAsia="Arial" w:hAnsi="Arial"/>
                <w:sz w:val="16"/>
                <w:szCs w:val="16"/>
                <w:color w:val="auto"/>
              </w:rPr>
              <w:t>earnings of 50% or less owned companies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941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(787)</w:t>
            </w:r>
          </w:p>
        </w:tc>
        <w:tc>
          <w:tcPr>
            <w:tcW w:w="0" w:type="dxa"/>
            <w:vAlign w:val="bottom"/>
          </w:tcPr>
          <w:p>
            <w:pPr>
              <w:spacing w:after="0"/>
              <w:rPr>
                <w:sz w:val="1"/>
                <w:szCs w:val="1"/>
                <w:color w:val="auto"/>
              </w:rPr>
            </w:pPr>
          </w:p>
        </w:tc>
      </w:tr>
      <w:tr>
        <w:trPr>
          <w:trHeight w:val="20"/>
        </w:trPr>
        <w:tc>
          <w:tcPr>
            <w:tcW w:w="58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(1,411)</w:t>
            </w:r>
          </w:p>
        </w:tc>
        <w:tc>
          <w:tcPr>
            <w:tcW w:w="3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(63)</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(3,506)</w:t>
            </w: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6"/>
                <w:szCs w:val="16"/>
                <w:color w:val="auto"/>
              </w:rPr>
              <w:t>Comprehensive (Loss) Income</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8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(25,764)</w:t>
            </w:r>
          </w:p>
        </w:tc>
        <w:tc>
          <w:tcPr>
            <w:tcW w:w="38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(5,892)</w:t>
            </w: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(61,813)</w:t>
            </w: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53,237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w w:val="96"/>
              </w:rPr>
              <w:t>Comprehensive (Loss) Income Attributable to Noncontrolling Interests in Subsidiaries</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8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w:t>
            </w:r>
          </w:p>
        </w:tc>
        <w:tc>
          <w:tcPr>
            <w:tcW w:w="3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6"/>
                <w:szCs w:val="16"/>
                <w:color w:val="auto"/>
              </w:rPr>
              <w:t>Comprehensive (Loss) Income Attributable to SEACOR Marine Holdings Inc.</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40" w:type="dxa"/>
            <w:vAlign w:val="bottom"/>
            <w:vMerge w:val="continue"/>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(25,762)</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(5,892)</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(61,814)</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53,236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 and should be read in conjunction herewith.</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SEACOR MARINE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CONDENSED CONSOLIDATED STATEMENTS OF CHANGES IN EQUITY</w:t>
      </w:r>
    </w:p>
    <w:p>
      <w:pPr>
        <w:jc w:val="center"/>
        <w:spacing w:after="0"/>
        <w:rPr>
          <w:sz w:val="20"/>
          <w:szCs w:val="20"/>
          <w:color w:val="auto"/>
        </w:rPr>
      </w:pPr>
      <w:r>
        <w:rPr>
          <w:rFonts w:ascii="Arial" w:cs="Arial" w:eastAsia="Arial" w:hAnsi="Arial"/>
          <w:sz w:val="22"/>
          <w:szCs w:val="22"/>
          <w:b w:val="1"/>
          <w:bCs w:val="1"/>
          <w:color w:val="auto"/>
        </w:rPr>
        <w:t>(in thousands, except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Shares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Shares</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Common</w:t>
            </w:r>
          </w:p>
        </w:tc>
        <w:tc>
          <w:tcPr>
            <w:tcW w:w="80" w:type="dxa"/>
            <w:vAlign w:val="bottom"/>
          </w:tcPr>
          <w:p>
            <w:pPr>
              <w:spacing w:after="0"/>
              <w:rPr>
                <w:sz w:val="12"/>
                <w:szCs w:val="12"/>
                <w:color w:val="auto"/>
              </w:rPr>
            </w:pPr>
          </w:p>
        </w:tc>
        <w:tc>
          <w:tcPr>
            <w:tcW w:w="9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5"/>
              </w:rPr>
              <w:t>Common</w:t>
            </w:r>
          </w:p>
        </w:tc>
        <w:tc>
          <w:tcPr>
            <w:tcW w:w="1000" w:type="dxa"/>
            <w:vAlign w:val="bottom"/>
            <w:gridSpan w:val="3"/>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7"/>
              </w:rPr>
              <w:t>Treasury</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Other</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Controlling</w:t>
            </w:r>
          </w:p>
        </w:tc>
        <w:tc>
          <w:tcPr>
            <w:tcW w:w="120" w:type="dxa"/>
            <w:vAlign w:val="bottom"/>
          </w:tcPr>
          <w:p>
            <w:pPr>
              <w:spacing w:after="0"/>
              <w:rPr>
                <w:sz w:val="12"/>
                <w:szCs w:val="12"/>
                <w:color w:val="auto"/>
              </w:rPr>
            </w:pP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Paid-In</w:t>
            </w: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Held in</w:t>
            </w:r>
          </w:p>
        </w:tc>
        <w:tc>
          <w:tcPr>
            <w:tcW w:w="780" w:type="dxa"/>
            <w:vAlign w:val="bottom"/>
            <w:gridSpan w:val="2"/>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26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Comprehensive</w:t>
            </w: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Interests In</w:t>
            </w: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Outstanding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Treasury</w:t>
            </w: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Income</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3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6"/>
                <w:szCs w:val="16"/>
                <w:b w:val="1"/>
                <w:bCs w:val="1"/>
                <w:color w:val="auto"/>
              </w:rPr>
              <w:t>For the Nine Months Ended</w:t>
            </w:r>
          </w:p>
        </w:tc>
        <w:tc>
          <w:tcPr>
            <w:tcW w:w="12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September 30, 2022</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80" w:type="dxa"/>
            <w:vAlign w:val="bottom"/>
          </w:tcPr>
          <w:p>
            <w:pPr>
              <w:spacing w:after="0"/>
              <w:rPr>
                <w:sz w:val="20"/>
                <w:szCs w:val="20"/>
                <w:color w:val="auto"/>
              </w:rPr>
            </w:pPr>
            <w:r>
              <w:rPr>
                <w:rFonts w:ascii="Arial" w:cs="Arial" w:eastAsia="Arial" w:hAnsi="Arial"/>
                <w:sz w:val="16"/>
                <w:szCs w:val="16"/>
                <w:b w:val="1"/>
                <w:bCs w:val="1"/>
                <w:color w:val="auto"/>
              </w:rPr>
              <w:t>December 31, 2021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25,992,237</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262</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461,931</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127,887</w:t>
            </w: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w w:val="93"/>
              </w:rPr>
              <w:t>$ (1,120)</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(22,907)</w:t>
            </w: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8,055</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320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446,541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Restricted stock grants</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738,896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380" w:type="dxa"/>
            <w:vAlign w:val="bottom"/>
          </w:tcPr>
          <w:p>
            <w:pPr>
              <w:ind w:left="260"/>
              <w:spacing w:after="0"/>
              <w:rPr>
                <w:sz w:val="20"/>
                <w:szCs w:val="20"/>
                <w:color w:val="auto"/>
              </w:rPr>
            </w:pPr>
            <w:r>
              <w:rPr>
                <w:rFonts w:ascii="Arial" w:cs="Arial" w:eastAsia="Arial" w:hAnsi="Arial"/>
                <w:sz w:val="16"/>
                <w:szCs w:val="16"/>
                <w:color w:val="auto"/>
              </w:rPr>
              <w:t>Amortization of share awards</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3,367</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Exercise of options</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34,492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380" w:type="dxa"/>
            <w:vAlign w:val="bottom"/>
          </w:tcPr>
          <w:p>
            <w:pPr>
              <w:ind w:left="260"/>
              <w:spacing w:after="0"/>
              <w:rPr>
                <w:sz w:val="20"/>
                <w:szCs w:val="20"/>
                <w:color w:val="auto"/>
              </w:rPr>
            </w:pPr>
            <w:r>
              <w:rPr>
                <w:rFonts w:ascii="Arial" w:cs="Arial" w:eastAsia="Arial" w:hAnsi="Arial"/>
                <w:sz w:val="16"/>
                <w:szCs w:val="16"/>
                <w:color w:val="auto"/>
              </w:rPr>
              <w:t>Restricted stock vesting</w:t>
            </w:r>
          </w:p>
        </w:tc>
        <w:tc>
          <w:tcPr>
            <w:tcW w:w="1100" w:type="dxa"/>
            <w:vAlign w:val="bottom"/>
            <w:gridSpan w:val="3"/>
          </w:tcPr>
          <w:p>
            <w:pPr>
              <w:jc w:val="right"/>
              <w:ind w:right="80"/>
              <w:spacing w:after="0"/>
              <w:rPr>
                <w:sz w:val="20"/>
                <w:szCs w:val="20"/>
                <w:color w:val="auto"/>
              </w:rPr>
            </w:pPr>
            <w:r>
              <w:rPr>
                <w:rFonts w:ascii="Arial" w:cs="Arial" w:eastAsia="Arial" w:hAnsi="Arial"/>
                <w:sz w:val="16"/>
                <w:szCs w:val="16"/>
                <w:color w:val="auto"/>
              </w:rPr>
              <w:t>(114,251)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114,251</w:t>
            </w: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(672)</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1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Director share awards</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60,787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380" w:type="dxa"/>
            <w:vAlign w:val="bottom"/>
          </w:tcPr>
          <w:p>
            <w:pPr>
              <w:ind w:left="260"/>
              <w:spacing w:after="0"/>
              <w:rPr>
                <w:sz w:val="20"/>
                <w:szCs w:val="20"/>
                <w:color w:val="auto"/>
              </w:rPr>
            </w:pPr>
            <w:r>
              <w:rPr>
                <w:rFonts w:ascii="Arial" w:cs="Arial" w:eastAsia="Arial" w:hAnsi="Arial"/>
                <w:sz w:val="16"/>
                <w:szCs w:val="16"/>
                <w:color w:val="auto"/>
                <w:w w:val="94"/>
              </w:rPr>
              <w:t>Director restricted stock vesting</w:t>
            </w:r>
          </w:p>
        </w:tc>
        <w:tc>
          <w:tcPr>
            <w:tcW w:w="1100" w:type="dxa"/>
            <w:vAlign w:val="bottom"/>
            <w:gridSpan w:val="3"/>
          </w:tcPr>
          <w:p>
            <w:pPr>
              <w:jc w:val="right"/>
              <w:ind w:right="80"/>
              <w:spacing w:after="0"/>
              <w:rPr>
                <w:sz w:val="20"/>
                <w:szCs w:val="20"/>
                <w:color w:val="auto"/>
              </w:rPr>
            </w:pPr>
            <w:r>
              <w:rPr>
                <w:rFonts w:ascii="Arial" w:cs="Arial" w:eastAsia="Arial" w:hAnsi="Arial"/>
                <w:sz w:val="16"/>
                <w:szCs w:val="16"/>
                <w:color w:val="auto"/>
              </w:rPr>
              <w:t>(6,500)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6,500</w:t>
            </w: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(60)</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Forfeiture of employee share</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awards</w:t>
            </w:r>
          </w:p>
        </w:tc>
        <w:tc>
          <w:tcPr>
            <w:tcW w:w="110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(3,500)</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(58,308)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(58,307)</w:t>
            </w:r>
          </w:p>
        </w:tc>
        <w:tc>
          <w:tcPr>
            <w:tcW w:w="0" w:type="dxa"/>
            <w:vAlign w:val="bottom"/>
          </w:tcPr>
          <w:p>
            <w:pPr>
              <w:spacing w:after="0"/>
              <w:rPr>
                <w:sz w:val="1"/>
                <w:szCs w:val="1"/>
                <w:color w:val="auto"/>
              </w:rPr>
            </w:pPr>
          </w:p>
        </w:tc>
      </w:tr>
      <w:tr>
        <w:trPr>
          <w:trHeight w:val="213"/>
        </w:trPr>
        <w:tc>
          <w:tcPr>
            <w:tcW w:w="2380" w:type="dxa"/>
            <w:vAlign w:val="bottom"/>
          </w:tcPr>
          <w:p>
            <w:pPr>
              <w:ind w:left="260"/>
              <w:spacing w:after="0"/>
              <w:rPr>
                <w:sz w:val="20"/>
                <w:szCs w:val="20"/>
                <w:color w:val="auto"/>
              </w:rPr>
            </w:pPr>
            <w:r>
              <w:rPr>
                <w:rFonts w:ascii="Arial" w:cs="Arial" w:eastAsia="Arial" w:hAnsi="Arial"/>
                <w:sz w:val="16"/>
                <w:szCs w:val="16"/>
                <w:color w:val="auto"/>
              </w:rPr>
              <w:t>Other comprehensive loss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(3,506)</w:t>
            </w: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(2,060)</w:t>
            </w:r>
          </w:p>
        </w:tc>
        <w:tc>
          <w:tcPr>
            <w:tcW w:w="0" w:type="dxa"/>
            <w:vAlign w:val="bottom"/>
          </w:tcPr>
          <w:p>
            <w:pPr>
              <w:spacing w:after="0"/>
              <w:rPr>
                <w:sz w:val="1"/>
                <w:szCs w:val="1"/>
                <w:color w:val="auto"/>
              </w:rPr>
            </w:pPr>
          </w:p>
        </w:tc>
      </w:tr>
      <w:tr>
        <w:trPr>
          <w:trHeight w:val="20"/>
        </w:trPr>
        <w:tc>
          <w:tcPr>
            <w:tcW w:w="238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September 30, 2022</w:t>
            </w: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26,702,161</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465,449</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248,638</w:t>
            </w:r>
          </w:p>
        </w:tc>
        <w:tc>
          <w:tcPr>
            <w:tcW w:w="2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w w:val="93"/>
              </w:rPr>
              <w:t>$ (1,852)</w:t>
            </w: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(79,769)</w:t>
            </w: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4,549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388,970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8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For the Three Months Ended</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September 30, 2022</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80" w:type="dxa"/>
            <w:vAlign w:val="bottom"/>
          </w:tcPr>
          <w:p>
            <w:pPr>
              <w:spacing w:after="0"/>
              <w:rPr>
                <w:sz w:val="20"/>
                <w:szCs w:val="20"/>
                <w:color w:val="auto"/>
              </w:rPr>
            </w:pPr>
            <w:r>
              <w:rPr>
                <w:rFonts w:ascii="Arial" w:cs="Arial" w:eastAsia="Arial" w:hAnsi="Arial"/>
                <w:sz w:val="16"/>
                <w:szCs w:val="16"/>
                <w:b w:val="1"/>
                <w:bCs w:val="1"/>
                <w:color w:val="auto"/>
              </w:rPr>
              <w:t>June 30, 2022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26,705,661</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272</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464,222</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248,638</w:t>
            </w: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w w:val="93"/>
              </w:rPr>
              <w:t>$ (1,852)</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(55,418)</w:t>
            </w: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5,960</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323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413,507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80" w:type="dxa"/>
            <w:vAlign w:val="bottom"/>
          </w:tcPr>
          <w:p>
            <w:pPr>
              <w:ind w:left="260"/>
              <w:spacing w:after="0"/>
              <w:rPr>
                <w:sz w:val="20"/>
                <w:szCs w:val="20"/>
                <w:color w:val="auto"/>
              </w:rPr>
            </w:pPr>
            <w:r>
              <w:rPr>
                <w:rFonts w:ascii="Arial" w:cs="Arial" w:eastAsia="Arial" w:hAnsi="Arial"/>
                <w:sz w:val="16"/>
                <w:szCs w:val="16"/>
                <w:color w:val="auto"/>
              </w:rPr>
              <w:t>Amortization of share awards</w:t>
            </w: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1,227</w:t>
            </w: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Forfeiture of employee share</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awards</w:t>
            </w:r>
          </w:p>
        </w:tc>
        <w:tc>
          <w:tcPr>
            <w:tcW w:w="110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(3,500)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380" w:type="dxa"/>
            <w:vAlign w:val="bottom"/>
          </w:tcPr>
          <w:p>
            <w:pPr>
              <w:ind w:left="26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(24,351)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(24,353)</w:t>
            </w:r>
          </w:p>
        </w:tc>
        <w:tc>
          <w:tcPr>
            <w:tcW w:w="0" w:type="dxa"/>
            <w:vAlign w:val="bottom"/>
          </w:tcPr>
          <w:p>
            <w:pPr>
              <w:spacing w:after="0"/>
              <w:rPr>
                <w:sz w:val="1"/>
                <w:szCs w:val="1"/>
                <w:color w:val="auto"/>
              </w:rPr>
            </w:pPr>
          </w:p>
        </w:tc>
      </w:tr>
      <w:tr>
        <w:trPr>
          <w:trHeight w:val="219"/>
        </w:trPr>
        <w:tc>
          <w:tcPr>
            <w:tcW w:w="2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loss</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(1,411)</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(1,411)</w:t>
            </w: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Arial" w:cs="Arial" w:eastAsia="Arial" w:hAnsi="Arial"/>
                <w:sz w:val="16"/>
                <w:szCs w:val="16"/>
                <w:b w:val="1"/>
                <w:bCs w:val="1"/>
                <w:color w:val="auto"/>
              </w:rPr>
              <w:t>September 30, 2022</w:t>
            </w: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3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9"/>
              </w:rPr>
              <w:t>26,702,161</w:t>
            </w:r>
          </w:p>
        </w:tc>
        <w:tc>
          <w:tcPr>
            <w:tcW w:w="14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272</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465,449</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248,638</w:t>
            </w:r>
          </w:p>
        </w:tc>
        <w:tc>
          <w:tcPr>
            <w:tcW w:w="2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w w:val="93"/>
              </w:rPr>
              <w:t>$ (1,852)</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(79,769)</w:t>
            </w: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4,549</w:t>
            </w:r>
          </w:p>
        </w:tc>
        <w:tc>
          <w:tcPr>
            <w:tcW w:w="22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321</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388,970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 and should be read in conjunction herewith.</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Shares of</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6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2"/>
                <w:szCs w:val="12"/>
                <w:color w:val="auto"/>
              </w:rPr>
            </w:pP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Common</w:t>
            </w:r>
          </w:p>
        </w:tc>
        <w:tc>
          <w:tcPr>
            <w:tcW w:w="2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92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Treasury</w:t>
            </w:r>
          </w:p>
        </w:tc>
        <w:tc>
          <w:tcPr>
            <w:tcW w:w="112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6"/>
              </w:rPr>
              <w:t>Controlling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Paid-In</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Held in</w:t>
            </w:r>
          </w:p>
        </w:tc>
        <w:tc>
          <w:tcPr>
            <w:tcW w:w="920" w:type="dxa"/>
            <w:vAlign w:val="bottom"/>
            <w:gridSpan w:val="4"/>
            <w:vMerge w:val="continue"/>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6"/>
              </w:rPr>
              <w:t>Interests In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4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Outstanding</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20"/>
              <w:spacing w:after="0"/>
              <w:rPr>
                <w:sz w:val="20"/>
                <w:szCs w:val="20"/>
                <w:color w:val="auto"/>
              </w:rPr>
            </w:pPr>
            <w:r>
              <w:rPr>
                <w:rFonts w:ascii="Arial" w:cs="Arial" w:eastAsia="Arial" w:hAnsi="Arial"/>
                <w:sz w:val="14"/>
                <w:szCs w:val="14"/>
                <w:b w:val="1"/>
                <w:bCs w:val="1"/>
                <w:color w:val="auto"/>
                <w:w w:val="99"/>
              </w:rPr>
              <w:t>Stock</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Capital</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Treasury</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Income</w:t>
            </w:r>
          </w:p>
        </w:tc>
        <w:tc>
          <w:tcPr>
            <w:tcW w:w="840" w:type="dxa"/>
            <w:vAlign w:val="bottom"/>
            <w:gridSpan w:val="3"/>
          </w:tcPr>
          <w:p>
            <w:pPr>
              <w:ind w:left="80"/>
              <w:spacing w:after="0"/>
              <w:rPr>
                <w:sz w:val="20"/>
                <w:szCs w:val="20"/>
                <w:color w:val="auto"/>
              </w:rPr>
            </w:pPr>
            <w:r>
              <w:rPr>
                <w:rFonts w:ascii="Arial" w:cs="Arial" w:eastAsia="Arial" w:hAnsi="Arial"/>
                <w:sz w:val="14"/>
                <w:szCs w:val="14"/>
                <w:b w:val="1"/>
                <w:bCs w:val="1"/>
                <w:color w:val="auto"/>
                <w:w w:val="88"/>
              </w:rPr>
              <w:t>Subsidiaries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44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6"/>
                <w:szCs w:val="16"/>
                <w:b w:val="1"/>
                <w:bCs w:val="1"/>
                <w:color w:val="auto"/>
              </w:rPr>
              <w:t>For the Nine Months Ended</w:t>
            </w:r>
          </w:p>
        </w:tc>
        <w:tc>
          <w:tcPr>
            <w:tcW w:w="8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September 30, 2021</w:t>
            </w: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40" w:type="dxa"/>
            <w:vAlign w:val="bottom"/>
          </w:tcPr>
          <w:p>
            <w:pPr>
              <w:spacing w:after="0"/>
              <w:rPr>
                <w:sz w:val="20"/>
                <w:szCs w:val="20"/>
                <w:color w:val="auto"/>
              </w:rPr>
            </w:pPr>
            <w:r>
              <w:rPr>
                <w:rFonts w:ascii="Arial" w:cs="Arial" w:eastAsia="Arial" w:hAnsi="Arial"/>
                <w:sz w:val="16"/>
                <w:szCs w:val="16"/>
                <w:b w:val="1"/>
                <w:bCs w:val="1"/>
                <w:color w:val="auto"/>
              </w:rPr>
              <w:t>December 31, 2020</w:t>
            </w:r>
          </w:p>
        </w:tc>
        <w:tc>
          <w:tcPr>
            <w:tcW w:w="840" w:type="dxa"/>
            <w:vAlign w:val="bottom"/>
          </w:tcPr>
          <w:p>
            <w:pPr>
              <w:jc w:val="right"/>
              <w:spacing w:after="0"/>
              <w:rPr>
                <w:sz w:val="20"/>
                <w:szCs w:val="20"/>
                <w:color w:val="auto"/>
              </w:rPr>
            </w:pPr>
            <w:r>
              <w:rPr>
                <w:rFonts w:ascii="Arial" w:cs="Arial" w:eastAsia="Arial" w:hAnsi="Arial"/>
                <w:sz w:val="16"/>
                <w:szCs w:val="16"/>
                <w:color w:val="auto"/>
              </w:rPr>
              <w:t>23,430,766</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235</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451,179</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73,284</w:t>
            </w:r>
          </w:p>
        </w:tc>
        <w:tc>
          <w:tcPr>
            <w:tcW w:w="320" w:type="dxa"/>
            <w:vAlign w:val="bottom"/>
            <w:gridSpan w:val="2"/>
          </w:tcPr>
          <w:p>
            <w:pPr>
              <w:ind w:left="220"/>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(848)</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(51,839)</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2,790</w:t>
            </w:r>
          </w:p>
        </w:tc>
        <w:tc>
          <w:tcPr>
            <w:tcW w:w="14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319</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401,836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Restricted stock grants</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815,550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40" w:type="dxa"/>
            <w:vAlign w:val="bottom"/>
          </w:tcPr>
          <w:p>
            <w:pPr>
              <w:ind w:left="260"/>
              <w:spacing w:after="0"/>
              <w:rPr>
                <w:sz w:val="20"/>
                <w:szCs w:val="20"/>
                <w:color w:val="auto"/>
              </w:rPr>
            </w:pPr>
            <w:r>
              <w:rPr>
                <w:rFonts w:ascii="Arial" w:cs="Arial" w:eastAsia="Arial" w:hAnsi="Arial"/>
                <w:sz w:val="16"/>
                <w:szCs w:val="16"/>
                <w:color w:val="auto"/>
              </w:rPr>
              <w:t>Amortization of share awards</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3,759</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Restricted stock vesting</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(54,454)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54,454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(272)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13"/>
        </w:trPr>
        <w:tc>
          <w:tcPr>
            <w:tcW w:w="2440" w:type="dxa"/>
            <w:vAlign w:val="bottom"/>
          </w:tcPr>
          <w:p>
            <w:pPr>
              <w:ind w:left="260"/>
              <w:spacing w:after="0"/>
              <w:rPr>
                <w:sz w:val="20"/>
                <w:szCs w:val="20"/>
                <w:color w:val="auto"/>
              </w:rPr>
            </w:pPr>
            <w:r>
              <w:rPr>
                <w:rFonts w:ascii="Arial" w:cs="Arial" w:eastAsia="Arial" w:hAnsi="Arial"/>
                <w:sz w:val="16"/>
                <w:szCs w:val="16"/>
                <w:color w:val="auto"/>
              </w:rPr>
              <w:t>Director share awards</w:t>
            </w:r>
          </w:p>
        </w:tc>
        <w:tc>
          <w:tcPr>
            <w:tcW w:w="840" w:type="dxa"/>
            <w:vAlign w:val="bottom"/>
          </w:tcPr>
          <w:p>
            <w:pPr>
              <w:jc w:val="right"/>
              <w:spacing w:after="0"/>
              <w:rPr>
                <w:sz w:val="20"/>
                <w:szCs w:val="20"/>
                <w:color w:val="auto"/>
              </w:rPr>
            </w:pPr>
            <w:r>
              <w:rPr>
                <w:rFonts w:ascii="Arial" w:cs="Arial" w:eastAsia="Arial" w:hAnsi="Arial"/>
                <w:sz w:val="16"/>
                <w:szCs w:val="16"/>
                <w:color w:val="auto"/>
              </w:rPr>
              <w:t>189,030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435</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Forfeiture of employee share</w:t>
            </w: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awards</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(5,250)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440" w:type="dxa"/>
            <w:vAlign w:val="bottom"/>
          </w:tcPr>
          <w:p>
            <w:pPr>
              <w:ind w:left="260"/>
              <w:spacing w:after="0"/>
              <w:rPr>
                <w:sz w:val="20"/>
                <w:szCs w:val="20"/>
                <w:color w:val="auto"/>
              </w:rPr>
            </w:pPr>
            <w:r>
              <w:rPr>
                <w:rFonts w:ascii="Arial" w:cs="Arial" w:eastAsia="Arial" w:hAnsi="Arial"/>
                <w:sz w:val="16"/>
                <w:szCs w:val="16"/>
                <w:color w:val="auto"/>
              </w:rPr>
              <w:t>Sale of Windcat Workboats</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(4,202)</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(4,202)</w:t>
            </w:r>
          </w:p>
        </w:tc>
        <w:tc>
          <w:tcPr>
            <w:tcW w:w="0" w:type="dxa"/>
            <w:vAlign w:val="bottom"/>
          </w:tcPr>
          <w:p>
            <w:pPr>
              <w:spacing w:after="0"/>
              <w:rPr>
                <w:sz w:val="1"/>
                <w:szCs w:val="1"/>
                <w:color w:val="auto"/>
              </w:rPr>
            </w:pPr>
          </w:p>
        </w:tc>
      </w:tr>
      <w:tr>
        <w:trPr>
          <w:trHeight w:val="219"/>
        </w:trPr>
        <w:tc>
          <w:tcPr>
            <w:tcW w:w="2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48,982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48,983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comprehensive income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4,254</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September 30, 2021</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24,375,642</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455,373</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127,738</w:t>
            </w:r>
          </w:p>
        </w:tc>
        <w:tc>
          <w:tcPr>
            <w:tcW w:w="32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w w:val="89"/>
              </w:rPr>
              <w:t>$</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w w:val="98"/>
              </w:rPr>
              <w:t>(1,120)</w:t>
            </w: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(7,059)</w:t>
            </w: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7,044</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454,803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2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44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For the Three Months Ended</w:t>
            </w: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September 30, 2021</w:t>
            </w: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40" w:type="dxa"/>
            <w:vAlign w:val="bottom"/>
          </w:tcPr>
          <w:p>
            <w:pPr>
              <w:spacing w:after="0"/>
              <w:rPr>
                <w:sz w:val="20"/>
                <w:szCs w:val="20"/>
                <w:color w:val="auto"/>
              </w:rPr>
            </w:pPr>
            <w:r>
              <w:rPr>
                <w:rFonts w:ascii="Arial" w:cs="Arial" w:eastAsia="Arial" w:hAnsi="Arial"/>
                <w:sz w:val="16"/>
                <w:szCs w:val="16"/>
                <w:b w:val="1"/>
                <w:bCs w:val="1"/>
                <w:color w:val="auto"/>
              </w:rPr>
              <w:t>June 30, 2021</w:t>
            </w:r>
          </w:p>
        </w:tc>
        <w:tc>
          <w:tcPr>
            <w:tcW w:w="840" w:type="dxa"/>
            <w:vAlign w:val="bottom"/>
          </w:tcPr>
          <w:p>
            <w:pPr>
              <w:jc w:val="right"/>
              <w:spacing w:after="0"/>
              <w:rPr>
                <w:sz w:val="20"/>
                <w:szCs w:val="20"/>
                <w:color w:val="auto"/>
              </w:rPr>
            </w:pPr>
            <w:r>
              <w:rPr>
                <w:rFonts w:ascii="Arial" w:cs="Arial" w:eastAsia="Arial" w:hAnsi="Arial"/>
                <w:sz w:val="16"/>
                <w:szCs w:val="16"/>
                <w:color w:val="auto"/>
              </w:rPr>
              <w:t>24,380,892</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245</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454,079</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127,738</w:t>
            </w:r>
          </w:p>
        </w:tc>
        <w:tc>
          <w:tcPr>
            <w:tcW w:w="320" w:type="dxa"/>
            <w:vAlign w:val="bottom"/>
            <w:gridSpan w:val="2"/>
          </w:tcPr>
          <w:p>
            <w:pPr>
              <w:ind w:left="220"/>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w w:val="98"/>
              </w:rPr>
              <w:t>(1,120)</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(1,230)</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7,107</w:t>
            </w:r>
          </w:p>
        </w:tc>
        <w:tc>
          <w:tcPr>
            <w:tcW w:w="14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320</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459,401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of share awards</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1,294</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40" w:type="dxa"/>
            <w:vAlign w:val="bottom"/>
          </w:tcPr>
          <w:p>
            <w:pPr>
              <w:ind w:left="260"/>
              <w:spacing w:after="0"/>
              <w:rPr>
                <w:sz w:val="20"/>
                <w:szCs w:val="20"/>
                <w:color w:val="auto"/>
              </w:rPr>
            </w:pPr>
            <w:r>
              <w:rPr>
                <w:rFonts w:ascii="Arial" w:cs="Arial" w:eastAsia="Arial" w:hAnsi="Arial"/>
                <w:sz w:val="16"/>
                <w:szCs w:val="16"/>
                <w:color w:val="auto"/>
              </w:rPr>
              <w:t>Forfeiture of employee share</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40" w:type="dxa"/>
            <w:vAlign w:val="bottom"/>
          </w:tcPr>
          <w:p>
            <w:pPr>
              <w:ind w:left="260"/>
              <w:spacing w:after="0"/>
              <w:rPr>
                <w:sz w:val="20"/>
                <w:szCs w:val="20"/>
                <w:color w:val="auto"/>
              </w:rPr>
            </w:pPr>
            <w:r>
              <w:rPr>
                <w:rFonts w:ascii="Arial" w:cs="Arial" w:eastAsia="Arial" w:hAnsi="Arial"/>
                <w:sz w:val="16"/>
                <w:szCs w:val="16"/>
                <w:color w:val="auto"/>
              </w:rPr>
              <w:t>awards</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(5,250)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loss</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(5,829)</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(5,829)</w:t>
            </w:r>
          </w:p>
        </w:tc>
        <w:tc>
          <w:tcPr>
            <w:tcW w:w="0" w:type="dxa"/>
            <w:vAlign w:val="bottom"/>
          </w:tcPr>
          <w:p>
            <w:pPr>
              <w:spacing w:after="0"/>
              <w:rPr>
                <w:sz w:val="1"/>
                <w:szCs w:val="1"/>
                <w:color w:val="auto"/>
              </w:rPr>
            </w:pPr>
          </w:p>
        </w:tc>
      </w:tr>
      <w:tr>
        <w:trPr>
          <w:trHeight w:val="213"/>
        </w:trPr>
        <w:tc>
          <w:tcPr>
            <w:tcW w:w="2440" w:type="dxa"/>
            <w:vAlign w:val="bottom"/>
          </w:tcPr>
          <w:p>
            <w:pPr>
              <w:ind w:left="260"/>
              <w:spacing w:after="0"/>
              <w:rPr>
                <w:sz w:val="20"/>
                <w:szCs w:val="20"/>
                <w:color w:val="auto"/>
              </w:rPr>
            </w:pPr>
            <w:r>
              <w:rPr>
                <w:rFonts w:ascii="Arial" w:cs="Arial" w:eastAsia="Arial" w:hAnsi="Arial"/>
                <w:sz w:val="16"/>
                <w:szCs w:val="16"/>
                <w:color w:val="auto"/>
              </w:rPr>
              <w:t>Other comprehensive loss</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
        </w:trPr>
        <w:tc>
          <w:tcPr>
            <w:tcW w:w="244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September 30, 2021</w:t>
            </w: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40" w:type="dxa"/>
            <w:vAlign w:val="bottom"/>
            <w:vMerge w:val="continue"/>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24,375,642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455,373</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127,738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w w:val="98"/>
              </w:rPr>
              <w:t>(1,120)</w:t>
            </w: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(7,059)</w:t>
            </w: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7,044</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454,803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 and should be read in conjunction herewith.</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SEACOR MARINE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CONDENSED CONSOLIDATED STATEMENTS OF CASH FLOWS</w:t>
      </w: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40" w:type="dxa"/>
            <w:vAlign w:val="bottom"/>
          </w:tcPr>
          <w:p>
            <w:pPr>
              <w:spacing w:after="0"/>
              <w:rPr>
                <w:sz w:val="13"/>
                <w:szCs w:val="13"/>
                <w:color w:val="auto"/>
              </w:rPr>
            </w:pPr>
          </w:p>
        </w:tc>
        <w:tc>
          <w:tcPr>
            <w:tcW w:w="2960" w:type="dxa"/>
            <w:vAlign w:val="bottom"/>
            <w:tcBorders>
              <w:bottom w:val="single" w:sz="8" w:color="auto"/>
            </w:tcBorders>
            <w:gridSpan w:val="4"/>
          </w:tcPr>
          <w:p>
            <w:pPr>
              <w:jc w:val="right"/>
              <w:ind w:right="226"/>
              <w:spacing w:after="0"/>
              <w:rPr>
                <w:sz w:val="20"/>
                <w:szCs w:val="20"/>
                <w:color w:val="auto"/>
              </w:rPr>
            </w:pPr>
            <w:r>
              <w:rPr>
                <w:rFonts w:ascii="Arial" w:cs="Arial" w:eastAsia="Arial" w:hAnsi="Arial"/>
                <w:sz w:val="13"/>
                <w:szCs w:val="13"/>
                <w:b w:val="1"/>
                <w:bCs w:val="1"/>
                <w:color w:val="auto"/>
              </w:rPr>
              <w:t>Nine Months Ended September 30,</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64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3"/>
                <w:szCs w:val="13"/>
                <w:b w:val="1"/>
                <w:bCs w:val="1"/>
                <w:color w:val="auto"/>
              </w:rPr>
              <w:t>2022</w:t>
            </w:r>
          </w:p>
        </w:tc>
        <w:tc>
          <w:tcPr>
            <w:tcW w:w="540" w:type="dxa"/>
            <w:vAlign w:val="bottom"/>
            <w:tcBorders>
              <w:bottom w:val="single" w:sz="8" w:color="auto"/>
            </w:tcBorders>
          </w:tcPr>
          <w:p>
            <w:pPr>
              <w:spacing w:after="0"/>
              <w:rPr>
                <w:sz w:val="12"/>
                <w:szCs w:val="12"/>
                <w:color w:val="auto"/>
              </w:rPr>
            </w:pPr>
          </w:p>
        </w:tc>
        <w:tc>
          <w:tcPr>
            <w:tcW w:w="42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jc w:val="right"/>
              <w:ind w:right="66"/>
              <w:spacing w:after="0" w:line="142" w:lineRule="exact"/>
              <w:rPr>
                <w:sz w:val="20"/>
                <w:szCs w:val="20"/>
                <w:color w:val="auto"/>
              </w:rPr>
            </w:pPr>
            <w:r>
              <w:rPr>
                <w:rFonts w:ascii="Arial" w:cs="Arial" w:eastAsia="Arial" w:hAnsi="Arial"/>
                <w:sz w:val="13"/>
                <w:szCs w:val="13"/>
                <w:b w:val="1"/>
                <w:bCs w:val="1"/>
                <w:color w:val="auto"/>
              </w:rPr>
              <w:t>2021</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640" w:type="dxa"/>
            <w:vAlign w:val="bottom"/>
            <w:shd w:val="clear" w:color="auto" w:fill="CFF0FC"/>
          </w:tcPr>
          <w:p>
            <w:pPr>
              <w:spacing w:after="0"/>
              <w:rPr>
                <w:sz w:val="20"/>
                <w:szCs w:val="20"/>
                <w:color w:val="auto"/>
              </w:rPr>
            </w:pPr>
            <w:r>
              <w:rPr>
                <w:rFonts w:ascii="Arial" w:cs="Arial" w:eastAsia="Arial" w:hAnsi="Arial"/>
                <w:sz w:val="13"/>
                <w:szCs w:val="13"/>
                <w:color w:val="auto"/>
              </w:rPr>
              <w:t>Cash Flows from Continuing Operating Activities:</w:t>
            </w:r>
          </w:p>
        </w:tc>
        <w:tc>
          <w:tcPr>
            <w:tcW w:w="10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tcPr>
          <w:p>
            <w:pPr>
              <w:spacing w:after="0"/>
              <w:rPr>
                <w:sz w:val="20"/>
                <w:szCs w:val="20"/>
                <w:color w:val="auto"/>
              </w:rPr>
            </w:pPr>
            <w:r>
              <w:rPr>
                <w:rFonts w:ascii="Arial" w:cs="Arial" w:eastAsia="Arial" w:hAnsi="Arial"/>
                <w:sz w:val="13"/>
                <w:szCs w:val="13"/>
                <w:color w:val="auto"/>
              </w:rPr>
              <w:t>Net (Loss) Income</w:t>
            </w:r>
          </w:p>
        </w:tc>
        <w:tc>
          <w:tcPr>
            <w:tcW w:w="1000" w:type="dxa"/>
            <w:vAlign w:val="bottom"/>
          </w:tcPr>
          <w:p>
            <w:pPr>
              <w:jc w:val="right"/>
              <w:ind w:right="85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(58,307)</w:t>
            </w:r>
          </w:p>
        </w:tc>
        <w:tc>
          <w:tcPr>
            <w:tcW w:w="1000" w:type="dxa"/>
            <w:vAlign w:val="bottom"/>
          </w:tcPr>
          <w:p>
            <w:pPr>
              <w:jc w:val="right"/>
              <w:ind w:right="886"/>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48,983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spacing w:after="0"/>
              <w:rPr>
                <w:sz w:val="20"/>
                <w:szCs w:val="20"/>
                <w:color w:val="auto"/>
              </w:rPr>
            </w:pPr>
            <w:r>
              <w:rPr>
                <w:rFonts w:ascii="Arial" w:cs="Arial" w:eastAsia="Arial" w:hAnsi="Arial"/>
                <w:sz w:val="13"/>
                <w:szCs w:val="13"/>
                <w:color w:val="auto"/>
              </w:rPr>
              <w:t>Adjustments to reconcile net loss to net cash (used in) provided by operating activities: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Depreciation and amortization</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42,333</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43,197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Deferred financing costs amortization</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1,005</w:t>
            </w:r>
          </w:p>
        </w:tc>
        <w:tc>
          <w:tcPr>
            <w:tcW w:w="4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Stock-based compensation expense</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2,635</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3,922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Debt discount amortization</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5,244</w:t>
            </w:r>
          </w:p>
        </w:tc>
        <w:tc>
          <w:tcPr>
            <w:tcW w:w="4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5,252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Allowance for credit losses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477</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Gain from equipment sales, retirements or impairments</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(381)</w:t>
            </w:r>
          </w:p>
        </w:tc>
        <w:tc>
          <w:tcPr>
            <w:tcW w:w="10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(20,436)</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Gain on the sale of Windcat Workboats</w:t>
            </w:r>
          </w:p>
        </w:tc>
        <w:tc>
          <w:tcPr>
            <w:tcW w:w="10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(22,756)</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Gain from return of investments in 50% or less owned companies</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4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(9,442)</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Gain on debt extinguishment</w:t>
            </w:r>
          </w:p>
        </w:tc>
        <w:tc>
          <w:tcPr>
            <w:tcW w:w="10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(62,749)</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Derivative gains</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4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(387)</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Interest on finance leases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171</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settlement payments on derivative transactions, net</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(782)</w:t>
            </w:r>
          </w:p>
        </w:tc>
        <w:tc>
          <w:tcPr>
            <w:tcW w:w="10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(1,747)</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Currency (gains) losses</w:t>
            </w:r>
          </w:p>
        </w:tc>
        <w:tc>
          <w:tcPr>
            <w:tcW w:w="10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(4,305)</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Deferred income taxes</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(860)</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7,641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Equity earnings</w:t>
            </w:r>
          </w:p>
        </w:tc>
        <w:tc>
          <w:tcPr>
            <w:tcW w:w="10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(5,835)</w:t>
            </w:r>
          </w:p>
        </w:tc>
        <w:tc>
          <w:tcPr>
            <w:tcW w:w="10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(10,584)</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Dividends received from equity investees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2,983</w:t>
            </w:r>
          </w:p>
        </w:tc>
        <w:tc>
          <w:tcPr>
            <w:tcW w:w="4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4,515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spacing w:after="0"/>
              <w:rPr>
                <w:sz w:val="20"/>
                <w:szCs w:val="20"/>
                <w:color w:val="auto"/>
              </w:rPr>
            </w:pPr>
            <w:r>
              <w:rPr>
                <w:rFonts w:ascii="Arial" w:cs="Arial" w:eastAsia="Arial" w:hAnsi="Arial"/>
                <w:sz w:val="13"/>
                <w:szCs w:val="13"/>
                <w:color w:val="auto"/>
              </w:rPr>
              <w:t>Changes in Operating Assets and Liabilities:</w:t>
            </w: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Accounts receivables</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(2,955)</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23,594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Other assets</w:t>
            </w:r>
          </w:p>
        </w:tc>
        <w:tc>
          <w:tcPr>
            <w:tcW w:w="10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(737)</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Accounts payable and accrued liabilities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6,732</w:t>
            </w:r>
          </w:p>
        </w:tc>
        <w:tc>
          <w:tcPr>
            <w:tcW w:w="4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(7,444)</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500"/>
              <w:spacing w:after="0"/>
              <w:rPr>
                <w:sz w:val="20"/>
                <w:szCs w:val="20"/>
                <w:color w:val="auto"/>
              </w:rPr>
            </w:pPr>
            <w:r>
              <w:rPr>
                <w:rFonts w:ascii="Arial" w:cs="Arial" w:eastAsia="Arial" w:hAnsi="Arial"/>
                <w:sz w:val="13"/>
                <w:szCs w:val="13"/>
                <w:color w:val="auto"/>
              </w:rPr>
              <w:t>Net cash (used in) provided by operating activities</w:t>
            </w: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4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(12,582)</w:t>
            </w:r>
          </w:p>
        </w:tc>
        <w:tc>
          <w:tcPr>
            <w:tcW w:w="10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4,944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color w:val="auto"/>
              </w:rPr>
              <w:t>Cash Flows from Continuing Investing Activities:</w:t>
            </w:r>
          </w:p>
        </w:tc>
        <w:tc>
          <w:tcPr>
            <w:tcW w:w="100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CFF0FC"/>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Purchases of property and equipment</w:t>
            </w:r>
          </w:p>
        </w:tc>
        <w:tc>
          <w:tcPr>
            <w:tcW w:w="10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(277)</w:t>
            </w:r>
          </w:p>
        </w:tc>
        <w:tc>
          <w:tcPr>
            <w:tcW w:w="10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(6,560)</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disposition of property and equipment</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6,681</w:t>
            </w:r>
          </w:p>
        </w:tc>
        <w:tc>
          <w:tcPr>
            <w:tcW w:w="4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30,137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 xml:space="preserve">Proceeds from sale of Windcat Workboats, net of transaction costs and cash sold </w:t>
            </w:r>
            <w:r>
              <w:rPr>
                <w:rFonts w:ascii="Arial" w:cs="Arial" w:eastAsia="Arial" w:hAnsi="Arial"/>
                <w:sz w:val="11"/>
                <w:szCs w:val="11"/>
                <w:color w:val="auto"/>
              </w:rPr>
              <w:t>(1)</w:t>
            </w:r>
          </w:p>
        </w:tc>
        <w:tc>
          <w:tcPr>
            <w:tcW w:w="10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38,715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Investments in and advances to 50% or less owned companies</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4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(736)</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Excess distributions from equity investees</w:t>
            </w:r>
          </w:p>
        </w:tc>
        <w:tc>
          <w:tcPr>
            <w:tcW w:w="10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9,442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Principal payments on notes due from equity investees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528</w:t>
            </w:r>
          </w:p>
        </w:tc>
        <w:tc>
          <w:tcPr>
            <w:tcW w:w="4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Proceeds from sale of investment in equity investees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66,000</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 notes due from others</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(28,831)</w:t>
            </w:r>
          </w:p>
        </w:tc>
        <w:tc>
          <w:tcPr>
            <w:tcW w:w="10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Principal payments on notes due from others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8,831</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76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3"/>
                <w:szCs w:val="13"/>
                <w:color w:val="auto"/>
              </w:rPr>
              <w:t>Net cash provided by investing activities</w:t>
            </w:r>
          </w:p>
        </w:tc>
        <w:tc>
          <w:tcPr>
            <w:tcW w:w="1000" w:type="dxa"/>
            <w:vAlign w:val="bottom"/>
            <w:tcBorders>
              <w:top w:val="single" w:sz="8" w:color="auto"/>
              <w:bottom w:val="single" w:sz="8" w:color="auto"/>
            </w:tcBorders>
            <w:shd w:val="clear" w:color="auto" w:fill="CFF0FC"/>
          </w:tcPr>
          <w:p>
            <w:pPr>
              <w:spacing w:after="0"/>
              <w:rPr>
                <w:sz w:val="13"/>
                <w:szCs w:val="13"/>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52,932</w:t>
            </w:r>
          </w:p>
        </w:tc>
        <w:tc>
          <w:tcPr>
            <w:tcW w:w="420" w:type="dxa"/>
            <w:vAlign w:val="bottom"/>
            <w:tcBorders>
              <w:top w:val="single" w:sz="8" w:color="CFF0FC"/>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spacing w:after="0"/>
              <w:rPr>
                <w:sz w:val="13"/>
                <w:szCs w:val="13"/>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74,973</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40" w:type="dxa"/>
            <w:vAlign w:val="bottom"/>
          </w:tcPr>
          <w:p>
            <w:pPr>
              <w:spacing w:after="0"/>
              <w:rPr>
                <w:sz w:val="20"/>
                <w:szCs w:val="20"/>
                <w:color w:val="auto"/>
              </w:rPr>
            </w:pPr>
            <w:r>
              <w:rPr>
                <w:rFonts w:ascii="Arial" w:cs="Arial" w:eastAsia="Arial" w:hAnsi="Arial"/>
                <w:sz w:val="13"/>
                <w:szCs w:val="13"/>
                <w:color w:val="auto"/>
              </w:rPr>
              <w:t>Cash Flows from Continuing Financing Activities:</w:t>
            </w: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Payments on long-term debt</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(30,682)</w:t>
            </w:r>
          </w:p>
        </w:tc>
        <w:tc>
          <w:tcPr>
            <w:tcW w:w="10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(72,143)</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Payments on debt extinguishment cost</w:t>
            </w:r>
          </w:p>
        </w:tc>
        <w:tc>
          <w:tcPr>
            <w:tcW w:w="10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(755)</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Payments on finance leases</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(237)</w:t>
            </w:r>
          </w:p>
        </w:tc>
        <w:tc>
          <w:tcPr>
            <w:tcW w:w="10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Proceeds from exercise of stock options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151</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 stock</w:t>
            </w:r>
          </w:p>
        </w:tc>
        <w:tc>
          <w:tcPr>
            <w:tcW w:w="100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420" w:type="dxa"/>
            <w:vAlign w:val="bottom"/>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40" w:type="dxa"/>
            <w:vAlign w:val="bottom"/>
          </w:tcPr>
          <w:p>
            <w:pPr>
              <w:ind w:left="500"/>
              <w:spacing w:after="0"/>
              <w:rPr>
                <w:sz w:val="20"/>
                <w:szCs w:val="20"/>
                <w:color w:val="auto"/>
              </w:rPr>
            </w:pPr>
            <w:r>
              <w:rPr>
                <w:rFonts w:ascii="Arial" w:cs="Arial" w:eastAsia="Arial" w:hAnsi="Arial"/>
                <w:sz w:val="13"/>
                <w:szCs w:val="13"/>
                <w:color w:val="auto"/>
              </w:rPr>
              <w:t>Net cash used in financing activities</w:t>
            </w:r>
          </w:p>
        </w:tc>
        <w:tc>
          <w:tcPr>
            <w:tcW w:w="100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(30,758)</w:t>
            </w:r>
          </w:p>
        </w:tc>
        <w:tc>
          <w:tcPr>
            <w:tcW w:w="100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(72,909)</w:t>
            </w:r>
          </w:p>
        </w:tc>
        <w:tc>
          <w:tcPr>
            <w:tcW w:w="0" w:type="dxa"/>
            <w:vAlign w:val="bottom"/>
          </w:tcPr>
          <w:p>
            <w:pPr>
              <w:spacing w:after="0"/>
              <w:rPr>
                <w:sz w:val="1"/>
                <w:szCs w:val="1"/>
                <w:color w:val="auto"/>
              </w:rPr>
            </w:pPr>
          </w:p>
        </w:tc>
      </w:tr>
      <w:tr>
        <w:trPr>
          <w:trHeight w:val="20"/>
        </w:trPr>
        <w:tc>
          <w:tcPr>
            <w:tcW w:w="764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Effects of Exchange Rate Changes on Cash and Cash Equivalents</w:t>
            </w: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640" w:type="dxa"/>
            <w:vAlign w:val="bottom"/>
            <w:vMerge w:val="continue"/>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(2)</w:t>
            </w:r>
          </w:p>
        </w:tc>
        <w:tc>
          <w:tcPr>
            <w:tcW w:w="10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5"/>
        </w:trPr>
        <w:tc>
          <w:tcPr>
            <w:tcW w:w="7640" w:type="dxa"/>
            <w:vAlign w:val="bottom"/>
          </w:tcPr>
          <w:p>
            <w:pPr>
              <w:spacing w:after="0"/>
              <w:rPr>
                <w:sz w:val="20"/>
                <w:szCs w:val="20"/>
                <w:color w:val="auto"/>
              </w:rPr>
            </w:pPr>
            <w:r>
              <w:rPr>
                <w:rFonts w:ascii="Arial" w:cs="Arial" w:eastAsia="Arial" w:hAnsi="Arial"/>
                <w:sz w:val="13"/>
                <w:szCs w:val="13"/>
                <w:color w:val="auto"/>
              </w:rPr>
              <w:t>Net Change in Cash, Restricted Cash and Cash Equivalents</w:t>
            </w:r>
          </w:p>
        </w:tc>
        <w:tc>
          <w:tcPr>
            <w:tcW w:w="10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9,590</w:t>
            </w:r>
          </w:p>
        </w:tc>
        <w:tc>
          <w:tcPr>
            <w:tcW w:w="4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6,987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spacing w:after="0"/>
              <w:rPr>
                <w:sz w:val="20"/>
                <w:szCs w:val="20"/>
                <w:color w:val="auto"/>
              </w:rPr>
            </w:pPr>
            <w:r>
              <w:rPr>
                <w:rFonts w:ascii="Arial" w:cs="Arial" w:eastAsia="Arial" w:hAnsi="Arial"/>
                <w:sz w:val="13"/>
                <w:szCs w:val="13"/>
                <w:color w:val="auto"/>
              </w:rPr>
              <w:t>Cash Flows from Discontinued Operations: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Operating Activities</w:t>
            </w:r>
          </w:p>
        </w:tc>
        <w:tc>
          <w:tcPr>
            <w:tcW w:w="10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Investing Activities</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4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64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Financing Activities</w:t>
            </w:r>
          </w:p>
        </w:tc>
        <w:tc>
          <w:tcPr>
            <w:tcW w:w="1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Net Change in Cash, Restricted Cash and Cash Equivalents on Discontinued Operations</w:t>
            </w:r>
          </w:p>
        </w:tc>
        <w:tc>
          <w:tcPr>
            <w:tcW w:w="10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4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155"/>
        </w:trPr>
        <w:tc>
          <w:tcPr>
            <w:tcW w:w="7640" w:type="dxa"/>
            <w:vAlign w:val="bottom"/>
          </w:tcPr>
          <w:p>
            <w:pPr>
              <w:spacing w:after="0"/>
              <w:rPr>
                <w:sz w:val="20"/>
                <w:szCs w:val="20"/>
                <w:color w:val="auto"/>
              </w:rPr>
            </w:pPr>
            <w:r>
              <w:rPr>
                <w:rFonts w:ascii="Arial" w:cs="Arial" w:eastAsia="Arial" w:hAnsi="Arial"/>
                <w:sz w:val="13"/>
                <w:szCs w:val="13"/>
                <w:color w:val="auto"/>
              </w:rPr>
              <w:t>Net Change in Cash, Restricted Cash and Cash Equivalents</w:t>
            </w:r>
          </w:p>
        </w:tc>
        <w:tc>
          <w:tcPr>
            <w:tcW w:w="10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9,590</w:t>
            </w:r>
          </w:p>
        </w:tc>
        <w:tc>
          <w:tcPr>
            <w:tcW w:w="4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6,816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spacing w:after="0"/>
              <w:rPr>
                <w:sz w:val="20"/>
                <w:szCs w:val="20"/>
                <w:color w:val="auto"/>
              </w:rPr>
            </w:pPr>
            <w:r>
              <w:rPr>
                <w:rFonts w:ascii="Arial" w:cs="Arial" w:eastAsia="Arial" w:hAnsi="Arial"/>
                <w:sz w:val="13"/>
                <w:szCs w:val="13"/>
                <w:color w:val="auto"/>
              </w:rPr>
              <w:t>Cash, Restricted Cash and Cash Equivalents, Beginning of Period</w:t>
            </w:r>
          </w:p>
        </w:tc>
        <w:tc>
          <w:tcPr>
            <w:tcW w:w="100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41,220</w:t>
            </w:r>
          </w:p>
        </w:tc>
        <w:tc>
          <w:tcPr>
            <w:tcW w:w="420" w:type="dxa"/>
            <w:vAlign w:val="bottom"/>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39,538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64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Cash, Restricted Cash and Cash Equivalents, End of Period</w:t>
            </w:r>
          </w:p>
        </w:tc>
        <w:tc>
          <w:tcPr>
            <w:tcW w:w="1000" w:type="dxa"/>
            <w:vAlign w:val="bottom"/>
            <w:tcBorders>
              <w:bottom w:val="single" w:sz="8" w:color="auto"/>
            </w:tcBorders>
          </w:tcPr>
          <w:p>
            <w:pPr>
              <w:jc w:val="right"/>
              <w:ind w:right="854"/>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50,810</w:t>
            </w:r>
          </w:p>
        </w:tc>
        <w:tc>
          <w:tcPr>
            <w:tcW w:w="420" w:type="dxa"/>
            <w:vAlign w:val="bottom"/>
            <w:tcBorders>
              <w:bottom w:val="single" w:sz="8" w:color="CFF0FC"/>
            </w:tcBorders>
          </w:tcPr>
          <w:p>
            <w:pPr>
              <w:spacing w:after="0"/>
              <w:rPr>
                <w:sz w:val="17"/>
                <w:szCs w:val="17"/>
                <w:color w:val="auto"/>
              </w:rPr>
            </w:pPr>
          </w:p>
        </w:tc>
        <w:tc>
          <w:tcPr>
            <w:tcW w:w="1000" w:type="dxa"/>
            <w:vAlign w:val="bottom"/>
            <w:tcBorders>
              <w:bottom w:val="single" w:sz="8" w:color="auto"/>
            </w:tcBorders>
          </w:tcPr>
          <w:p>
            <w:pPr>
              <w:jc w:val="right"/>
              <w:ind w:right="886"/>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46,354</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64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Supplemental disclosures:</w:t>
            </w: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Cash paid for interest, excluding capitalized interest</w:t>
            </w:r>
          </w:p>
        </w:tc>
        <w:tc>
          <w:tcPr>
            <w:tcW w:w="1000" w:type="dxa"/>
            <w:vAlign w:val="bottom"/>
          </w:tcPr>
          <w:p>
            <w:pPr>
              <w:jc w:val="right"/>
              <w:ind w:right="854"/>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14,286</w:t>
            </w:r>
          </w:p>
        </w:tc>
        <w:tc>
          <w:tcPr>
            <w:tcW w:w="420" w:type="dxa"/>
            <w:vAlign w:val="bottom"/>
          </w:tcPr>
          <w:p>
            <w:pPr>
              <w:spacing w:after="0"/>
              <w:rPr>
                <w:sz w:val="14"/>
                <w:szCs w:val="14"/>
                <w:color w:val="auto"/>
              </w:rPr>
            </w:pPr>
          </w:p>
        </w:tc>
        <w:tc>
          <w:tcPr>
            <w:tcW w:w="1000" w:type="dxa"/>
            <w:vAlign w:val="bottom"/>
          </w:tcPr>
          <w:p>
            <w:pPr>
              <w:jc w:val="right"/>
              <w:ind w:right="886"/>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15,231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Income taxes refunded, net</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886</w:t>
            </w:r>
          </w:p>
        </w:tc>
        <w:tc>
          <w:tcPr>
            <w:tcW w:w="4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32,759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Noncash Investing and Financing Activities:</w:t>
            </w: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Increase in long-term debt related to asset purchases</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4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500"/>
              <w:spacing w:after="0"/>
              <w:rPr>
                <w:sz w:val="20"/>
                <w:szCs w:val="20"/>
                <w:color w:val="auto"/>
              </w:rPr>
            </w:pPr>
            <w:r>
              <w:rPr>
                <w:rFonts w:ascii="Arial" w:cs="Arial" w:eastAsia="Arial" w:hAnsi="Arial"/>
                <w:sz w:val="13"/>
                <w:szCs w:val="13"/>
                <w:color w:val="auto"/>
              </w:rPr>
              <w:t>Decrease in debt related to debt settlement</w:t>
            </w:r>
          </w:p>
        </w:tc>
        <w:tc>
          <w:tcPr>
            <w:tcW w:w="10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62,749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Decrease in capital expenditures in accounts payable and accrued liabilities</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4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10,379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500"/>
              <w:spacing w:after="0"/>
              <w:rPr>
                <w:sz w:val="20"/>
                <w:szCs w:val="20"/>
                <w:color w:val="auto"/>
              </w:rPr>
            </w:pPr>
            <w:r>
              <w:rPr>
                <w:rFonts w:ascii="Arial" w:cs="Arial" w:eastAsia="Arial" w:hAnsi="Arial"/>
                <w:sz w:val="13"/>
                <w:szCs w:val="13"/>
                <w:color w:val="auto"/>
              </w:rPr>
              <w:t>Exchange of property and equipment</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8,918</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Recognition of a new right-of-use asset - operating leases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163</w:t>
            </w:r>
          </w:p>
        </w:tc>
        <w:tc>
          <w:tcPr>
            <w:tcW w:w="4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500"/>
              <w:spacing w:after="0"/>
              <w:rPr>
                <w:sz w:val="20"/>
                <w:szCs w:val="20"/>
                <w:color w:val="auto"/>
              </w:rPr>
            </w:pPr>
            <w:r>
              <w:rPr>
                <w:rFonts w:ascii="Arial" w:cs="Arial" w:eastAsia="Arial" w:hAnsi="Arial"/>
                <w:sz w:val="13"/>
                <w:szCs w:val="13"/>
                <w:color w:val="auto"/>
              </w:rPr>
              <w:t>Recognition of a new right-of-use asset - financing leases</w:t>
            </w:r>
          </w:p>
        </w:tc>
        <w:tc>
          <w:tcPr>
            <w:tcW w:w="10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7,248</w:t>
            </w: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512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37" w:lineRule="exact"/>
        <w:rPr>
          <w:sz w:val="20"/>
          <w:szCs w:val="20"/>
          <w:color w:val="auto"/>
        </w:rPr>
      </w:pPr>
    </w:p>
    <w:p>
      <w:pPr>
        <w:ind w:left="760" w:hanging="752"/>
        <w:spacing w:after="0"/>
        <w:tabs>
          <w:tab w:leader="none" w:pos="76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Refer to Note 2. Equipment Acquisitions and Dispositions for a reconciliation of the cash received from the sale of Windcat Workboats.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 and should be read in conjunction herewith.</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8" w:name="page9"/>
    <w:bookmarkEnd w:id="8"/>
    <w:p>
      <w:pPr>
        <w:jc w:val="center"/>
        <w:spacing w:after="0" w:line="244" w:lineRule="auto"/>
        <w:rPr>
          <w:sz w:val="20"/>
          <w:szCs w:val="20"/>
          <w:color w:val="auto"/>
        </w:rPr>
      </w:pPr>
      <w:r>
        <w:rPr>
          <w:rFonts w:ascii="Arial" w:cs="Arial" w:eastAsia="Arial" w:hAnsi="Arial"/>
          <w:sz w:val="22"/>
          <w:szCs w:val="22"/>
          <w:b w:val="1"/>
          <w:bCs w:val="1"/>
          <w:color w:val="auto"/>
        </w:rPr>
        <w:t>SEACOR MARINE HOLDINGS INC. NOTES TO CONDENSED CONSOLIDATED FINANCIAL STATEMENTS (unaudited)</w:t>
      </w:r>
    </w:p>
    <w:p>
      <w:pPr>
        <w:spacing w:after="0" w:line="390" w:lineRule="exact"/>
        <w:rPr>
          <w:sz w:val="20"/>
          <w:szCs w:val="20"/>
          <w:color w:val="auto"/>
        </w:rPr>
      </w:pPr>
    </w:p>
    <w:p>
      <w:pPr>
        <w:ind w:left="760" w:hanging="752"/>
        <w:spacing w:after="0"/>
        <w:tabs>
          <w:tab w:leader="none" w:pos="76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BASIS OF PRESENTATION AND ACCOUNTING POLICIES</w:t>
      </w:r>
    </w:p>
    <w:p>
      <w:pPr>
        <w:spacing w:after="0" w:line="172"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The condensed consolidated financial statements include the accounts of SEACOR Marine Holdings Inc. and its consolidated subsidiaries (the “Company”). In the opinion of management, all adjustments (consisting of normal recurring adjustments) have been made to fairly present the unaudited condensed consolidated financial statements for the periods indicated. Results of operations for the interim periods presented are not necessarily indicative of operating results for the full year or any future periods.</w:t>
      </w:r>
    </w:p>
    <w:p>
      <w:pPr>
        <w:spacing w:after="0" w:line="160"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Certain information and footnote disclosures normally included in financial statements prepared in accordance with generally accepted accounting principles in the United States (“GAAP”) have been condensed or omitted. These condensed consolidated financial statements should be read in conjunction with the Company’s financial statements and related notes thereto included in the Company’s Annual Report on Form 10-K for the year ended December 31, 2021 (the “2021 Annual Report”).</w:t>
      </w:r>
    </w:p>
    <w:p>
      <w:pPr>
        <w:spacing w:after="0" w:line="10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Unless the context otherwise indicates, any reference in this Quarterly Report on Form 10-Q to the “Company” refers to SEACOR Marine Holdings Inc. and its consolidated subsidiaries, and any reference in this Quarterly Report on Form 10-Q to “SEACOR Marine” refers to SEACOR Marine Holdings Inc. without its consolidated subsidiaries.</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Recently Adopted Accounting Standards.</w:t>
      </w:r>
    </w:p>
    <w:p>
      <w:pPr>
        <w:spacing w:after="0" w:line="179"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On October 29, 2020, the FASB issued ASU 2020-10, Codification Improvements: Amendments that improve the consistency of the Codification by including all disclosure guidance in the appropriate Disclosure section. The guidance was effective for annual periods beginning after December 15, 2020, and interim periods within the annual periods beginning after December 15, 2022. The adoption of the standard did not have a material effect on the disclosures included herein.</w:t>
      </w:r>
    </w:p>
    <w:p>
      <w:pPr>
        <w:spacing w:after="0" w:line="102"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On August 5, 2020, the FASB issued ASU 2020-06, Debt – Debt with Conversion and Other Options (Subtopic 470-20) and Derivatives and Hedging – Contracts in Entity’s Own Equity (Subtopic 815-40): Accounting for Convertible Instruments and Contracts in an Entity’s Own Equity, which simplifies the accounting for certain financial instruments with characteristics of liabilities and equity, including convertible instruments and contracts on an entity’s own equity. The guidance is effective for fiscal years, and interim periods within those fiscal years, beginning after December 15, 2021. The Company adopted the new standard on January 1, 2022. The adoption of the standard by the Company did not have a material impact on its consolidated financial position or on its results of operations, cash flows and disclosures.</w:t>
      </w:r>
    </w:p>
    <w:p>
      <w:pPr>
        <w:spacing w:after="0" w:line="144"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On December 18, 2019, the FASB issued ASU 2019-12, Income Taxes (Topic 740): Simplifying the Accounting for Income Taxes. The guidance is effective for fiscal years, and interim periods within those fiscal years, beginning after December 15, 2020. The adoption of the standard by the Company did not have a material impact on its consolidated financial position or on its results of operations and cash flows.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Recently Issued Accounting Standards</w:t>
      </w:r>
    </w:p>
    <w:p>
      <w:pPr>
        <w:spacing w:after="0" w:line="16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On March 12, 2020, the FASB issued ASU 2020-04, Reference Rate Reform (Topic 848): Facilitation of the Effects of Reference Rate Reform on Financial Reporting, which provides temporary optional guidance to ease the potential burden in accounting for reference rate reform. The new guidance provides optional expedients and exceptions for applying generally accepted accounting principles to contract modifications and hedging relationships, subject to meeting certain criteria, that reference LIBOR or another reference rate expected to be discontinued. The ASU is intended to help stakeholders during the global market-wide reference rate transition period and it will be in effect for a limited time through December 31, 2022. As of September 30, 2022, the reference rates for the Company’s SEACOR 88/888 Term Loan Facility and Tranche B under the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9" w:name="page10"/>
    <w:bookmarkEnd w:id="9"/>
    <w:p>
      <w:pPr>
        <w:jc w:val="both"/>
        <w:spacing w:after="0" w:line="282" w:lineRule="auto"/>
        <w:rPr>
          <w:sz w:val="20"/>
          <w:szCs w:val="20"/>
          <w:color w:val="auto"/>
        </w:rPr>
      </w:pPr>
      <w:r>
        <w:rPr>
          <w:rFonts w:ascii="Arial" w:cs="Arial" w:eastAsia="Arial" w:hAnsi="Arial"/>
          <w:sz w:val="19"/>
          <w:szCs w:val="19"/>
          <w:color w:val="auto"/>
        </w:rPr>
        <w:t>SEACOR Marine Foreign Holdings Credit Facility have transitioned from the London interbank offered rate (“LIBOR”) to the secured overnight financing rate (“SOFR”) (see “Note 5. Long-Term Debt”). [These reference rate transitions by the Company did not have a material impact on its consolidated financial position or on its results of operations and cash flows.] The reference rates for the Company’s other existing debt and interest rate swaps have not changed as a result of any amendment. The Company will continue to monitor changes to reference rates in the remaining applicable agreements and apply the standard as needed.</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Critical Accounting Policies.</w:t>
      </w:r>
    </w:p>
    <w:p>
      <w:pPr>
        <w:spacing w:after="0" w:line="16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b w:val="1"/>
          <w:bCs w:val="1"/>
          <w:i w:val="1"/>
          <w:iCs w:val="1"/>
          <w:color w:val="auto"/>
        </w:rPr>
        <w:t xml:space="preserve">Basis of Consolidation. </w:t>
      </w:r>
      <w:r>
        <w:rPr>
          <w:rFonts w:ascii="Arial" w:cs="Arial" w:eastAsia="Arial" w:hAnsi="Arial"/>
          <w:sz w:val="21"/>
          <w:szCs w:val="21"/>
          <w:color w:val="auto"/>
        </w:rPr>
        <w:t>The consolidated financial statements include the accounts of SEACOR Marine and its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controlled subsidiaries. Control is generally deemed to exist if the Company has greater than 50% of the voting rights of a subsidiary. All significant intercompany accounts and transactions are eliminated in the combination and consolidation.</w:t>
      </w:r>
    </w:p>
    <w:p>
      <w:pPr>
        <w:spacing w:after="0" w:line="129"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Noncontrolling interests in consolidated subsidiaries are included in the consolidated balance sheets as a separate component of equity. The Company reports consolidated net income (loss) inclusive of both the Company’s and the noncontrolling interests’ share, as well as the amounts of consolidated net income (loss) attributable to each of the Company and the noncontrolling interests. If a subsidiary is deconsolidated upon a change in control, any retained noncontrolling equity investment in the former controlled subsidiary is measured at fair value and a gain or loss is recognized in net income (loss) based on such fair value. If a subsidiary is consolidated upon the business acquisition of controlling interests by the Company, any previous noncontrolled equity investment in the subsidiary is measured at fair value and a gain or loss is recognized in net income (loss) based on such fair value.</w:t>
      </w:r>
    </w:p>
    <w:p>
      <w:pPr>
        <w:spacing w:after="0" w:line="153"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The Company employs the equity method of accounting for investments in 50% or less owned companies that it does not control but has the ability to exercise significant influence over the operating and financial policies of the business venture. Significant influence is generally deemed to exist if the Company has between 20% and 50% of the voting rights of a business venture but may exist when the Company’s ownership percentage is less than 20%. In certain circumstances, the Company may have an economic interest in excess of 50% but may not control and consolidate the business venture. Conversely, the Company may have an economic interest less than 50% but may control and consolidate the business venture. The Company reports its investments in and advances to these business ventures in the accompanying consolidated balance sheets as investments, at equity, and advances to 50% or less owned companies. The Company reports its share of earnings from investments in 50% or less owned companies in the accompanying consolidated statements of income (loss) as equity in earnings of 50% or less owned companies, net of tax.</w:t>
      </w:r>
    </w:p>
    <w:p>
      <w:pPr>
        <w:spacing w:after="0" w:line="361"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Certain reclassifications were made to previously reported amounts in the consolidated financial statements and notes thereto to make them consistent with the current period presentation.</w:t>
      </w:r>
    </w:p>
    <w:p>
      <w:pPr>
        <w:spacing w:after="0" w:line="134"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b w:val="1"/>
          <w:bCs w:val="1"/>
          <w:i w:val="1"/>
          <w:iCs w:val="1"/>
          <w:color w:val="auto"/>
        </w:rPr>
        <w:t xml:space="preserve">Use of Estimates. </w:t>
      </w:r>
      <w:r>
        <w:rPr>
          <w:rFonts w:ascii="Arial" w:cs="Arial" w:eastAsia="Arial" w:hAnsi="Arial"/>
          <w:sz w:val="19"/>
          <w:szCs w:val="19"/>
          <w:color w:val="auto"/>
        </w:rPr>
        <w:t>The preparation of financial statements in conformity with accounting principles generally accepted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U.S.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Such estimates include those related to deferred revenues, allowance for credit loss accounts, useful lives of property and equipment, impairments, income tax provisions and certain accrued liabilities. Actual results could differ from estimates and those differences may be material.</w:t>
      </w:r>
    </w:p>
    <w:p>
      <w:pPr>
        <w:spacing w:after="0" w:line="123"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b w:val="1"/>
          <w:bCs w:val="1"/>
          <w:i w:val="1"/>
          <w:iCs w:val="1"/>
          <w:color w:val="auto"/>
        </w:rPr>
        <w:t>Revenue Recognition</w:t>
      </w:r>
      <w:r>
        <w:rPr>
          <w:rFonts w:ascii="Arial" w:cs="Arial" w:eastAsia="Arial" w:hAnsi="Arial"/>
          <w:sz w:val="19"/>
          <w:szCs w:val="19"/>
          <w:color w:val="auto"/>
        </w:rPr>
        <w:t>. Revenue is recognized when (or as) the Company transfers promised goods or services to its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customers in amounts that reflect the consideration to which the Company expects to be entitled to in exchange for those goods or services, which occurs when (or as) the Company satisfies its contractual obligations and transfers over control of the promised goods or services to its customers. The Company recognizes revenue, net of sales taxes, based on its estimates of the consideration the Company expects to receive. Costs to obtain or fulfill a contract are expensed as incurred.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0" w:name="page11"/>
    <w:bookmarkEnd w:id="10"/>
    <w:p>
      <w:pPr>
        <w:jc w:val="both"/>
        <w:ind w:firstLine="749"/>
        <w:spacing w:after="0" w:line="274" w:lineRule="auto"/>
        <w:rPr>
          <w:sz w:val="20"/>
          <w:szCs w:val="20"/>
          <w:color w:val="auto"/>
        </w:rPr>
      </w:pPr>
      <w:r>
        <w:rPr>
          <w:rFonts w:ascii="Arial" w:cs="Arial" w:eastAsia="Arial" w:hAnsi="Arial"/>
          <w:sz w:val="19"/>
          <w:szCs w:val="19"/>
          <w:color w:val="auto"/>
        </w:rPr>
        <w:t>The Company earns revenue primarily from the time charter and bareboat charter of vessels to customers. Since the Company charges customers based upon daily rates of hire, vessel revenues are recognized on a daily basis throughout the contract period. Under a time charter, the Company provides a vessel to a customer and is responsible for all operating expenses, typically excluding fuel. Under a bareboat charter, the Company provides a vessel to a customer and the customer assumes responsibility for all operating expenses and assumes all risks of operation. In the U.S. Gulf of Mexico, time charter durations and rates are typically established in the context of master service agreements that govern the terms and conditions of the charter. From time to time, the Company may also participate in pooling arrangements. In a pooling arrangement, the time charter revenues of certain of the Company’s vessels are shared with the time charter revenues of certain vessels of similar type owned by non-affiliated vessel owners based upon an agreed formula.</w:t>
      </w:r>
    </w:p>
    <w:p>
      <w:pPr>
        <w:spacing w:after="0" w:line="131"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Contract or charter durations may range from several days to several years. Charters vary in length from short-term to multi-year periods, many with cancellation clauses and without early termination penalties. As a result of options and frequent renewals, the stated duration of charters may have little correlation with the length of time the vessel is contracted to provide services to a particular customer.</w:t>
      </w:r>
    </w:p>
    <w:p>
      <w:pPr>
        <w:spacing w:after="0" w:line="144"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The Company also contracts with various customers to carry out management services for vessels as agents for and on behalf of ship owners. These services include crew management, technical management, commercial management, insurance arrangements, sale and purchase of vessels, provisions and bunkering. As the manager of the vessels, the Company undertakes to use its best efforts to provide the agreed management services as agents for and on behalf of the owners in accordance with sound ship management practice and to protect and promote the interest of the owners in all matters relating to the provision of services thereunder. The Company also contracts with various customers to carry out management services regarding engineering for vessel construction and vessel conversions. The vast majority of the ship management agreements span one to three years and are typically billed on a monthly basis. The Company transfers control of the service to the customer and satisfies its performance obligation over the term of the contract, and therefore recognizes revenue over the term of the contract while related costs are expensed as incurred.</w:t>
      </w:r>
    </w:p>
    <w:p>
      <w:pPr>
        <w:spacing w:after="0" w:line="361"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Revenue that does not meet these criteria is deferred until the criteria is met and is considered a contract liability and is recognized as such. Contract liabilities, which are included in deferred revenue and unearned revenue in the accompanying consolidated balance sheets, for the nine months ended September 30, 2022 and 2021 were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FF0FC"/>
            </w:tcBorders>
          </w:tcPr>
          <w:p>
            <w:pPr>
              <w:spacing w:after="0"/>
              <w:rPr>
                <w:sz w:val="18"/>
                <w:szCs w:val="18"/>
                <w:color w:val="auto"/>
              </w:rPr>
            </w:pPr>
          </w:p>
        </w:tc>
      </w:tr>
      <w:tr>
        <w:trPr>
          <w:trHeight w:val="21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Balance at beginning of period</w:t>
            </w:r>
          </w:p>
        </w:tc>
        <w:tc>
          <w:tcPr>
            <w:tcW w:w="1100" w:type="dxa"/>
            <w:vAlign w:val="bottom"/>
            <w:shd w:val="clear" w:color="auto" w:fill="CFF0FC"/>
          </w:tcPr>
          <w:p>
            <w:pPr>
              <w:jc w:val="right"/>
              <w:ind w:right="91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3,307</w:t>
            </w:r>
          </w:p>
        </w:tc>
        <w:tc>
          <w:tcPr>
            <w:tcW w:w="120" w:type="dxa"/>
            <w:vAlign w:val="bottom"/>
            <w:shd w:val="clear" w:color="auto" w:fill="CFF0FC"/>
          </w:tcPr>
          <w:p>
            <w:pPr>
              <w:spacing w:after="0"/>
              <w:rPr>
                <w:sz w:val="18"/>
                <w:szCs w:val="18"/>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Revenues deferred during the period</w:t>
            </w:r>
          </w:p>
        </w:tc>
        <w:tc>
          <w:tcPr>
            <w:tcW w:w="11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490</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Revenues recognized and reclassifications during the period</w:t>
            </w:r>
          </w:p>
        </w:tc>
        <w:tc>
          <w:tcPr>
            <w:tcW w:w="1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(321)</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(2,627)</w:t>
            </w:r>
          </w:p>
        </w:tc>
      </w:tr>
      <w:tr>
        <w:trPr>
          <w:trHeight w:val="206"/>
        </w:trPr>
        <w:tc>
          <w:tcPr>
            <w:tcW w:w="7720" w:type="dxa"/>
            <w:vAlign w:val="bottom"/>
          </w:tcPr>
          <w:p>
            <w:pPr>
              <w:spacing w:after="0"/>
              <w:rPr>
                <w:sz w:val="20"/>
                <w:szCs w:val="20"/>
                <w:color w:val="auto"/>
              </w:rPr>
            </w:pPr>
            <w:r>
              <w:rPr>
                <w:rFonts w:ascii="Arial" w:cs="Arial" w:eastAsia="Arial" w:hAnsi="Arial"/>
                <w:sz w:val="16"/>
                <w:szCs w:val="16"/>
                <w:color w:val="auto"/>
              </w:rPr>
              <w:t>Balance at end of period</w:t>
            </w: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1,170</w:t>
            </w:r>
          </w:p>
        </w:tc>
        <w:tc>
          <w:tcPr>
            <w:tcW w:w="12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As of September 30, 2022, the Company had no deferred revenues.</w:t>
      </w:r>
    </w:p>
    <w:p>
      <w:pPr>
        <w:spacing w:after="0" w:line="233"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As of September 30, 2022 and December 31, 2021, the Company had unearned revenue $0.8 million and $1.3 million, respectively, primarily related to mobilizations of vessels. The Company recorded $2.1 million of unearned revenue related to new contract agreements and recognized previously recorded unearned revenue of $2.6 million during the nine months ended September 30, 2022.</w:t>
      </w:r>
    </w:p>
    <w:p>
      <w:pPr>
        <w:spacing w:after="0" w:line="158"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b w:val="1"/>
          <w:bCs w:val="1"/>
          <w:i w:val="1"/>
          <w:iCs w:val="1"/>
          <w:color w:val="auto"/>
        </w:rPr>
        <w:t xml:space="preserve">Cash and Cash Equivalents. </w:t>
      </w:r>
      <w:r>
        <w:rPr>
          <w:rFonts w:ascii="Arial" w:cs="Arial" w:eastAsia="Arial" w:hAnsi="Arial"/>
          <w:sz w:val="22"/>
          <w:szCs w:val="22"/>
          <w:color w:val="auto"/>
        </w:rPr>
        <w:t>The Company considers all highly liquid investments, with an original maturity of three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months or less from the date purchased, to be cash equivalents.</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22"/>
          <w:szCs w:val="22"/>
          <w:b w:val="1"/>
          <w:bCs w:val="1"/>
          <w:i w:val="1"/>
          <w:iCs w:val="1"/>
          <w:color w:val="auto"/>
        </w:rPr>
        <w:t xml:space="preserve">Restricted Cash. </w:t>
      </w:r>
      <w:r>
        <w:rPr>
          <w:rFonts w:ascii="Arial" w:cs="Arial" w:eastAsia="Arial" w:hAnsi="Arial"/>
          <w:sz w:val="22"/>
          <w:szCs w:val="22"/>
          <w:color w:val="auto"/>
        </w:rPr>
        <w:t>Restricted cash primarily relates to banking facility requirements.</w:t>
      </w:r>
    </w:p>
    <w:p>
      <w:pPr>
        <w:spacing w:after="0" w:line="16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b w:val="1"/>
          <w:bCs w:val="1"/>
          <w:i w:val="1"/>
          <w:iCs w:val="1"/>
          <w:color w:val="auto"/>
        </w:rPr>
        <w:t xml:space="preserve">Trade and Other Receivables. </w:t>
      </w:r>
      <w:r>
        <w:rPr>
          <w:rFonts w:ascii="Arial" w:cs="Arial" w:eastAsia="Arial" w:hAnsi="Arial"/>
          <w:sz w:val="22"/>
          <w:szCs w:val="22"/>
          <w:color w:val="auto"/>
        </w:rPr>
        <w:t>Customers are primarily major integrated national and international oil companies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large independent oil and natural gas exploration and production companies. Customers are granted credit on a short-term basis and the related credit risks are minimal. Other receivables consist primarily of operating expenses the Company incurs in relation to vessels it manages for other entities, as well as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1" w:name="page12"/>
    <w:bookmarkEnd w:id="11"/>
    <w:p>
      <w:pPr>
        <w:jc w:val="both"/>
        <w:spacing w:after="0" w:line="235" w:lineRule="auto"/>
        <w:rPr>
          <w:sz w:val="20"/>
          <w:szCs w:val="20"/>
          <w:color w:val="auto"/>
        </w:rPr>
      </w:pPr>
      <w:r>
        <w:rPr>
          <w:rFonts w:ascii="Arial" w:cs="Arial" w:eastAsia="Arial" w:hAnsi="Arial"/>
          <w:sz w:val="22"/>
          <w:szCs w:val="22"/>
          <w:color w:val="auto"/>
        </w:rPr>
        <w:t>insurance and income tax receivables. The Company routinely reviews its receivables and makes provisions for the credit losses utilizing the Current Expected Credit Losses model (“CECL”). The CECL model utilizes a lifetime expected credit loss measurement objective for the recognition of credit losses for loans and other receivables at the time the financial asset is originated or acquired. However, those provisions are estimates and actual results may materially differ from those estimates. Trade receivables are deemed uncollectible and are removed from accounts receivable and the allowance for credit losses when collection efforts have been exhausted.</w:t>
      </w:r>
    </w:p>
    <w:p>
      <w:pPr>
        <w:spacing w:after="0" w:line="161"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b w:val="1"/>
          <w:bCs w:val="1"/>
          <w:i w:val="1"/>
          <w:iCs w:val="1"/>
          <w:color w:val="auto"/>
        </w:rPr>
        <w:t xml:space="preserve">Property and Equipment. </w:t>
      </w:r>
      <w:r>
        <w:rPr>
          <w:rFonts w:ascii="Arial" w:cs="Arial" w:eastAsia="Arial" w:hAnsi="Arial"/>
          <w:sz w:val="19"/>
          <w:szCs w:val="19"/>
          <w:color w:val="auto"/>
        </w:rPr>
        <w:t>Equipment, stated at cost, is depreciated using the straight-line method over the estimated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useful life of the asset to an estimated salvage value. With respect to each class of asset, the estimated useful life is based upon a newly built asset being placed into service and represents the time period beyond which it is typically not justifiable for the Company to continue to operate the asset in the same or similar manner. From time to time, the Company may acquire older vessels that have already exceeded the Company’s useful life policy, in which case the Company depreciates such assets based on its best estimate of remaining useful life, typically the next survey or certification date. As of September 30, 2022, the estimated useful life (in years) of the Company’s new offshore support vessels was 20 years.</w:t>
      </w:r>
    </w:p>
    <w:p>
      <w:pPr>
        <w:spacing w:after="0" w:line="111"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Equipment maintenance and repair costs and the costs of routine overhauls, drydockings and inspections performed on vessels and equipment are charged to operating expense as incurred. Expenditures that extend the useful life or improve the marketing and commercial characteristics of equipment as well as major renewals and improvements to other properties are capitalized.</w:t>
      </w:r>
    </w:p>
    <w:p>
      <w:pPr>
        <w:spacing w:after="0" w:line="144"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Certain interest costs incurred during the construction of equipment are capitalized as part of the assets’ carrying values and are amortized over such assets’ estimated useful lives. There was no capitalized interest recognized during the nine months ended September 30, 2022. During the nine months ended September 30, 2021 capitalized interest totaled $0.3 million.</w:t>
      </w:r>
    </w:p>
    <w:p>
      <w:pPr>
        <w:spacing w:after="0" w:line="107"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b w:val="1"/>
          <w:bCs w:val="1"/>
          <w:i w:val="1"/>
          <w:iCs w:val="1"/>
          <w:color w:val="auto"/>
        </w:rPr>
        <w:t xml:space="preserve">Impairment of Long-Lived Assets. </w:t>
      </w:r>
      <w:r>
        <w:rPr>
          <w:rFonts w:ascii="Arial" w:cs="Arial" w:eastAsia="Arial" w:hAnsi="Arial"/>
          <w:sz w:val="19"/>
          <w:szCs w:val="19"/>
          <w:color w:val="auto"/>
        </w:rPr>
        <w:t>The Company performs an impairment analysis of long-lived assets used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operations, including intangible assets, when indicators of impairment are present. These indicators may include a significant decrease in the market price of a long-lived asset or asset group, a significant adverse change in the extent or manner in which a long-lived asset or asset group is being used or in its physical condition, or a current period operating or cash flow loss combined with a history of operating or cash flow losses or a forecast that demonstrates continuing losses associated with the use of a long-lived asset or asset group. If the carrying values of the assets are not recoverable, as determined by their estimated future undiscounted cash flows, the estimated fair value of the assets or asset groups are compared to their current carrying values and impairment charges are recorded if the carrying value exceeds fair value.</w:t>
      </w:r>
    </w:p>
    <w:p>
      <w:pPr>
        <w:spacing w:after="0" w:line="117"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For the nine months ended September 30, 2022, the Company recorded impairment charges totaling $3.4 million. The Company recorded impairment charges of $0.9 million for one fast support vessel (“FSV”) classified as held for sale during the first quarter of 2022 and sold during the second quarter of 2022. In addition, in the third quarter of 2022 the Company recorded impairment charges of $1.2 million for one leased-in anchor handling towing supply vessel (“AHTS”) as it is not expected to return to active service during its remaining lease term. Additionally, the Company recorded impairment charges of $1.3 million for other equipment and classified such equipment as assets held for sale as of September 30, 2022 as the Company expects to sell the equipment within one year. The impairment charges for the assets held for sale are included in (losses) gains on asset dispositions and impairments in the accompanying consolidated statements of income (loss). There were no impairments of other owned or leased-in vessels. For the nine months ended September 30, 2021, the Company did not record an impairment on any owned or leased-in vessels. Estimated fair values for the Company owned vessels were established by independent appraisers based on researched market information, replacement cost information and other data.</w:t>
      </w:r>
    </w:p>
    <w:p>
      <w:pPr>
        <w:spacing w:after="0" w:line="11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For vessel classes and individual vessels with indicators of impairment as of September 30, 2022, the Company estimated that their future undiscounted cash flows exceeded their current carrying values. However, the Company’s estimates of future undiscounted cash flows are highly subjective as utilization and rates per day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9"/>
          <w:szCs w:val="19"/>
          <w:color w:val="auto"/>
        </w:rPr>
        <w:t>worked are uncertain, especially in light of the continued volatility in commodity prices, as well as the timing and cost of reactivating cold-stacked vessels. If market conditions continue to decline, changes in the Company’s expectations on future cash flows may result in recognizing additional impairment charges related to its long-lived assets in future periods. For any vessel or vessel class that has indicators of impairment and is deemed not recoverable through future operations, the Company determines the fair value of the vessel or vessel class. If the fair value determination is less than the carrying value of the vessel or vessel class, an impairment is recognized to reduce the carrying value to fair value. Fair value determination is primarily accomplished by obtaining independent valuations of vessel or vessel classes from qualified third-party appraisers.</w:t>
      </w:r>
    </w:p>
    <w:p>
      <w:pPr>
        <w:spacing w:after="0" w:line="119"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b w:val="1"/>
          <w:bCs w:val="1"/>
          <w:i w:val="1"/>
          <w:iCs w:val="1"/>
          <w:color w:val="auto"/>
        </w:rPr>
        <w:t xml:space="preserve">Impairment of </w:t>
      </w:r>
      <w:r>
        <w:rPr>
          <w:rFonts w:ascii="Arial" w:cs="Arial" w:eastAsia="Arial" w:hAnsi="Arial"/>
          <w:sz w:val="19"/>
          <w:szCs w:val="19"/>
          <w:b w:val="1"/>
          <w:bCs w:val="1"/>
          <w:color w:val="auto"/>
        </w:rPr>
        <w:t>50%</w:t>
      </w:r>
      <w:r>
        <w:rPr>
          <w:rFonts w:ascii="Arial" w:cs="Arial" w:eastAsia="Arial" w:hAnsi="Arial"/>
          <w:sz w:val="19"/>
          <w:szCs w:val="19"/>
          <w:b w:val="1"/>
          <w:bCs w:val="1"/>
          <w:i w:val="1"/>
          <w:iCs w:val="1"/>
          <w:color w:val="auto"/>
        </w:rPr>
        <w:t xml:space="preserve"> or Less Owned Companies. </w:t>
      </w:r>
      <w:r>
        <w:rPr>
          <w:rFonts w:ascii="Arial" w:cs="Arial" w:eastAsia="Arial" w:hAnsi="Arial"/>
          <w:sz w:val="19"/>
          <w:szCs w:val="19"/>
          <w:color w:val="auto"/>
        </w:rPr>
        <w:t>Investments in 50% or less owned companies are reviewed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periodically to assess whether there is an other-than-temporary decline in the carrying value of the investment. In its evaluation, the Company considers, among other items, recent and expected financial performance and returns, impairments recorded by the investee and the capital structure of the investee. When the Company determines the estimated fair value of an investment is below carrying value and the decline is other-than-temporary, the investment is written down to its estimated fair value. Actual results may vary from the Company’s estimates due to the uncertainty regarding projected financial performance, the severity and expected duration of declines in value and the available liquidity in the capital markets to support the continuing operations of the investee, among other factors. Although the Company believes its assumptions and estimates are reasonable, the investee’s actual performance compared with the estimates could produce different results and lead to additional impairment charges in future periods. During the nine months ended September 30, 2022 and 2021, the Company did not recognize any impairment charges related to its 50% or less owned companies.</w:t>
      </w:r>
    </w:p>
    <w:p>
      <w:pPr>
        <w:spacing w:after="0" w:line="360" w:lineRule="exact"/>
        <w:rPr>
          <w:sz w:val="20"/>
          <w:szCs w:val="20"/>
          <w:color w:val="auto"/>
        </w:rPr>
      </w:pPr>
    </w:p>
    <w:p>
      <w:pPr>
        <w:jc w:val="both"/>
        <w:ind w:firstLine="749"/>
        <w:spacing w:after="0"/>
        <w:rPr>
          <w:sz w:val="20"/>
          <w:szCs w:val="20"/>
          <w:color w:val="auto"/>
        </w:rPr>
      </w:pPr>
      <w:r>
        <w:rPr>
          <w:rFonts w:ascii="Arial" w:cs="Arial" w:eastAsia="Arial" w:hAnsi="Arial"/>
          <w:sz w:val="22"/>
          <w:szCs w:val="22"/>
          <w:b w:val="1"/>
          <w:bCs w:val="1"/>
          <w:i w:val="1"/>
          <w:iCs w:val="1"/>
          <w:color w:val="auto"/>
        </w:rPr>
        <w:t xml:space="preserve">Income Taxes. </w:t>
      </w:r>
      <w:r>
        <w:rPr>
          <w:rFonts w:ascii="Arial" w:cs="Arial" w:eastAsia="Arial" w:hAnsi="Arial"/>
          <w:sz w:val="22"/>
          <w:szCs w:val="22"/>
          <w:color w:val="auto"/>
        </w:rPr>
        <w:t>During the nine months ended September 30, 2022, the Company’s effective income tax rate of (7.30)%</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was primarily due to foreign taxes not creditable against U.S. income taxes, foreign losses for which there is no benefit in the U.S. and the sale of investments in 50% or less owned companies.</w:t>
      </w:r>
    </w:p>
    <w:p>
      <w:pPr>
        <w:spacing w:after="0" w:line="14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b w:val="1"/>
          <w:bCs w:val="1"/>
          <w:i w:val="1"/>
          <w:iCs w:val="1"/>
          <w:color w:val="auto"/>
        </w:rPr>
        <w:t xml:space="preserve">Accumulated Other Comprehensive Income (Loss). </w:t>
      </w:r>
      <w:r>
        <w:rPr>
          <w:rFonts w:ascii="Arial" w:cs="Arial" w:eastAsia="Arial" w:hAnsi="Arial"/>
          <w:sz w:val="22"/>
          <w:szCs w:val="22"/>
          <w:color w:val="auto"/>
        </w:rPr>
        <w:t>The components of accumulated other comprehensive income were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5"/>
              </w:rPr>
              <w:t>SEACOR Marine Holdings Inc.</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w w:val="91"/>
              </w:rPr>
              <w:t>Stockholders’ Equity</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center"/>
              <w:ind w:right="159"/>
              <w:spacing w:after="0"/>
              <w:rPr>
                <w:sz w:val="20"/>
                <w:szCs w:val="20"/>
                <w:color w:val="auto"/>
              </w:rPr>
            </w:pPr>
            <w:r>
              <w:rPr>
                <w:rFonts w:ascii="Arial" w:cs="Arial" w:eastAsia="Arial" w:hAnsi="Arial"/>
                <w:sz w:val="16"/>
                <w:szCs w:val="16"/>
                <w:b w:val="1"/>
                <w:bCs w:val="1"/>
                <w:color w:val="auto"/>
                <w:w w:val="91"/>
              </w:rPr>
              <w:t>Foreign</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Derivative</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center"/>
              <w:ind w:right="159"/>
              <w:spacing w:after="0"/>
              <w:rPr>
                <w:sz w:val="20"/>
                <w:szCs w:val="20"/>
                <w:color w:val="auto"/>
              </w:rPr>
            </w:pPr>
            <w:r>
              <w:rPr>
                <w:rFonts w:ascii="Arial" w:cs="Arial" w:eastAsia="Arial" w:hAnsi="Arial"/>
                <w:sz w:val="16"/>
                <w:szCs w:val="16"/>
                <w:b w:val="1"/>
                <w:bCs w:val="1"/>
                <w:color w:val="auto"/>
                <w:w w:val="93"/>
              </w:rPr>
              <w:t>Currency</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7"/>
              </w:rPr>
              <w:t>Gains (Losses) on</w:t>
            </w:r>
          </w:p>
        </w:tc>
        <w:tc>
          <w:tcPr>
            <w:tcW w:w="180" w:type="dxa"/>
            <w:vAlign w:val="bottom"/>
          </w:tcPr>
          <w:p>
            <w:pPr>
              <w:spacing w:after="0"/>
              <w:rPr>
                <w:sz w:val="17"/>
                <w:szCs w:val="17"/>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Total Other</w:t>
            </w: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center"/>
              <w:ind w:right="139"/>
              <w:spacing w:after="0"/>
              <w:rPr>
                <w:sz w:val="20"/>
                <w:szCs w:val="20"/>
                <w:color w:val="auto"/>
              </w:rPr>
            </w:pPr>
            <w:r>
              <w:rPr>
                <w:rFonts w:ascii="Arial" w:cs="Arial" w:eastAsia="Arial" w:hAnsi="Arial"/>
                <w:sz w:val="16"/>
                <w:szCs w:val="16"/>
                <w:b w:val="1"/>
                <w:bCs w:val="1"/>
                <w:color w:val="auto"/>
                <w:w w:val="92"/>
              </w:rPr>
              <w:t>Translation</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Cash Flow</w:t>
            </w:r>
          </w:p>
        </w:tc>
        <w:tc>
          <w:tcPr>
            <w:tcW w:w="180" w:type="dxa"/>
            <w:vAlign w:val="bottom"/>
          </w:tcPr>
          <w:p>
            <w:pPr>
              <w:spacing w:after="0"/>
              <w:rPr>
                <w:sz w:val="17"/>
                <w:szCs w:val="17"/>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Comprehensive</w:t>
            </w:r>
          </w:p>
        </w:tc>
        <w:tc>
          <w:tcPr>
            <w:tcW w:w="0" w:type="dxa"/>
            <w:vAlign w:val="bottom"/>
          </w:tcPr>
          <w:p>
            <w:pPr>
              <w:spacing w:after="0"/>
              <w:rPr>
                <w:sz w:val="1"/>
                <w:szCs w:val="1"/>
                <w:color w:val="auto"/>
              </w:rPr>
            </w:pPr>
          </w:p>
        </w:tc>
      </w:tr>
      <w:tr>
        <w:trPr>
          <w:trHeight w:val="213"/>
        </w:trPr>
        <w:tc>
          <w:tcPr>
            <w:tcW w:w="4060" w:type="dxa"/>
            <w:vAlign w:val="bottom"/>
            <w:tcBorders>
              <w:bottom w:val="single" w:sz="8" w:color="CFF0FC"/>
            </w:tcBorders>
          </w:tcPr>
          <w:p>
            <w:pPr>
              <w:spacing w:after="0"/>
              <w:rPr>
                <w:sz w:val="18"/>
                <w:szCs w:val="18"/>
                <w:color w:val="auto"/>
              </w:rPr>
            </w:pPr>
          </w:p>
        </w:tc>
        <w:tc>
          <w:tcPr>
            <w:tcW w:w="15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0"/>
              </w:rPr>
              <w:t>Adjustments</w:t>
            </w:r>
          </w:p>
        </w:tc>
        <w:tc>
          <w:tcPr>
            <w:tcW w:w="3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8"/>
              </w:rPr>
              <w:t>Hedges, net</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2"/>
              </w:rPr>
              <w:t>Income</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December 31, 2021</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10,783</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(2,728)</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60" w:type="dxa"/>
            <w:vAlign w:val="bottom"/>
          </w:tcPr>
          <w:p>
            <w:pPr>
              <w:ind w:left="260"/>
              <w:spacing w:after="0"/>
              <w:rPr>
                <w:sz w:val="20"/>
                <w:szCs w:val="20"/>
                <w:color w:val="auto"/>
              </w:rPr>
            </w:pPr>
            <w:r>
              <w:rPr>
                <w:rFonts w:ascii="Arial" w:cs="Arial" w:eastAsia="Arial" w:hAnsi="Arial"/>
                <w:sz w:val="16"/>
                <w:szCs w:val="16"/>
                <w:color w:val="auto"/>
              </w:rPr>
              <w:t>Other comprehensive (loss) income</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right"/>
              <w:ind w:right="159"/>
              <w:spacing w:after="0"/>
              <w:rPr>
                <w:sz w:val="20"/>
                <w:szCs w:val="20"/>
                <w:color w:val="auto"/>
              </w:rPr>
            </w:pPr>
            <w:r>
              <w:rPr>
                <w:rFonts w:ascii="Arial" w:cs="Arial" w:eastAsia="Arial" w:hAnsi="Arial"/>
                <w:sz w:val="16"/>
                <w:szCs w:val="16"/>
                <w:color w:val="auto"/>
              </w:rPr>
              <w:t>(6,717)</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3,211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(3,506)</w:t>
            </w:r>
          </w:p>
        </w:tc>
        <w:tc>
          <w:tcPr>
            <w:tcW w:w="0" w:type="dxa"/>
            <w:vAlign w:val="bottom"/>
          </w:tcPr>
          <w:p>
            <w:pPr>
              <w:spacing w:after="0"/>
              <w:rPr>
                <w:sz w:val="1"/>
                <w:szCs w:val="1"/>
                <w:color w:val="auto"/>
              </w:rPr>
            </w:pPr>
          </w:p>
        </w:tc>
      </w:tr>
      <w:tr>
        <w:trPr>
          <w:trHeight w:val="20"/>
        </w:trPr>
        <w:tc>
          <w:tcPr>
            <w:tcW w:w="40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 as of September 30, 2022</w:t>
            </w:r>
          </w:p>
        </w:tc>
        <w:tc>
          <w:tcPr>
            <w:tcW w:w="15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60" w:type="dxa"/>
            <w:vAlign w:val="bottom"/>
            <w:vMerge w:val="continue"/>
            <w:shd w:val="clear" w:color="auto" w:fill="CFF0FC"/>
          </w:tcPr>
          <w:p>
            <w:pPr>
              <w:spacing w:after="0"/>
              <w:rPr>
                <w:sz w:val="18"/>
                <w:szCs w:val="18"/>
                <w:color w:val="auto"/>
              </w:rPr>
            </w:pP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4,066</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483</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b w:val="1"/>
          <w:bCs w:val="1"/>
          <w:i w:val="1"/>
          <w:iCs w:val="1"/>
          <w:color w:val="auto"/>
        </w:rPr>
        <w:t xml:space="preserve">Earnings </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Loss) Per Share. </w:t>
      </w:r>
      <w:r>
        <w:rPr>
          <w:rFonts w:ascii="Arial" w:cs="Arial" w:eastAsia="Arial" w:hAnsi="Arial"/>
          <w:sz w:val="19"/>
          <w:szCs w:val="19"/>
          <w:color w:val="auto"/>
        </w:rPr>
        <w:t>Basic earnings/loss per share of Common Stock of the Company is computed based on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weighted average number of shares of Common Stock and warrants to purchase Common Stock at an exercise price of $0.01 per share (“Warrants”) issued and outstanding during the relevant periods. The Warrants are included in the basic earnings/loss per share of Common Stock because the shares issuable upon exercise of the Warrants are issuable for de minimis cash consideration and therefore not anti-dilutive. Diluted earnings/loss per share of Common Stock is computed based on the weighted average number of shares of Common Stock and Warrants issued and outstanding plus the effect of other potentially dilutive securities through the application of the treasury stock method and the if-converted method that assumes all shares of Common Stock have been issued and outstanding during the relevant periods pursuant to the conversion of the Old Convertible Notes (as defined in “Note 5. Long-Term Debt”) unless anti-dilutive.</w:t>
      </w:r>
    </w:p>
    <w:p>
      <w:pPr>
        <w:spacing w:after="0" w:line="91" w:lineRule="exact"/>
        <w:rPr>
          <w:sz w:val="20"/>
          <w:szCs w:val="20"/>
          <w:color w:val="auto"/>
        </w:rPr>
      </w:pPr>
    </w:p>
    <w:p>
      <w:pPr>
        <w:jc w:val="both"/>
        <w:ind w:right="20" w:firstLine="749"/>
        <w:spacing w:after="0"/>
        <w:rPr>
          <w:sz w:val="20"/>
          <w:szCs w:val="20"/>
          <w:color w:val="auto"/>
        </w:rPr>
      </w:pPr>
      <w:r>
        <w:rPr>
          <w:rFonts w:ascii="Arial" w:cs="Arial" w:eastAsia="Arial" w:hAnsi="Arial"/>
          <w:sz w:val="22"/>
          <w:szCs w:val="22"/>
          <w:color w:val="auto"/>
        </w:rPr>
        <w:t>As of September 30, 2022, the Company’s outstanding 4.25% Senior Convertible Notes due 2023 (“Old Convertible Notes”) were convertible into 2,907,500 shares of Common Stock. For the three and nine months ended September 30, 2022, diluted loss per share of Common Stock excluded 2,907,500 shares of Common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3" w:name="page14"/>
    <w:bookmarkEnd w:id="13"/>
    <w:p>
      <w:pPr>
        <w:jc w:val="both"/>
        <w:spacing w:after="0" w:line="251" w:lineRule="auto"/>
        <w:rPr>
          <w:sz w:val="20"/>
          <w:szCs w:val="20"/>
          <w:color w:val="auto"/>
        </w:rPr>
      </w:pPr>
      <w:r>
        <w:rPr>
          <w:rFonts w:ascii="Arial" w:cs="Arial" w:eastAsia="Arial" w:hAnsi="Arial"/>
          <w:sz w:val="22"/>
          <w:szCs w:val="22"/>
          <w:color w:val="auto"/>
        </w:rPr>
        <w:t>Stock issuable upon conversion of the Old Convertible Notes and exercise of the related Warrants as the effect of their inclusion in the computation would be anti-dilutive.</w:t>
      </w:r>
    </w:p>
    <w:p>
      <w:pPr>
        <w:spacing w:after="0" w:line="1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For the three and nine months ended September 30, 2021, diluted earnings per share of Common Stock excluded 2,907,500 shares of Common Stock issuable upon conversion of the Old Convertible Notes and exercise of the related Warrants as the effect of their inclusion in the computation would be anti-dilutive.</w:t>
      </w:r>
    </w:p>
    <w:p>
      <w:pPr>
        <w:spacing w:after="0" w:line="10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In addition, for the three and nine months ended September 30, 2022 diluted loss per share of Common Stock excluded 1,645,207 shares of restricted stock and 1,026,865 shares of Common Stock issuable upon exercise of outstanding stock options as the effect of their inclusion in the computation would be anti-dilutive.</w:t>
      </w:r>
    </w:p>
    <w:p>
      <w:pPr>
        <w:spacing w:after="0" w:line="119"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For the nine months ended September 30, 2021, diluted earnings per share of Common Stock included 11,459 shares of restricted stock as their inclusion in the computation would be dilutive. For the three and nine months ended September 30, 2021 diluted (loss) earnings per share of Common Stock excluded 1,131,599 and 1,120,140 shares of restricted stock, respectively, and 1,061,357 shares of stock issuable upon exercise of outstanding stock options as their inclusion in the computation would be anti-dilutive.</w:t>
      </w:r>
    </w:p>
    <w:p>
      <w:pPr>
        <w:spacing w:after="0" w:line="289" w:lineRule="exact"/>
        <w:rPr>
          <w:sz w:val="20"/>
          <w:szCs w:val="20"/>
          <w:color w:val="auto"/>
        </w:rPr>
      </w:pPr>
    </w:p>
    <w:p>
      <w:pPr>
        <w:ind w:left="760" w:hanging="752"/>
        <w:spacing w:after="0"/>
        <w:tabs>
          <w:tab w:leader="none" w:pos="760" w:val="left"/>
        </w:tabs>
        <w:numPr>
          <w:ilvl w:val="0"/>
          <w:numId w:val="5"/>
        </w:numPr>
        <w:rPr>
          <w:rFonts w:ascii="Arial" w:cs="Arial" w:eastAsia="Arial" w:hAnsi="Arial"/>
          <w:sz w:val="22"/>
          <w:szCs w:val="22"/>
          <w:b w:val="1"/>
          <w:bCs w:val="1"/>
          <w:color w:val="222222"/>
        </w:rPr>
      </w:pPr>
      <w:r>
        <w:rPr>
          <w:rFonts w:ascii="Arial" w:cs="Arial" w:eastAsia="Arial" w:hAnsi="Arial"/>
          <w:sz w:val="22"/>
          <w:szCs w:val="22"/>
          <w:b w:val="1"/>
          <w:bCs w:val="1"/>
          <w:color w:val="222222"/>
        </w:rPr>
        <w:t>NOTE RECEIVABLE</w:t>
      </w:r>
    </w:p>
    <w:p>
      <w:pPr>
        <w:spacing w:after="0" w:line="172"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9"/>
          <w:szCs w:val="19"/>
          <w:color w:val="222222"/>
        </w:rPr>
        <w:t xml:space="preserve">In connection with the closing of the Framework Agreement Transactions (as defined in “Note 4. Investments, at Equity and Advances to 50% or Less Owned Companies”), on September 29, 2022, SEACOR Marine Capital Inc., a wholly-owned subsidiary of SEACOR Marine (“SEACOR Marine Capital”) purchased all of the outstanding loans under the Second Amended and Restated Term Loan Credit Facility Agreement, made as of July 8, 2022, by and among </w:t>
      </w:r>
      <w:r>
        <w:rPr>
          <w:rFonts w:ascii="Arial" w:cs="Arial" w:eastAsia="Arial" w:hAnsi="Arial"/>
          <w:sz w:val="19"/>
          <w:szCs w:val="19"/>
          <w:color w:val="000000"/>
        </w:rPr>
        <w:t>Mantenimiento Express Marítimo,</w:t>
      </w:r>
      <w:r>
        <w:rPr>
          <w:rFonts w:ascii="Arial" w:cs="Arial" w:eastAsia="Arial" w:hAnsi="Arial"/>
          <w:sz w:val="19"/>
          <w:szCs w:val="19"/>
          <w:color w:val="222222"/>
        </w:rPr>
        <w:t xml:space="preserve"> </w:t>
      </w:r>
      <w:r>
        <w:rPr>
          <w:rFonts w:ascii="Arial" w:cs="Arial" w:eastAsia="Arial" w:hAnsi="Arial"/>
          <w:sz w:val="19"/>
          <w:szCs w:val="19"/>
          <w:color w:val="000000"/>
        </w:rPr>
        <w:t>S.A.P.I. de C.V. (“MexMar”)</w:t>
      </w:r>
      <w:r>
        <w:rPr>
          <w:rFonts w:ascii="Arial" w:cs="Arial" w:eastAsia="Arial" w:hAnsi="Arial"/>
          <w:sz w:val="19"/>
          <w:szCs w:val="19"/>
          <w:color w:val="222222"/>
        </w:rPr>
        <w:t>, as the borrower, DNB Capital LLC and The Governor and Company of the Bank of Ireland, each</w:t>
      </w:r>
      <w:r>
        <w:rPr>
          <w:rFonts w:ascii="Arial" w:cs="Arial" w:eastAsia="Arial" w:hAnsi="Arial"/>
          <w:sz w:val="19"/>
          <w:szCs w:val="19"/>
          <w:color w:val="000000"/>
        </w:rPr>
        <w:t xml:space="preserve"> </w:t>
      </w:r>
      <w:r>
        <w:rPr>
          <w:rFonts w:ascii="Arial" w:cs="Arial" w:eastAsia="Arial" w:hAnsi="Arial"/>
          <w:sz w:val="19"/>
          <w:szCs w:val="19"/>
          <w:color w:val="222222"/>
        </w:rPr>
        <w:t>as lenders, and DNB Bank ASA, New York Branch, as facility agent (as amended from time to time, the “MexMar Original Facility Agreement”) for an aggregate amount of $28,831,148.32, representing par value of the loan. The purchase was funded using proceeds received from the Framework Agreement Transactions. On the same date the facility was amended pursuant to a Third Amended and Restated Facility Agreement (“MexMar Third A&amp;R Facility Agreement”) to, among other things, (i) provide for the prepayment by MexMar of approximately $8.8 million of the outstanding loan amount, to reduce the outstanding principal on the loan to $20.0 million, (ii) modify the definition of “Change of Control”, (iii) modify the maturity date from January 23, 2025 to September 30, 2023, (iv) decrease the minimum cash requirement from $10.0 million to $2.5 million, (v) modify the interest margin from 4.7% to 5.0% and (vi) modify the principal repayment profile to reflect four quarterly installments of $5.0 million to repay the loan by the maturity date. All collateral and security arrangements remain in place from the MexMar Original Facility Agreement, including a first priority mortgage on 13 offshore support vessels owned by MexMar. As a result, SEACOR Marine Capital is the sole lender to MexMar under the MexMar Third A&amp;R Facility Agreement and expects that the loan will be repaid in full by September 30, 2023.</w:t>
      </w:r>
    </w:p>
    <w:p>
      <w:pPr>
        <w:spacing w:after="0" w:line="368" w:lineRule="exact"/>
        <w:rPr>
          <w:sz w:val="20"/>
          <w:szCs w:val="20"/>
          <w:color w:val="auto"/>
        </w:rPr>
      </w:pPr>
    </w:p>
    <w:p>
      <w:pPr>
        <w:ind w:left="760" w:hanging="752"/>
        <w:spacing w:after="0"/>
        <w:tabs>
          <w:tab w:leader="none" w:pos="760" w:val="left"/>
        </w:tabs>
        <w:numPr>
          <w:ilvl w:val="0"/>
          <w:numId w:val="6"/>
        </w:numPr>
        <w:rPr>
          <w:rFonts w:ascii="Arial" w:cs="Arial" w:eastAsia="Arial" w:hAnsi="Arial"/>
          <w:sz w:val="22"/>
          <w:szCs w:val="22"/>
          <w:b w:val="1"/>
          <w:bCs w:val="1"/>
          <w:color w:val="222222"/>
        </w:rPr>
      </w:pPr>
      <w:r>
        <w:rPr>
          <w:rFonts w:ascii="Arial" w:cs="Arial" w:eastAsia="Arial" w:hAnsi="Arial"/>
          <w:sz w:val="22"/>
          <w:szCs w:val="22"/>
          <w:b w:val="1"/>
          <w:bCs w:val="1"/>
          <w:color w:val="222222"/>
        </w:rPr>
        <w:t>EQUIPMENT ACQUISITIONS AND DISPOSITIONS</w:t>
      </w:r>
    </w:p>
    <w:p>
      <w:pPr>
        <w:spacing w:after="0" w:line="239"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222222"/>
        </w:rPr>
        <w:t xml:space="preserve">During the nine months ended September 30, 2022, capital expenditures were </w:t>
      </w:r>
      <w:r>
        <w:rPr>
          <w:rFonts w:ascii="Arial" w:cs="Arial" w:eastAsia="Arial" w:hAnsi="Arial"/>
          <w:sz w:val="19"/>
          <w:szCs w:val="19"/>
          <w:color w:val="000000"/>
        </w:rPr>
        <w:t>$0.3 million and equipment deliveries</w:t>
      </w:r>
      <w:r>
        <w:rPr>
          <w:rFonts w:ascii="Arial" w:cs="Arial" w:eastAsia="Arial" w:hAnsi="Arial"/>
          <w:sz w:val="19"/>
          <w:szCs w:val="19"/>
          <w:color w:val="222222"/>
        </w:rPr>
        <w:t xml:space="preserve"> </w:t>
      </w:r>
      <w:r>
        <w:rPr>
          <w:rFonts w:ascii="Arial" w:cs="Arial" w:eastAsia="Arial" w:hAnsi="Arial"/>
          <w:sz w:val="19"/>
          <w:szCs w:val="19"/>
          <w:color w:val="000000"/>
        </w:rPr>
        <w:t xml:space="preserve">were $14.4 million </w:t>
      </w:r>
      <w:r>
        <w:rPr>
          <w:rFonts w:ascii="Arial" w:cs="Arial" w:eastAsia="Arial" w:hAnsi="Arial"/>
          <w:sz w:val="19"/>
          <w:szCs w:val="19"/>
          <w:color w:val="222222"/>
        </w:rPr>
        <w:t>including one</w:t>
      </w:r>
      <w:r>
        <w:rPr>
          <w:rFonts w:ascii="Arial" w:cs="Arial" w:eastAsia="Arial" w:hAnsi="Arial"/>
          <w:sz w:val="19"/>
          <w:szCs w:val="19"/>
          <w:color w:val="000000"/>
        </w:rPr>
        <w:t xml:space="preserve"> platform supply vessel (“</w:t>
      </w:r>
      <w:r>
        <w:rPr>
          <w:rFonts w:ascii="Arial" w:cs="Arial" w:eastAsia="Arial" w:hAnsi="Arial"/>
          <w:sz w:val="19"/>
          <w:szCs w:val="19"/>
          <w:color w:val="222222"/>
        </w:rPr>
        <w:t>PSV”), the SEACOR Marlin, and a hybrid battery system.</w:t>
      </w:r>
      <w:r>
        <w:rPr>
          <w:rFonts w:ascii="Arial" w:cs="Arial" w:eastAsia="Arial" w:hAnsi="Arial"/>
          <w:sz w:val="19"/>
          <w:szCs w:val="19"/>
          <w:color w:val="000000"/>
        </w:rPr>
        <w:t xml:space="preserve"> This equipment was acquired through (i) the sale of one AHTS in exchange for the remaining equity interests in SEACOR Marlin LLC that the Company did not already own, thereby acquiring 100% ownership of its only asset, the PSV SEACOR Marlin, and</w:t>
      </w:r>
    </w:p>
    <w:p>
      <w:pPr>
        <w:spacing w:after="0" w:line="3" w:lineRule="exact"/>
        <w:rPr>
          <w:sz w:val="20"/>
          <w:szCs w:val="20"/>
          <w:color w:val="auto"/>
        </w:rPr>
      </w:pPr>
    </w:p>
    <w:p>
      <w:pPr>
        <w:ind w:firstLine="8"/>
        <w:spacing w:after="0" w:line="236" w:lineRule="auto"/>
        <w:tabs>
          <w:tab w:leader="none" w:pos="332"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transfer of the hybrid battery system as repayment in full of a certain vessel loan agreement with a former joint venture (see “Note 4. Investments, at Equity and Advances to 50% or Less Owned Companies”).</w:t>
      </w:r>
    </w:p>
    <w:p>
      <w:pPr>
        <w:spacing w:after="0" w:line="14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Also, during the nine months ended September 30, 2022, the Company sold one FSV, one liftboat, which was previously removed from service, office space and other equipment for net cash proceeds of $6.7 million, after transaction costs, and a gain of $2.2 million, which included impairment charges of $0.9 million for a FSV classified as held for sale during the first quarter of 2022 and sold during the second quarter of 2022. During nine months ended September 30, 2021, the Company sold one PSV, three FSVs and reduced $22.5</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line="250" w:lineRule="auto"/>
        <w:rPr>
          <w:sz w:val="20"/>
          <w:szCs w:val="20"/>
          <w:color w:val="auto"/>
        </w:rPr>
      </w:pPr>
      <w:r>
        <w:rPr>
          <w:rFonts w:ascii="Arial" w:cs="Arial" w:eastAsia="Arial" w:hAnsi="Arial"/>
          <w:sz w:val="22"/>
          <w:szCs w:val="22"/>
          <w:color w:val="auto"/>
        </w:rPr>
        <w:t xml:space="preserve">million of debt </w:t>
      </w:r>
      <w:r>
        <w:rPr>
          <w:rFonts w:ascii="Arial" w:cs="Arial" w:eastAsia="Arial" w:hAnsi="Arial"/>
          <w:sz w:val="22"/>
          <w:szCs w:val="22"/>
          <w:color w:val="222222"/>
        </w:rPr>
        <w:t>with hull and machinery insurance proceeds for the liftboat SEACOR Power of $25.0 million, for a total of</w:t>
      </w:r>
      <w:r>
        <w:rPr>
          <w:rFonts w:ascii="Arial" w:cs="Arial" w:eastAsia="Arial" w:hAnsi="Arial"/>
          <w:sz w:val="22"/>
          <w:szCs w:val="22"/>
          <w:color w:val="auto"/>
        </w:rPr>
        <w:t xml:space="preserve"> $30.1 million and gains of $20.9 million.</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9"/>
          <w:szCs w:val="19"/>
          <w:color w:val="222222"/>
        </w:rPr>
        <w:t>As of January 12, 2021, the Company recognized a gain on the sale of Windcat Workboats Holdings Ltd. (“Windcat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222222"/>
        </w:rPr>
        <w:t>Workboats”) of approximately $22.8 million, calculated as follows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9"/>
              </w:rPr>
              <w:t>January 12, 2021</w:t>
            </w:r>
          </w:p>
        </w:tc>
        <w:tc>
          <w:tcPr>
            <w:tcW w:w="100" w:type="dxa"/>
            <w:vAlign w:val="bottom"/>
          </w:tcPr>
          <w:p>
            <w:pPr>
              <w:spacing w:after="0"/>
              <w:rPr>
                <w:sz w:val="18"/>
                <w:szCs w:val="18"/>
                <w:color w:val="auto"/>
              </w:rPr>
            </w:pPr>
          </w:p>
        </w:tc>
      </w:tr>
      <w:tr>
        <w:trPr>
          <w:trHeight w:val="213"/>
        </w:trPr>
        <w:tc>
          <w:tcPr>
            <w:tcW w:w="9360" w:type="dxa"/>
            <w:vAlign w:val="bottom"/>
          </w:tcPr>
          <w:p>
            <w:pPr>
              <w:ind w:left="260"/>
              <w:spacing w:after="0"/>
              <w:rPr>
                <w:sz w:val="20"/>
                <w:szCs w:val="20"/>
                <w:color w:val="auto"/>
              </w:rPr>
            </w:pPr>
            <w:r>
              <w:rPr>
                <w:rFonts w:ascii="Arial" w:cs="Arial" w:eastAsia="Arial" w:hAnsi="Arial"/>
                <w:sz w:val="16"/>
                <w:szCs w:val="16"/>
                <w:color w:val="auto"/>
              </w:rPr>
              <w:t>Total Proceeds Received</w:t>
            </w: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43,797</w:t>
            </w:r>
          </w:p>
        </w:tc>
        <w:tc>
          <w:tcPr>
            <w:tcW w:w="100" w:type="dxa"/>
            <w:vAlign w:val="bottom"/>
          </w:tcPr>
          <w:p>
            <w:pPr>
              <w:spacing w:after="0"/>
              <w:rPr>
                <w:sz w:val="18"/>
                <w:szCs w:val="18"/>
                <w:color w:val="auto"/>
              </w:rPr>
            </w:pPr>
          </w:p>
        </w:tc>
      </w:tr>
      <w:tr>
        <w:trPr>
          <w:trHeight w:val="219"/>
        </w:trPr>
        <w:tc>
          <w:tcPr>
            <w:tcW w:w="9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Transactions Fees and other Costs</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1,562</w:t>
            </w:r>
          </w:p>
        </w:tc>
        <w:tc>
          <w:tcPr>
            <w:tcW w:w="100" w:type="dxa"/>
            <w:vAlign w:val="bottom"/>
            <w:shd w:val="clear" w:color="auto" w:fill="CFF0FC"/>
          </w:tcPr>
          <w:p>
            <w:pPr>
              <w:spacing w:after="0"/>
              <w:rPr>
                <w:sz w:val="19"/>
                <w:szCs w:val="19"/>
                <w:color w:val="auto"/>
              </w:rPr>
            </w:pPr>
          </w:p>
        </w:tc>
      </w:tr>
      <w:tr>
        <w:trPr>
          <w:trHeight w:val="213"/>
        </w:trPr>
        <w:tc>
          <w:tcPr>
            <w:tcW w:w="93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Cash Sold</w:t>
            </w:r>
          </w:p>
        </w:tc>
        <w:tc>
          <w:tcPr>
            <w:tcW w:w="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3,520</w:t>
            </w:r>
          </w:p>
        </w:tc>
        <w:tc>
          <w:tcPr>
            <w:tcW w:w="100" w:type="dxa"/>
            <w:vAlign w:val="bottom"/>
            <w:tcBorders>
              <w:bottom w:val="single" w:sz="8" w:color="CFF0FC"/>
            </w:tcBorders>
          </w:tcPr>
          <w:p>
            <w:pPr>
              <w:spacing w:after="0"/>
              <w:rPr>
                <w:sz w:val="18"/>
                <w:szCs w:val="18"/>
                <w:color w:val="auto"/>
              </w:rPr>
            </w:pPr>
          </w:p>
        </w:tc>
      </w:tr>
      <w:tr>
        <w:trPr>
          <w:trHeight w:val="213"/>
        </w:trPr>
        <w:tc>
          <w:tcPr>
            <w:tcW w:w="9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Net Proceeds</w:t>
            </w:r>
          </w:p>
        </w:tc>
        <w:tc>
          <w:tcPr>
            <w:tcW w:w="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38,715</w:t>
            </w:r>
          </w:p>
        </w:tc>
        <w:tc>
          <w:tcPr>
            <w:tcW w:w="100" w:type="dxa"/>
            <w:vAlign w:val="bottom"/>
            <w:shd w:val="clear" w:color="auto" w:fill="CFF0FC"/>
          </w:tcPr>
          <w:p>
            <w:pPr>
              <w:spacing w:after="0"/>
              <w:rPr>
                <w:sz w:val="18"/>
                <w:szCs w:val="18"/>
                <w:color w:val="auto"/>
              </w:rPr>
            </w:pPr>
          </w:p>
        </w:tc>
      </w:tr>
      <w:tr>
        <w:trPr>
          <w:trHeight w:val="207"/>
        </w:trPr>
        <w:tc>
          <w:tcPr>
            <w:tcW w:w="9360" w:type="dxa"/>
            <w:vAlign w:val="bottom"/>
          </w:tcPr>
          <w:p>
            <w:pPr>
              <w:ind w:left="260"/>
              <w:spacing w:after="0"/>
              <w:rPr>
                <w:sz w:val="20"/>
                <w:szCs w:val="20"/>
                <w:color w:val="auto"/>
              </w:rPr>
            </w:pPr>
            <w:r>
              <w:rPr>
                <w:rFonts w:ascii="Arial" w:cs="Arial" w:eastAsia="Arial" w:hAnsi="Arial"/>
                <w:sz w:val="16"/>
                <w:szCs w:val="16"/>
                <w:color w:val="auto"/>
              </w:rPr>
              <w:t>Less: Net Equity in Windcat Workboats, net of cash sold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15,790</w:t>
            </w:r>
          </w:p>
        </w:tc>
        <w:tc>
          <w:tcPr>
            <w:tcW w:w="100" w:type="dxa"/>
            <w:vAlign w:val="bottom"/>
          </w:tcPr>
          <w:p>
            <w:pPr>
              <w:spacing w:after="0"/>
              <w:rPr>
                <w:sz w:val="17"/>
                <w:szCs w:val="17"/>
                <w:color w:val="auto"/>
              </w:rPr>
            </w:pPr>
          </w:p>
        </w:tc>
      </w:tr>
      <w:tr>
        <w:trPr>
          <w:trHeight w:val="219"/>
        </w:trPr>
        <w:tc>
          <w:tcPr>
            <w:tcW w:w="9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Less: January Income on Discontinued Operations</w:t>
            </w: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FF0FC"/>
          </w:tcPr>
          <w:p>
            <w:pPr>
              <w:spacing w:after="0"/>
              <w:rPr>
                <w:sz w:val="19"/>
                <w:szCs w:val="19"/>
                <w:color w:val="auto"/>
              </w:rPr>
            </w:pPr>
          </w:p>
        </w:tc>
      </w:tr>
      <w:tr>
        <w:trPr>
          <w:trHeight w:val="207"/>
        </w:trPr>
        <w:tc>
          <w:tcPr>
            <w:tcW w:w="9360" w:type="dxa"/>
            <w:vAlign w:val="bottom"/>
          </w:tcPr>
          <w:p>
            <w:pPr>
              <w:ind w:left="260"/>
              <w:spacing w:after="0"/>
              <w:rPr>
                <w:sz w:val="20"/>
                <w:szCs w:val="20"/>
                <w:color w:val="auto"/>
              </w:rPr>
            </w:pPr>
            <w:r>
              <w:rPr>
                <w:rFonts w:ascii="Arial" w:cs="Arial" w:eastAsia="Arial" w:hAnsi="Arial"/>
                <w:sz w:val="16"/>
                <w:szCs w:val="16"/>
                <w:b w:val="1"/>
                <w:bCs w:val="1"/>
                <w:color w:val="auto"/>
              </w:rPr>
              <w:t>Gain on Sale of Windcat Workboats</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22,756</w:t>
            </w:r>
          </w:p>
        </w:tc>
        <w:tc>
          <w:tcPr>
            <w:tcW w:w="100" w:type="dxa"/>
            <w:vAlign w:val="bottom"/>
          </w:tcPr>
          <w:p>
            <w:pPr>
              <w:spacing w:after="0"/>
              <w:rPr>
                <w:sz w:val="17"/>
                <w:szCs w:val="17"/>
                <w:color w:val="auto"/>
              </w:rPr>
            </w:pPr>
          </w:p>
        </w:tc>
      </w:tr>
      <w:tr>
        <w:trPr>
          <w:trHeight w:val="20"/>
        </w:trPr>
        <w:tc>
          <w:tcPr>
            <w:tcW w:w="9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left="760"/>
        <w:spacing w:after="0"/>
        <w:rPr>
          <w:sz w:val="20"/>
          <w:szCs w:val="20"/>
          <w:color w:val="auto"/>
        </w:rPr>
      </w:pPr>
      <w:r>
        <w:rPr>
          <w:rFonts w:ascii="Arial" w:cs="Arial" w:eastAsia="Arial" w:hAnsi="Arial"/>
          <w:sz w:val="22"/>
          <w:szCs w:val="22"/>
          <w:color w:val="222222"/>
        </w:rPr>
        <w:t>See “Note 13. Discontinued Operations” for additional information on the sale of Windcat Workboats.</w:t>
      </w:r>
    </w:p>
    <w:p>
      <w:pPr>
        <w:spacing w:after="0" w:line="227" w:lineRule="exact"/>
        <w:rPr>
          <w:sz w:val="20"/>
          <w:szCs w:val="20"/>
          <w:color w:val="auto"/>
        </w:rPr>
      </w:pPr>
    </w:p>
    <w:p>
      <w:pPr>
        <w:ind w:left="760" w:hanging="752"/>
        <w:spacing w:after="0"/>
        <w:tabs>
          <w:tab w:leader="none" w:pos="7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INVESTMENTS, AT EQUITY AND ADVANCES TO 50% OR LESS OWNED </w:t>
      </w:r>
      <w:r>
        <w:rPr>
          <w:rFonts w:ascii="Arial" w:cs="Arial" w:eastAsia="Arial" w:hAnsi="Arial"/>
          <w:sz w:val="22"/>
          <w:szCs w:val="22"/>
          <w:b w:val="1"/>
          <w:bCs w:val="1"/>
          <w:color w:val="222222"/>
        </w:rPr>
        <w:t>COMPANIES</w:t>
      </w:r>
    </w:p>
    <w:p>
      <w:pPr>
        <w:spacing w:after="0" w:line="145" w:lineRule="exact"/>
        <w:rPr>
          <w:sz w:val="20"/>
          <w:szCs w:val="20"/>
          <w:color w:val="auto"/>
        </w:rPr>
      </w:pPr>
    </w:p>
    <w:p>
      <w:pPr>
        <w:ind w:right="20" w:firstLine="749"/>
        <w:spacing w:after="0" w:line="250" w:lineRule="auto"/>
        <w:rPr>
          <w:sz w:val="20"/>
          <w:szCs w:val="20"/>
          <w:color w:val="auto"/>
        </w:rPr>
      </w:pPr>
      <w:r>
        <w:rPr>
          <w:rFonts w:ascii="Arial" w:cs="Arial" w:eastAsia="Arial" w:hAnsi="Arial"/>
          <w:sz w:val="22"/>
          <w:szCs w:val="22"/>
          <w:color w:val="auto"/>
        </w:rPr>
        <w:t>Investments, at equity, and advances to 50% or less owned companies as of September 30, 2022 and December 31, 2021 were as follows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00" w:type="dxa"/>
            <w:vAlign w:val="bottom"/>
            <w:tcBorders>
              <w:bottom w:val="single" w:sz="8" w:color="CFF0FC"/>
            </w:tcBorders>
          </w:tcPr>
          <w:p>
            <w:pPr>
              <w:spacing w:after="0"/>
              <w:rPr>
                <w:sz w:val="18"/>
                <w:szCs w:val="18"/>
                <w:color w:val="auto"/>
              </w:rPr>
            </w:pPr>
          </w:p>
        </w:tc>
        <w:tc>
          <w:tcPr>
            <w:tcW w:w="18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Ownership</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0FC"/>
            </w:tcBorders>
          </w:tcPr>
          <w:p>
            <w:pPr>
              <w:spacing w:after="0"/>
              <w:rPr>
                <w:sz w:val="18"/>
                <w:szCs w:val="18"/>
                <w:color w:val="auto"/>
              </w:rPr>
            </w:pPr>
          </w:p>
        </w:tc>
      </w:tr>
      <w:tr>
        <w:trPr>
          <w:trHeight w:val="213"/>
        </w:trPr>
        <w:tc>
          <w:tcPr>
            <w:tcW w:w="5000" w:type="dxa"/>
            <w:vAlign w:val="bottom"/>
            <w:shd w:val="clear" w:color="auto" w:fill="CFF0FC"/>
          </w:tcPr>
          <w:p>
            <w:pPr>
              <w:spacing w:after="0" w:line="212" w:lineRule="exact"/>
              <w:rPr>
                <w:sz w:val="20"/>
                <w:szCs w:val="20"/>
                <w:color w:val="auto"/>
              </w:rPr>
            </w:pPr>
            <w:r>
              <w:rPr>
                <w:rFonts w:ascii="Arial" w:cs="Arial" w:eastAsia="Arial" w:hAnsi="Arial"/>
                <w:sz w:val="15"/>
                <w:szCs w:val="15"/>
                <w:color w:val="auto"/>
              </w:rPr>
              <w:t xml:space="preserve">MexMar </w:t>
            </w:r>
            <w:r>
              <w:rPr>
                <w:rFonts w:ascii="Arial" w:cs="Arial" w:eastAsia="Arial" w:hAnsi="Arial"/>
                <w:sz w:val="24"/>
                <w:szCs w:val="24"/>
                <w:color w:val="auto"/>
                <w:vertAlign w:val="superscript"/>
              </w:rPr>
              <w:t>(1)</w:t>
            </w:r>
          </w:p>
        </w:tc>
        <w:tc>
          <w:tcPr>
            <w:tcW w:w="2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49.0%</w:t>
            </w:r>
          </w:p>
        </w:tc>
        <w:tc>
          <w:tcPr>
            <w:tcW w:w="1380" w:type="dxa"/>
            <w:vAlign w:val="bottom"/>
            <w:gridSpan w:val="2"/>
            <w:shd w:val="clear" w:color="auto" w:fill="CFF0FC"/>
          </w:tcPr>
          <w:p>
            <w:pPr>
              <w:jc w:val="right"/>
              <w:ind w:right="1119"/>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59,940</w:t>
            </w: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line="216" w:lineRule="exact"/>
              <w:rPr>
                <w:sz w:val="20"/>
                <w:szCs w:val="20"/>
                <w:color w:val="auto"/>
              </w:rPr>
            </w:pPr>
            <w:r>
              <w:rPr>
                <w:rFonts w:ascii="Arial" w:cs="Arial" w:eastAsia="Arial" w:hAnsi="Arial"/>
                <w:sz w:val="15"/>
                <w:szCs w:val="15"/>
                <w:color w:val="auto"/>
              </w:rPr>
              <w:t xml:space="preserve">SEACOR Marlin </w:t>
            </w:r>
            <w:r>
              <w:rPr>
                <w:rFonts w:ascii="Arial" w:cs="Arial" w:eastAsia="Arial" w:hAnsi="Arial"/>
                <w:sz w:val="25"/>
                <w:szCs w:val="25"/>
                <w:color w:val="auto"/>
                <w:vertAlign w:val="superscript"/>
              </w:rPr>
              <w:t>(2)</w:t>
            </w:r>
          </w:p>
        </w:tc>
        <w:tc>
          <w:tcPr>
            <w:tcW w:w="2060" w:type="dxa"/>
            <w:vAlign w:val="bottom"/>
            <w:gridSpan w:val="2"/>
          </w:tcPr>
          <w:p>
            <w:pPr>
              <w:jc w:val="right"/>
              <w:ind w:right="80"/>
              <w:spacing w:after="0"/>
              <w:rPr>
                <w:sz w:val="20"/>
                <w:szCs w:val="20"/>
                <w:color w:val="auto"/>
              </w:rPr>
            </w:pPr>
            <w:r>
              <w:rPr>
                <w:rFonts w:ascii="Arial" w:cs="Arial" w:eastAsia="Arial" w:hAnsi="Arial"/>
                <w:sz w:val="16"/>
                <w:szCs w:val="16"/>
                <w:color w:val="auto"/>
              </w:rPr>
              <w:t>49.0%</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6,958</w:t>
            </w:r>
          </w:p>
        </w:tc>
        <w:tc>
          <w:tcPr>
            <w:tcW w:w="10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line="216" w:lineRule="exact"/>
              <w:rPr>
                <w:sz w:val="20"/>
                <w:szCs w:val="20"/>
                <w:color w:val="auto"/>
              </w:rPr>
            </w:pPr>
            <w:r>
              <w:rPr>
                <w:rFonts w:ascii="Arial" w:cs="Arial" w:eastAsia="Arial" w:hAnsi="Arial"/>
                <w:sz w:val="15"/>
                <w:szCs w:val="15"/>
                <w:color w:val="auto"/>
              </w:rPr>
              <w:t xml:space="preserve">Offshore Vessel Holdings </w:t>
            </w:r>
            <w:r>
              <w:rPr>
                <w:rFonts w:ascii="Arial" w:cs="Arial" w:eastAsia="Arial" w:hAnsi="Arial"/>
                <w:sz w:val="25"/>
                <w:szCs w:val="25"/>
                <w:color w:val="auto"/>
                <w:vertAlign w:val="superscript"/>
              </w:rPr>
              <w:t>(1)</w:t>
            </w:r>
          </w:p>
        </w:tc>
        <w:tc>
          <w:tcPr>
            <w:tcW w:w="2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49.0%</w:t>
            </w:r>
          </w:p>
        </w:tc>
        <w:tc>
          <w:tcPr>
            <w:tcW w:w="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1,847</w:t>
            </w:r>
          </w:p>
        </w:tc>
        <w:tc>
          <w:tcPr>
            <w:tcW w:w="100" w:type="dxa"/>
            <w:vAlign w:val="bottom"/>
            <w:shd w:val="clear" w:color="auto" w:fill="CFF0FC"/>
          </w:tcPr>
          <w:p>
            <w:pPr>
              <w:spacing w:after="0"/>
              <w:rPr>
                <w:sz w:val="18"/>
                <w:szCs w:val="18"/>
                <w:color w:val="auto"/>
              </w:rPr>
            </w:pPr>
          </w:p>
        </w:tc>
      </w:tr>
      <w:tr>
        <w:trPr>
          <w:trHeight w:val="213"/>
        </w:trPr>
        <w:tc>
          <w:tcPr>
            <w:tcW w:w="5000" w:type="dxa"/>
            <w:vAlign w:val="bottom"/>
          </w:tcPr>
          <w:p>
            <w:pPr>
              <w:spacing w:after="0"/>
              <w:rPr>
                <w:sz w:val="20"/>
                <w:szCs w:val="20"/>
                <w:color w:val="auto"/>
              </w:rPr>
            </w:pPr>
            <w:r>
              <w:rPr>
                <w:rFonts w:ascii="Arial" w:cs="Arial" w:eastAsia="Arial" w:hAnsi="Arial"/>
                <w:sz w:val="16"/>
                <w:szCs w:val="16"/>
                <w:color w:val="auto"/>
              </w:rPr>
              <w:t>Seabulk Angola</w:t>
            </w:r>
          </w:p>
        </w:tc>
        <w:tc>
          <w:tcPr>
            <w:tcW w:w="2060" w:type="dxa"/>
            <w:vAlign w:val="bottom"/>
            <w:gridSpan w:val="2"/>
          </w:tcPr>
          <w:p>
            <w:pPr>
              <w:jc w:val="right"/>
              <w:ind w:right="80"/>
              <w:spacing w:after="0"/>
              <w:rPr>
                <w:sz w:val="20"/>
                <w:szCs w:val="20"/>
                <w:color w:val="auto"/>
              </w:rPr>
            </w:pPr>
            <w:r>
              <w:rPr>
                <w:rFonts w:ascii="Arial" w:cs="Arial" w:eastAsia="Arial" w:hAnsi="Arial"/>
                <w:sz w:val="16"/>
                <w:szCs w:val="16"/>
                <w:color w:val="auto"/>
              </w:rPr>
              <w:t>49.0%</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1,688</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1,081</w:t>
            </w:r>
          </w:p>
        </w:tc>
        <w:tc>
          <w:tcPr>
            <w:tcW w:w="100" w:type="dxa"/>
            <w:vAlign w:val="bottom"/>
          </w:tcPr>
          <w:p>
            <w:pPr>
              <w:spacing w:after="0"/>
              <w:rPr>
                <w:sz w:val="18"/>
                <w:szCs w:val="18"/>
                <w:color w:val="auto"/>
              </w:rPr>
            </w:pPr>
          </w:p>
        </w:tc>
      </w:tr>
      <w:tr>
        <w:trPr>
          <w:trHeight w:val="219"/>
        </w:trPr>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SEACOR Arabia</w:t>
            </w:r>
          </w:p>
        </w:tc>
        <w:tc>
          <w:tcPr>
            <w:tcW w:w="2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45.0%</w:t>
            </w: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1,821</w:t>
            </w:r>
          </w:p>
        </w:tc>
        <w:tc>
          <w:tcPr>
            <w:tcW w:w="100" w:type="dxa"/>
            <w:vAlign w:val="bottom"/>
            <w:shd w:val="clear" w:color="auto" w:fill="CFF0FC"/>
          </w:tcPr>
          <w:p>
            <w:pPr>
              <w:spacing w:after="0"/>
              <w:rPr>
                <w:sz w:val="19"/>
                <w:szCs w:val="19"/>
                <w:color w:val="auto"/>
              </w:rPr>
            </w:pPr>
          </w:p>
        </w:tc>
      </w:tr>
      <w:tr>
        <w:trPr>
          <w:trHeight w:val="213"/>
        </w:trPr>
        <w:tc>
          <w:tcPr>
            <w:tcW w:w="5000" w:type="dxa"/>
            <w:vAlign w:val="bottom"/>
          </w:tcPr>
          <w:p>
            <w:pPr>
              <w:spacing w:after="0"/>
              <w:rPr>
                <w:sz w:val="20"/>
                <w:szCs w:val="20"/>
                <w:color w:val="auto"/>
              </w:rPr>
            </w:pPr>
            <w:r>
              <w:rPr>
                <w:rFonts w:ascii="Arial" w:cs="Arial" w:eastAsia="Arial" w:hAnsi="Arial"/>
                <w:sz w:val="16"/>
                <w:szCs w:val="16"/>
                <w:color w:val="auto"/>
              </w:rPr>
              <w:t>Other</w:t>
            </w:r>
          </w:p>
        </w:tc>
        <w:tc>
          <w:tcPr>
            <w:tcW w:w="1860" w:type="dxa"/>
            <w:vAlign w:val="bottom"/>
          </w:tcPr>
          <w:p>
            <w:pPr>
              <w:jc w:val="right"/>
              <w:spacing w:after="0"/>
              <w:rPr>
                <w:sz w:val="20"/>
                <w:szCs w:val="20"/>
                <w:color w:val="auto"/>
              </w:rPr>
            </w:pPr>
            <w:r>
              <w:rPr>
                <w:rFonts w:ascii="Arial" w:cs="Arial" w:eastAsia="Arial" w:hAnsi="Arial"/>
                <w:sz w:val="16"/>
                <w:szCs w:val="16"/>
                <w:color w:val="auto"/>
              </w:rPr>
              <w:t>20.0% - 50.0%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r>
      <w:tr>
        <w:trPr>
          <w:trHeight w:val="209"/>
        </w:trPr>
        <w:tc>
          <w:tcPr>
            <w:tcW w:w="50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11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1,901</w:t>
            </w:r>
          </w:p>
        </w:tc>
        <w:tc>
          <w:tcPr>
            <w:tcW w:w="24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71,727</w:t>
            </w:r>
          </w:p>
        </w:tc>
        <w:tc>
          <w:tcPr>
            <w:tcW w:w="10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0" w:lineRule="exact"/>
        <w:rPr>
          <w:sz w:val="20"/>
          <w:szCs w:val="20"/>
          <w:color w:val="auto"/>
        </w:rPr>
      </w:pPr>
    </w:p>
    <w:p>
      <w:pPr>
        <w:ind w:left="760" w:hanging="752"/>
        <w:spacing w:after="0"/>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On September 29, 2022, the Company sold its ownership in this joint venture to the majority shareholder. See details below.</w:t>
      </w:r>
    </w:p>
    <w:p>
      <w:pPr>
        <w:spacing w:after="0" w:line="13" w:lineRule="exact"/>
        <w:rPr>
          <w:rFonts w:ascii="Arial" w:cs="Arial" w:eastAsia="Arial" w:hAnsi="Arial"/>
          <w:sz w:val="14"/>
          <w:szCs w:val="14"/>
          <w:color w:val="auto"/>
        </w:rPr>
      </w:pPr>
    </w:p>
    <w:p>
      <w:pPr>
        <w:ind w:left="760" w:right="20" w:hanging="752"/>
        <w:spacing w:after="0" w:line="237" w:lineRule="auto"/>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On September 29, 2022, the Company sold an AHTS in exchange for the remaining equity interests in SEACOR Marlin LLC that it did not already own and consolidated the net assets thereof. See details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9512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33"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On September 29, 2022, SEACOR Marine and certain of its subsidiaries, on the one hand, and Operadora de Transportes Marítimos, S.A. de C.V. (“OTM”), CME Drillship Holdings DAC (“CME Ireland”), and Offshore Vessels Holding, S.A.P.I. de C.V. (“OVH”), on the other hand, entered into a Framework Agreement (the “Framework Agreement”). OTM and CME Ireland are affiliates of Proyectos Globales de Energía y Servicios CME, S.A. de C.V. (“CME”). Alfredo Miguel Bejos is the President and Chief Executive Officer of CME and also serves as a member of the board of directors of SEACOR Marine.</w:t>
      </w:r>
    </w:p>
    <w:p>
      <w:pPr>
        <w:spacing w:after="0" w:line="107"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Prior to the closing of the Framework Agreement Transactions (defined below), the Company owned 49% of each of MexMar and OVH through SEACOR Marine International LLC, a wholly-owned subsidiary of SEACOR Marine (“SEACOR Marine International”), and the remaining 51% ownership interests were held by OTM. The Company also owned a minority interest in SEACOR Marlin LLC (“SEACOR Marlin LLC”), the owner of the SEACOR Marlin PSV, and the remaining ownership interests of SEACOR Marlin LLC were held by MexMar.</w:t>
      </w:r>
    </w:p>
    <w:p>
      <w:pPr>
        <w:spacing w:after="0" w:line="147"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The Framework Agreement provided for, among other things, (i) the sale by SEACOR Marine LLC of all of the outstanding equity interests of SEACOR Marine International to OTM for a purchase price of $66.0 million in cash, (ii) the sale of the AHTS SEACOR Davis to CME Ireland in exchange for the remaining equity interests in SEACOR Marlin LLC, such that SEACOR Marlin LLC became a wholly-owned subsidiary of the Company, (iii) the transfer of a hybrid battery system from OVH to SEACOR Marine Capital as repayment in full of a certain vessel loan agreement provided by the Company to its former joint venture, and (iv) entry into a bareboat charter agreement between SEACOR Marlin LLC and MexMar (collectively, the “Framework Agreement Transactions”).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5" w:name="page16"/>
    <w:bookmarkEnd w:id="15"/>
    <w:p>
      <w:pPr>
        <w:jc w:val="both"/>
        <w:ind w:firstLine="749"/>
        <w:spacing w:after="0" w:line="287" w:lineRule="auto"/>
        <w:rPr>
          <w:sz w:val="20"/>
          <w:szCs w:val="20"/>
          <w:color w:val="auto"/>
        </w:rPr>
      </w:pPr>
      <w:r>
        <w:rPr>
          <w:rFonts w:ascii="Arial" w:cs="Arial" w:eastAsia="Arial" w:hAnsi="Arial"/>
          <w:sz w:val="19"/>
          <w:szCs w:val="19"/>
          <w:color w:val="auto"/>
        </w:rPr>
        <w:t>Each of the Framework Agreement Transactions was consummated on September 29, 2022. As a result of the Framework Agreement Transactions, the Company no longer owns any equity interest in either MexMar or in OVH, and the Company owns all of the equity interests in SEACOR Marlin LLC, which owns the PSV SEACOR Marlin. The Company recognized a gain on the sale of MexMar, OVH and other assets of approximately $0.8 million, calculated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60" w:type="dxa"/>
            <w:vAlign w:val="bottom"/>
            <w:tcBorders>
              <w:bottom w:val="single" w:sz="8" w:color="CFF0FC"/>
            </w:tcBorders>
          </w:tcPr>
          <w:p>
            <w:pPr>
              <w:spacing w:after="0"/>
              <w:rPr>
                <w:sz w:val="18"/>
                <w:szCs w:val="18"/>
                <w:color w:val="auto"/>
              </w:rPr>
            </w:pPr>
          </w:p>
        </w:tc>
        <w:tc>
          <w:tcPr>
            <w:tcW w:w="27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6"/>
              </w:rPr>
              <w:t>September 29, 2022</w:t>
            </w:r>
          </w:p>
        </w:tc>
        <w:tc>
          <w:tcPr>
            <w:tcW w:w="120" w:type="dxa"/>
            <w:vAlign w:val="bottom"/>
            <w:tcBorders>
              <w:bottom w:val="single" w:sz="8" w:color="CFF0FC"/>
            </w:tcBorders>
          </w:tcPr>
          <w:p>
            <w:pPr>
              <w:spacing w:after="0"/>
              <w:rPr>
                <w:sz w:val="18"/>
                <w:szCs w:val="18"/>
                <w:color w:val="auto"/>
              </w:rPr>
            </w:pPr>
          </w:p>
        </w:tc>
      </w:tr>
      <w:tr>
        <w:trPr>
          <w:trHeight w:val="213"/>
        </w:trPr>
        <w:tc>
          <w:tcPr>
            <w:tcW w:w="64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Cash Received</w:t>
            </w:r>
          </w:p>
        </w:tc>
        <w:tc>
          <w:tcPr>
            <w:tcW w:w="290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66,000</w:t>
            </w:r>
          </w:p>
        </w:tc>
        <w:tc>
          <w:tcPr>
            <w:tcW w:w="120" w:type="dxa"/>
            <w:vAlign w:val="bottom"/>
            <w:shd w:val="clear" w:color="auto" w:fill="CFF0FC"/>
          </w:tcPr>
          <w:p>
            <w:pPr>
              <w:spacing w:after="0"/>
              <w:rPr>
                <w:sz w:val="18"/>
                <w:szCs w:val="18"/>
                <w:color w:val="auto"/>
              </w:rPr>
            </w:pPr>
          </w:p>
        </w:tc>
      </w:tr>
      <w:tr>
        <w:trPr>
          <w:trHeight w:val="213"/>
        </w:trPr>
        <w:tc>
          <w:tcPr>
            <w:tcW w:w="6460" w:type="dxa"/>
            <w:vAlign w:val="bottom"/>
          </w:tcPr>
          <w:p>
            <w:pPr>
              <w:ind w:left="260"/>
              <w:spacing w:after="0"/>
              <w:rPr>
                <w:sz w:val="20"/>
                <w:szCs w:val="20"/>
                <w:color w:val="auto"/>
              </w:rPr>
            </w:pPr>
            <w:r>
              <w:rPr>
                <w:rFonts w:ascii="Arial" w:cs="Arial" w:eastAsia="Arial" w:hAnsi="Arial"/>
                <w:sz w:val="16"/>
                <w:szCs w:val="16"/>
                <w:color w:val="auto"/>
              </w:rPr>
              <w:t>51% ownership in SEACOR Marlin Joint Venture</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7,000</w:t>
            </w:r>
          </w:p>
        </w:tc>
        <w:tc>
          <w:tcPr>
            <w:tcW w:w="120" w:type="dxa"/>
            <w:vAlign w:val="bottom"/>
          </w:tcPr>
          <w:p>
            <w:pPr>
              <w:spacing w:after="0"/>
              <w:rPr>
                <w:sz w:val="18"/>
                <w:szCs w:val="18"/>
                <w:color w:val="auto"/>
              </w:rPr>
            </w:pPr>
          </w:p>
        </w:tc>
      </w:tr>
      <w:tr>
        <w:trPr>
          <w:trHeight w:val="219"/>
        </w:trPr>
        <w:tc>
          <w:tcPr>
            <w:tcW w:w="64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Hybrid Battery Equipment</w:t>
            </w:r>
          </w:p>
        </w:tc>
        <w:tc>
          <w:tcPr>
            <w:tcW w:w="2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1,394</w:t>
            </w:r>
          </w:p>
        </w:tc>
        <w:tc>
          <w:tcPr>
            <w:tcW w:w="120" w:type="dxa"/>
            <w:vAlign w:val="bottom"/>
            <w:shd w:val="clear" w:color="auto" w:fill="CFF0FC"/>
          </w:tcPr>
          <w:p>
            <w:pPr>
              <w:spacing w:after="0"/>
              <w:rPr>
                <w:sz w:val="19"/>
                <w:szCs w:val="19"/>
                <w:color w:val="auto"/>
              </w:rPr>
            </w:pPr>
          </w:p>
        </w:tc>
      </w:tr>
      <w:tr>
        <w:trPr>
          <w:trHeight w:val="213"/>
        </w:trPr>
        <w:tc>
          <w:tcPr>
            <w:tcW w:w="64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Less: Transaction Fees and other Costs</w:t>
            </w:r>
          </w:p>
        </w:tc>
        <w:tc>
          <w:tcPr>
            <w:tcW w:w="27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1,159</w:t>
            </w:r>
          </w:p>
        </w:tc>
        <w:tc>
          <w:tcPr>
            <w:tcW w:w="120" w:type="dxa"/>
            <w:vAlign w:val="bottom"/>
            <w:tcBorders>
              <w:bottom w:val="single" w:sz="8" w:color="CFF0FC"/>
            </w:tcBorders>
          </w:tcPr>
          <w:p>
            <w:pPr>
              <w:spacing w:after="0"/>
              <w:rPr>
                <w:sz w:val="18"/>
                <w:szCs w:val="18"/>
                <w:color w:val="auto"/>
              </w:rPr>
            </w:pPr>
          </w:p>
        </w:tc>
      </w:tr>
      <w:tr>
        <w:trPr>
          <w:trHeight w:val="213"/>
        </w:trPr>
        <w:tc>
          <w:tcPr>
            <w:tcW w:w="64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Net Proceeds</w:t>
            </w:r>
          </w:p>
        </w:tc>
        <w:tc>
          <w:tcPr>
            <w:tcW w:w="2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73,235</w:t>
            </w:r>
          </w:p>
        </w:tc>
        <w:tc>
          <w:tcPr>
            <w:tcW w:w="120" w:type="dxa"/>
            <w:vAlign w:val="bottom"/>
            <w:shd w:val="clear" w:color="auto" w:fill="CFF0FC"/>
          </w:tcPr>
          <w:p>
            <w:pPr>
              <w:spacing w:after="0"/>
              <w:rPr>
                <w:sz w:val="18"/>
                <w:szCs w:val="18"/>
                <w:color w:val="auto"/>
              </w:rPr>
            </w:pPr>
          </w:p>
        </w:tc>
      </w:tr>
      <w:tr>
        <w:trPr>
          <w:trHeight w:val="213"/>
        </w:trPr>
        <w:tc>
          <w:tcPr>
            <w:tcW w:w="6460" w:type="dxa"/>
            <w:vAlign w:val="bottom"/>
          </w:tcPr>
          <w:p>
            <w:pPr>
              <w:ind w:left="260"/>
              <w:spacing w:after="0"/>
              <w:rPr>
                <w:sz w:val="20"/>
                <w:szCs w:val="20"/>
                <w:color w:val="auto"/>
              </w:rPr>
            </w:pPr>
            <w:r>
              <w:rPr>
                <w:rFonts w:ascii="Arial" w:cs="Arial" w:eastAsia="Arial" w:hAnsi="Arial"/>
                <w:sz w:val="16"/>
                <w:szCs w:val="16"/>
                <w:color w:val="auto"/>
              </w:rPr>
              <w:t>Less: Net Equity in MexMar and OVH Joint Ventures</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65,546</w:t>
            </w:r>
          </w:p>
        </w:tc>
        <w:tc>
          <w:tcPr>
            <w:tcW w:w="120" w:type="dxa"/>
            <w:vAlign w:val="bottom"/>
          </w:tcPr>
          <w:p>
            <w:pPr>
              <w:spacing w:after="0"/>
              <w:rPr>
                <w:sz w:val="18"/>
                <w:szCs w:val="18"/>
                <w:color w:val="auto"/>
              </w:rPr>
            </w:pPr>
          </w:p>
        </w:tc>
      </w:tr>
      <w:tr>
        <w:trPr>
          <w:trHeight w:val="219"/>
        </w:trPr>
        <w:tc>
          <w:tcPr>
            <w:tcW w:w="64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Less: Net Book Value of SEACOR Davis</w:t>
            </w:r>
          </w:p>
        </w:tc>
        <w:tc>
          <w:tcPr>
            <w:tcW w:w="2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5,507</w:t>
            </w:r>
          </w:p>
        </w:tc>
        <w:tc>
          <w:tcPr>
            <w:tcW w:w="120" w:type="dxa"/>
            <w:vAlign w:val="bottom"/>
            <w:shd w:val="clear" w:color="auto" w:fill="CFF0FC"/>
          </w:tcPr>
          <w:p>
            <w:pPr>
              <w:spacing w:after="0"/>
              <w:rPr>
                <w:sz w:val="19"/>
                <w:szCs w:val="19"/>
                <w:color w:val="auto"/>
              </w:rPr>
            </w:pPr>
          </w:p>
        </w:tc>
      </w:tr>
      <w:tr>
        <w:trPr>
          <w:trHeight w:val="213"/>
        </w:trPr>
        <w:tc>
          <w:tcPr>
            <w:tcW w:w="64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Less: OVH Note Receivable</w:t>
            </w:r>
          </w:p>
        </w:tc>
        <w:tc>
          <w:tcPr>
            <w:tcW w:w="27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1,394</w:t>
            </w:r>
          </w:p>
        </w:tc>
        <w:tc>
          <w:tcPr>
            <w:tcW w:w="120" w:type="dxa"/>
            <w:vAlign w:val="bottom"/>
            <w:tcBorders>
              <w:bottom w:val="single" w:sz="8" w:color="CFF0FC"/>
            </w:tcBorders>
          </w:tcPr>
          <w:p>
            <w:pPr>
              <w:spacing w:after="0"/>
              <w:rPr>
                <w:sz w:val="18"/>
                <w:szCs w:val="18"/>
                <w:color w:val="auto"/>
              </w:rPr>
            </w:pPr>
          </w:p>
        </w:tc>
      </w:tr>
      <w:tr>
        <w:trPr>
          <w:trHeight w:val="210"/>
        </w:trPr>
        <w:tc>
          <w:tcPr>
            <w:tcW w:w="64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b w:val="1"/>
                <w:bCs w:val="1"/>
                <w:color w:val="auto"/>
              </w:rPr>
              <w:t>Gain on Sale of MexMar, OVH and Other Assets</w:t>
            </w:r>
          </w:p>
        </w:tc>
        <w:tc>
          <w:tcPr>
            <w:tcW w:w="27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788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9" w:lineRule="exact"/>
        <w:rPr>
          <w:sz w:val="20"/>
          <w:szCs w:val="20"/>
          <w:color w:val="auto"/>
        </w:rPr>
      </w:pPr>
    </w:p>
    <w:p>
      <w:pPr>
        <w:ind w:left="760" w:hanging="752"/>
        <w:spacing w:after="0"/>
        <w:tabs>
          <w:tab w:leader="none" w:pos="76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LONG-TERM DEBT</w:t>
      </w:r>
    </w:p>
    <w:p>
      <w:pPr>
        <w:spacing w:after="0" w:line="172" w:lineRule="exact"/>
        <w:rPr>
          <w:sz w:val="20"/>
          <w:szCs w:val="20"/>
          <w:color w:val="auto"/>
        </w:rPr>
      </w:pPr>
    </w:p>
    <w:p>
      <w:pPr>
        <w:ind w:right="20" w:firstLine="749"/>
        <w:spacing w:after="0" w:line="250" w:lineRule="auto"/>
        <w:rPr>
          <w:sz w:val="20"/>
          <w:szCs w:val="20"/>
          <w:color w:val="auto"/>
        </w:rPr>
      </w:pPr>
      <w:r>
        <w:rPr>
          <w:rFonts w:ascii="Arial" w:cs="Arial" w:eastAsia="Arial" w:hAnsi="Arial"/>
          <w:sz w:val="22"/>
          <w:szCs w:val="22"/>
          <w:color w:val="auto"/>
        </w:rPr>
        <w:t>The Company’s long-term debt obligations as of September 30, 2022 and December 31, 2021 were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0"/>
              </w:rPr>
              <w:t>September 30, 2022</w:t>
            </w:r>
          </w:p>
        </w:tc>
        <w:tc>
          <w:tcPr>
            <w:tcW w:w="12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1"/>
              </w:rPr>
              <w:t>December 31, 2021</w:t>
            </w:r>
          </w:p>
        </w:tc>
      </w:tr>
      <w:tr>
        <w:trPr>
          <w:trHeight w:val="215"/>
        </w:trPr>
        <w:tc>
          <w:tcPr>
            <w:tcW w:w="7540" w:type="dxa"/>
            <w:vAlign w:val="bottom"/>
          </w:tcPr>
          <w:p>
            <w:pPr>
              <w:spacing w:after="0" w:line="216" w:lineRule="exact"/>
              <w:rPr>
                <w:sz w:val="20"/>
                <w:szCs w:val="20"/>
                <w:color w:val="auto"/>
              </w:rPr>
            </w:pPr>
            <w:r>
              <w:rPr>
                <w:rFonts w:ascii="Arial" w:cs="Arial" w:eastAsia="Arial" w:hAnsi="Arial"/>
                <w:sz w:val="15"/>
                <w:szCs w:val="15"/>
                <w:i w:val="1"/>
                <w:iCs w:val="1"/>
                <w:color w:val="auto"/>
              </w:rPr>
              <w:t>Recourse long-term debt</w:t>
            </w:r>
            <w:r>
              <w:rPr>
                <w:rFonts w:ascii="Arial" w:cs="Arial" w:eastAsia="Arial" w:hAnsi="Arial"/>
                <w:sz w:val="24"/>
                <w:szCs w:val="24"/>
                <w:i w:val="1"/>
                <w:iCs w:val="1"/>
                <w:color w:val="auto"/>
                <w:vertAlign w:val="superscript"/>
              </w:rPr>
              <w:t>(1)</w:t>
            </w:r>
            <w:r>
              <w:rPr>
                <w:rFonts w:ascii="Arial" w:cs="Arial" w:eastAsia="Arial" w:hAnsi="Arial"/>
                <w:sz w:val="15"/>
                <w:szCs w:val="15"/>
                <w:i w:val="1"/>
                <w:iCs w:val="1"/>
                <w:color w:val="auto"/>
              </w:rPr>
              <w:t>:</w:t>
            </w: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Old Convertible Notes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125,000</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125,000</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260"/>
              <w:spacing w:after="0" w:line="216" w:lineRule="exact"/>
              <w:rPr>
                <w:sz w:val="20"/>
                <w:szCs w:val="20"/>
                <w:color w:val="auto"/>
              </w:rPr>
            </w:pPr>
            <w:r>
              <w:rPr>
                <w:rFonts w:ascii="Arial" w:cs="Arial" w:eastAsia="Arial" w:hAnsi="Arial"/>
                <w:sz w:val="15"/>
                <w:szCs w:val="15"/>
                <w:color w:val="auto"/>
              </w:rPr>
              <w:t xml:space="preserve">SEACOR Marine Foreign Holdings Credit Facility </w:t>
            </w:r>
            <w:r>
              <w:rPr>
                <w:rFonts w:ascii="Arial" w:cs="Arial" w:eastAsia="Arial" w:hAnsi="Arial"/>
                <w:sz w:val="25"/>
                <w:szCs w:val="25"/>
                <w:color w:val="auto"/>
                <w:vertAlign w:val="superscript"/>
              </w:rPr>
              <w:t>(3)</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71,313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86,470</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Sea-Cat Crewzer III Term Loan Facility</w:t>
            </w: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16,703</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19,178</w:t>
            </w:r>
          </w:p>
        </w:tc>
        <w:tc>
          <w:tcPr>
            <w:tcW w:w="100" w:type="dxa"/>
            <w:vAlign w:val="bottom"/>
            <w:shd w:val="clear" w:color="auto" w:fill="CFF0FC"/>
          </w:tcPr>
          <w:p>
            <w:pPr>
              <w:spacing w:after="0"/>
              <w:rPr>
                <w:sz w:val="18"/>
                <w:szCs w:val="18"/>
                <w:color w:val="auto"/>
              </w:rPr>
            </w:pPr>
          </w:p>
        </w:tc>
      </w:tr>
      <w:tr>
        <w:trPr>
          <w:trHeight w:val="213"/>
        </w:trPr>
        <w:tc>
          <w:tcPr>
            <w:tcW w:w="7540" w:type="dxa"/>
            <w:vAlign w:val="bottom"/>
          </w:tcPr>
          <w:p>
            <w:pPr>
              <w:ind w:left="260"/>
              <w:spacing w:after="0"/>
              <w:rPr>
                <w:sz w:val="20"/>
                <w:szCs w:val="20"/>
                <w:color w:val="auto"/>
              </w:rPr>
            </w:pPr>
            <w:r>
              <w:rPr>
                <w:rFonts w:ascii="Arial" w:cs="Arial" w:eastAsia="Arial" w:hAnsi="Arial"/>
                <w:sz w:val="16"/>
                <w:szCs w:val="16"/>
                <w:color w:val="auto"/>
              </w:rPr>
              <w:t>SEACOR Offshore Delta (f/k/a SEACOSCO) Acquisition Debt</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16,205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18,705</w:t>
            </w:r>
          </w:p>
        </w:tc>
        <w:tc>
          <w:tcPr>
            <w:tcW w:w="100" w:type="dxa"/>
            <w:vAlign w:val="bottom"/>
          </w:tcPr>
          <w:p>
            <w:pPr>
              <w:spacing w:after="0"/>
              <w:rPr>
                <w:sz w:val="18"/>
                <w:szCs w:val="18"/>
                <w:color w:val="auto"/>
              </w:rPr>
            </w:pPr>
          </w:p>
        </w:tc>
      </w:tr>
      <w:tr>
        <w:trPr>
          <w:trHeight w:val="219"/>
        </w:trPr>
        <w:tc>
          <w:tcPr>
            <w:tcW w:w="75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SEACOR Delta (f/k/a SEACOSCO) Shipyard Financing</w:t>
            </w:r>
          </w:p>
        </w:tc>
        <w:tc>
          <w:tcPr>
            <w:tcW w:w="1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79,759</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86,316</w:t>
            </w:r>
          </w:p>
        </w:tc>
        <w:tc>
          <w:tcPr>
            <w:tcW w:w="100" w:type="dxa"/>
            <w:vAlign w:val="bottom"/>
            <w:shd w:val="clear" w:color="auto" w:fill="CFF0FC"/>
          </w:tcPr>
          <w:p>
            <w:pPr>
              <w:spacing w:after="0"/>
              <w:rPr>
                <w:sz w:val="19"/>
                <w:szCs w:val="19"/>
                <w:color w:val="auto"/>
              </w:rPr>
            </w:pPr>
          </w:p>
        </w:tc>
      </w:tr>
      <w:tr>
        <w:trPr>
          <w:trHeight w:val="213"/>
        </w:trPr>
        <w:tc>
          <w:tcPr>
            <w:tcW w:w="7540" w:type="dxa"/>
            <w:vAlign w:val="bottom"/>
          </w:tcPr>
          <w:p>
            <w:pPr>
              <w:ind w:left="260"/>
              <w:spacing w:after="0"/>
              <w:rPr>
                <w:sz w:val="20"/>
                <w:szCs w:val="20"/>
                <w:color w:val="auto"/>
              </w:rPr>
            </w:pPr>
            <w:r>
              <w:rPr>
                <w:rFonts w:ascii="Arial" w:cs="Arial" w:eastAsia="Arial" w:hAnsi="Arial"/>
                <w:sz w:val="16"/>
                <w:szCs w:val="16"/>
                <w:color w:val="auto"/>
              </w:rPr>
              <w:t>SEACOR Alpine Shipyard Financing</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28,484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29,734</w:t>
            </w:r>
          </w:p>
        </w:tc>
        <w:tc>
          <w:tcPr>
            <w:tcW w:w="100" w:type="dxa"/>
            <w:vAlign w:val="bottom"/>
          </w:tcPr>
          <w:p>
            <w:pPr>
              <w:spacing w:after="0"/>
              <w:rPr>
                <w:sz w:val="18"/>
                <w:szCs w:val="18"/>
                <w:color w:val="auto"/>
              </w:rPr>
            </w:pPr>
          </w:p>
        </w:tc>
      </w:tr>
      <w:tr>
        <w:trPr>
          <w:trHeight w:val="219"/>
        </w:trPr>
        <w:tc>
          <w:tcPr>
            <w:tcW w:w="7540" w:type="dxa"/>
            <w:vAlign w:val="bottom"/>
            <w:shd w:val="clear" w:color="auto" w:fill="CFF0FC"/>
          </w:tcPr>
          <w:p>
            <w:pPr>
              <w:ind w:left="260"/>
              <w:spacing w:after="0" w:line="218" w:lineRule="exact"/>
              <w:rPr>
                <w:sz w:val="20"/>
                <w:szCs w:val="20"/>
                <w:color w:val="auto"/>
              </w:rPr>
            </w:pPr>
            <w:r>
              <w:rPr>
                <w:rFonts w:ascii="Arial" w:cs="Arial" w:eastAsia="Arial" w:hAnsi="Arial"/>
                <w:sz w:val="15"/>
                <w:szCs w:val="15"/>
                <w:color w:val="auto"/>
              </w:rPr>
              <w:t xml:space="preserve">SEACOR 88/888 Term Loan </w:t>
            </w:r>
            <w:r>
              <w:rPr>
                <w:rFonts w:ascii="Arial" w:cs="Arial" w:eastAsia="Arial" w:hAnsi="Arial"/>
                <w:sz w:val="25"/>
                <w:szCs w:val="25"/>
                <w:color w:val="auto"/>
                <w:vertAlign w:val="superscript"/>
              </w:rPr>
              <w:t>(4)</w:t>
            </w:r>
          </w:p>
        </w:tc>
        <w:tc>
          <w:tcPr>
            <w:tcW w:w="1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5,500</w:t>
            </w:r>
          </w:p>
        </w:tc>
        <w:tc>
          <w:tcPr>
            <w:tcW w:w="100" w:type="dxa"/>
            <w:vAlign w:val="bottom"/>
            <w:shd w:val="clear" w:color="auto" w:fill="CFF0FC"/>
          </w:tcPr>
          <w:p>
            <w:pPr>
              <w:spacing w:after="0"/>
              <w:rPr>
                <w:sz w:val="19"/>
                <w:szCs w:val="19"/>
                <w:color w:val="auto"/>
              </w:rPr>
            </w:pPr>
          </w:p>
        </w:tc>
      </w:tr>
      <w:tr>
        <w:trPr>
          <w:trHeight w:val="213"/>
        </w:trPr>
        <w:tc>
          <w:tcPr>
            <w:tcW w:w="7540" w:type="dxa"/>
            <w:vAlign w:val="bottom"/>
          </w:tcPr>
          <w:p>
            <w:pPr>
              <w:ind w:left="260"/>
              <w:spacing w:after="0"/>
              <w:rPr>
                <w:sz w:val="20"/>
                <w:szCs w:val="20"/>
                <w:color w:val="auto"/>
              </w:rPr>
            </w:pPr>
            <w:r>
              <w:rPr>
                <w:rFonts w:ascii="Arial" w:cs="Arial" w:eastAsia="Arial" w:hAnsi="Arial"/>
                <w:sz w:val="16"/>
                <w:szCs w:val="16"/>
                <w:color w:val="auto"/>
              </w:rPr>
              <w:t>Tarahumara Shipyard Financing</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6,139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6,500</w:t>
            </w:r>
          </w:p>
        </w:tc>
        <w:tc>
          <w:tcPr>
            <w:tcW w:w="100" w:type="dxa"/>
            <w:vAlign w:val="bottom"/>
          </w:tcPr>
          <w:p>
            <w:pPr>
              <w:spacing w:after="0"/>
              <w:rPr>
                <w:sz w:val="18"/>
                <w:szCs w:val="18"/>
                <w:color w:val="auto"/>
              </w:rPr>
            </w:pPr>
          </w:p>
        </w:tc>
      </w:tr>
      <w:tr>
        <w:trPr>
          <w:trHeight w:val="219"/>
        </w:trPr>
        <w:tc>
          <w:tcPr>
            <w:tcW w:w="75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SEACOR Offshore OSV</w:t>
            </w:r>
          </w:p>
        </w:tc>
        <w:tc>
          <w:tcPr>
            <w:tcW w:w="12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16,823</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18,052</w:t>
            </w:r>
          </w:p>
        </w:tc>
        <w:tc>
          <w:tcPr>
            <w:tcW w:w="100" w:type="dxa"/>
            <w:vAlign w:val="bottom"/>
            <w:shd w:val="clear" w:color="auto" w:fill="CFF0FC"/>
          </w:tcPr>
          <w:p>
            <w:pPr>
              <w:spacing w:after="0"/>
              <w:rPr>
                <w:sz w:val="19"/>
                <w:szCs w:val="19"/>
                <w:color w:val="auto"/>
              </w:rPr>
            </w:pPr>
          </w:p>
        </w:tc>
      </w:tr>
      <w:tr>
        <w:trPr>
          <w:trHeight w:val="206"/>
        </w:trPr>
        <w:tc>
          <w:tcPr>
            <w:tcW w:w="75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recourse long-term debt</w:t>
            </w: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365,926</w:t>
            </w:r>
          </w:p>
        </w:tc>
        <w:tc>
          <w:tcPr>
            <w:tcW w:w="3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395,455</w:t>
            </w:r>
          </w:p>
        </w:tc>
        <w:tc>
          <w:tcPr>
            <w:tcW w:w="100" w:type="dxa"/>
            <w:vAlign w:val="bottom"/>
            <w:tcBorders>
              <w:bottom w:val="single" w:sz="8" w:color="CFF0FC"/>
            </w:tcBorders>
          </w:tcPr>
          <w:p>
            <w:pPr>
              <w:spacing w:after="0"/>
              <w:rPr>
                <w:sz w:val="17"/>
                <w:szCs w:val="17"/>
                <w:color w:val="auto"/>
              </w:rPr>
            </w:pPr>
          </w:p>
        </w:tc>
      </w:tr>
      <w:tr>
        <w:trPr>
          <w:trHeight w:val="213"/>
        </w:trPr>
        <w:tc>
          <w:tcPr>
            <w:tcW w:w="7540" w:type="dxa"/>
            <w:vAlign w:val="bottom"/>
            <w:shd w:val="clear" w:color="auto" w:fill="CFF0FC"/>
          </w:tcPr>
          <w:p>
            <w:pPr>
              <w:spacing w:after="0" w:line="212" w:lineRule="exact"/>
              <w:rPr>
                <w:sz w:val="20"/>
                <w:szCs w:val="20"/>
                <w:color w:val="auto"/>
              </w:rPr>
            </w:pPr>
            <w:r>
              <w:rPr>
                <w:rFonts w:ascii="Arial" w:cs="Arial" w:eastAsia="Arial" w:hAnsi="Arial"/>
                <w:sz w:val="15"/>
                <w:szCs w:val="15"/>
                <w:i w:val="1"/>
                <w:iCs w:val="1"/>
                <w:color w:val="auto"/>
              </w:rPr>
              <w:t>Non-recourse long-term debt</w:t>
            </w:r>
            <w:r>
              <w:rPr>
                <w:rFonts w:ascii="Arial" w:cs="Arial" w:eastAsia="Arial" w:hAnsi="Arial"/>
                <w:sz w:val="24"/>
                <w:szCs w:val="24"/>
                <w:i w:val="1"/>
                <w:iCs w:val="1"/>
                <w:color w:val="auto"/>
                <w:vertAlign w:val="superscript"/>
              </w:rPr>
              <w:t>(2)</w:t>
            </w:r>
            <w:r>
              <w:rPr>
                <w:rFonts w:ascii="Arial" w:cs="Arial" w:eastAsia="Arial" w:hAnsi="Arial"/>
                <w:sz w:val="15"/>
                <w:szCs w:val="15"/>
                <w:i w:val="1"/>
                <w:iCs w:val="1"/>
                <w:color w:val="auto"/>
              </w:rPr>
              <w:t>:</w:t>
            </w: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Borders>
              <w:bottom w:val="single" w:sz="8" w:color="CFF0FC"/>
            </w:tcBorders>
          </w:tcPr>
          <w:p>
            <w:pPr>
              <w:ind w:left="260"/>
              <w:spacing w:after="0" w:line="216" w:lineRule="exact"/>
              <w:rPr>
                <w:sz w:val="20"/>
                <w:szCs w:val="20"/>
                <w:color w:val="auto"/>
              </w:rPr>
            </w:pPr>
            <w:r>
              <w:rPr>
                <w:rFonts w:ascii="Arial" w:cs="Arial" w:eastAsia="Arial" w:hAnsi="Arial"/>
                <w:sz w:val="15"/>
                <w:szCs w:val="15"/>
                <w:color w:val="auto"/>
              </w:rPr>
              <w:t xml:space="preserve">SEACOR 88/888 Term Loan </w:t>
            </w:r>
            <w:r>
              <w:rPr>
                <w:rFonts w:ascii="Arial" w:cs="Arial" w:eastAsia="Arial" w:hAnsi="Arial"/>
                <w:sz w:val="25"/>
                <w:szCs w:val="25"/>
                <w:color w:val="auto"/>
                <w:vertAlign w:val="superscript"/>
              </w:rPr>
              <w:t>(4)</w:t>
            </w: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5,500</w:t>
            </w:r>
          </w:p>
        </w:tc>
        <w:tc>
          <w:tcPr>
            <w:tcW w:w="3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5,500</w:t>
            </w:r>
          </w:p>
        </w:tc>
        <w:tc>
          <w:tcPr>
            <w:tcW w:w="100" w:type="dxa"/>
            <w:vAlign w:val="bottom"/>
            <w:tcBorders>
              <w:bottom w:val="single" w:sz="8" w:color="CFF0FC"/>
            </w:tcBorders>
          </w:tcPr>
          <w:p>
            <w:pPr>
              <w:spacing w:after="0"/>
              <w:rPr>
                <w:sz w:val="18"/>
                <w:szCs w:val="18"/>
                <w:color w:val="auto"/>
              </w:rPr>
            </w:pPr>
          </w:p>
        </w:tc>
      </w:tr>
      <w:tr>
        <w:trPr>
          <w:trHeight w:val="209"/>
        </w:trPr>
        <w:tc>
          <w:tcPr>
            <w:tcW w:w="7540" w:type="dxa"/>
            <w:vAlign w:val="bottom"/>
            <w:shd w:val="clear" w:color="auto" w:fill="CFF0FC"/>
          </w:tcPr>
          <w:p>
            <w:pPr>
              <w:spacing w:after="0"/>
              <w:rPr>
                <w:sz w:val="20"/>
                <w:szCs w:val="20"/>
                <w:color w:val="auto"/>
              </w:rPr>
            </w:pPr>
            <w:r>
              <w:rPr>
                <w:rFonts w:ascii="Arial" w:cs="Arial" w:eastAsia="Arial" w:hAnsi="Arial"/>
                <w:sz w:val="16"/>
                <w:szCs w:val="16"/>
                <w:color w:val="auto"/>
              </w:rPr>
              <w:t>Total non-recourse long-term debt</w:t>
            </w:r>
          </w:p>
        </w:tc>
        <w:tc>
          <w:tcPr>
            <w:tcW w:w="1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5,500</w:t>
            </w:r>
          </w:p>
        </w:tc>
        <w:tc>
          <w:tcPr>
            <w:tcW w:w="3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5,500</w:t>
            </w:r>
          </w:p>
        </w:tc>
        <w:tc>
          <w:tcPr>
            <w:tcW w:w="100" w:type="dxa"/>
            <w:vAlign w:val="bottom"/>
            <w:shd w:val="clear" w:color="auto" w:fill="CFF0FC"/>
          </w:tcPr>
          <w:p>
            <w:pPr>
              <w:spacing w:after="0"/>
              <w:rPr>
                <w:sz w:val="18"/>
                <w:szCs w:val="18"/>
                <w:color w:val="auto"/>
              </w:rPr>
            </w:pPr>
          </w:p>
        </w:tc>
      </w:tr>
      <w:tr>
        <w:trPr>
          <w:trHeight w:val="207"/>
        </w:trPr>
        <w:tc>
          <w:tcPr>
            <w:tcW w:w="75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principal due for long-term debt</w:t>
            </w: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371,426</w:t>
            </w:r>
          </w:p>
        </w:tc>
        <w:tc>
          <w:tcPr>
            <w:tcW w:w="3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400,955</w:t>
            </w:r>
          </w:p>
        </w:tc>
        <w:tc>
          <w:tcPr>
            <w:tcW w:w="100" w:type="dxa"/>
            <w:vAlign w:val="bottom"/>
            <w:tcBorders>
              <w:bottom w:val="single" w:sz="8" w:color="CFF0FC"/>
            </w:tcBorders>
          </w:tcPr>
          <w:p>
            <w:pPr>
              <w:spacing w:after="0"/>
              <w:rPr>
                <w:sz w:val="17"/>
                <w:szCs w:val="17"/>
                <w:color w:val="auto"/>
              </w:rPr>
            </w:pPr>
          </w:p>
        </w:tc>
      </w:tr>
      <w:tr>
        <w:trPr>
          <w:trHeight w:val="213"/>
        </w:trPr>
        <w:tc>
          <w:tcPr>
            <w:tcW w:w="7540" w:type="dxa"/>
            <w:vAlign w:val="bottom"/>
            <w:shd w:val="clear" w:color="auto" w:fill="CFF0FC"/>
          </w:tcPr>
          <w:p>
            <w:pPr>
              <w:spacing w:after="0"/>
              <w:rPr>
                <w:sz w:val="20"/>
                <w:szCs w:val="20"/>
                <w:color w:val="auto"/>
              </w:rPr>
            </w:pPr>
            <w:r>
              <w:rPr>
                <w:rFonts w:ascii="Arial" w:cs="Arial" w:eastAsia="Arial" w:hAnsi="Arial"/>
                <w:sz w:val="16"/>
                <w:szCs w:val="16"/>
                <w:color w:val="auto"/>
              </w:rPr>
              <w:t>Current portion due within one year</w:t>
            </w:r>
          </w:p>
        </w:tc>
        <w:tc>
          <w:tcPr>
            <w:tcW w:w="1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(57,567)</w:t>
            </w:r>
          </w:p>
        </w:tc>
        <w:tc>
          <w:tcPr>
            <w:tcW w:w="1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(31,602)</w:t>
            </w:r>
          </w:p>
        </w:tc>
      </w:tr>
      <w:tr>
        <w:trPr>
          <w:trHeight w:val="213"/>
        </w:trPr>
        <w:tc>
          <w:tcPr>
            <w:tcW w:w="7540" w:type="dxa"/>
            <w:vAlign w:val="bottom"/>
          </w:tcPr>
          <w:p>
            <w:pPr>
              <w:spacing w:after="0"/>
              <w:rPr>
                <w:sz w:val="20"/>
                <w:szCs w:val="20"/>
                <w:color w:val="auto"/>
              </w:rPr>
            </w:pPr>
            <w:r>
              <w:rPr>
                <w:rFonts w:ascii="Arial" w:cs="Arial" w:eastAsia="Arial" w:hAnsi="Arial"/>
                <w:sz w:val="16"/>
                <w:szCs w:val="16"/>
                <w:color w:val="auto"/>
              </w:rPr>
              <w:t>Unamortized debt discount</w:t>
            </w:r>
          </w:p>
        </w:tc>
        <w:tc>
          <w:tcPr>
            <w:tcW w:w="120" w:type="dxa"/>
            <w:vAlign w:val="bottom"/>
          </w:tcPr>
          <w:p>
            <w:pPr>
              <w:spacing w:after="0"/>
              <w:rPr>
                <w:sz w:val="18"/>
                <w:szCs w:val="18"/>
                <w:color w:val="auto"/>
              </w:rPr>
            </w:pPr>
          </w:p>
        </w:tc>
        <w:tc>
          <w:tcPr>
            <w:tcW w:w="1820" w:type="dxa"/>
            <w:vAlign w:val="bottom"/>
            <w:gridSpan w:val="2"/>
          </w:tcPr>
          <w:p>
            <w:pPr>
              <w:jc w:val="right"/>
              <w:ind w:right="240"/>
              <w:spacing w:after="0"/>
              <w:rPr>
                <w:sz w:val="20"/>
                <w:szCs w:val="20"/>
                <w:color w:val="auto"/>
              </w:rPr>
            </w:pPr>
            <w:r>
              <w:rPr>
                <w:rFonts w:ascii="Arial" w:cs="Arial" w:eastAsia="Arial" w:hAnsi="Arial"/>
                <w:sz w:val="16"/>
                <w:szCs w:val="16"/>
                <w:color w:val="auto"/>
              </w:rPr>
              <w:t>(28,154)</w:t>
            </w:r>
          </w:p>
        </w:tc>
        <w:tc>
          <w:tcPr>
            <w:tcW w:w="120" w:type="dxa"/>
            <w:vAlign w:val="bottom"/>
          </w:tcPr>
          <w:p>
            <w:pPr>
              <w:spacing w:after="0"/>
              <w:rPr>
                <w:sz w:val="18"/>
                <w:szCs w:val="18"/>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6"/>
                <w:szCs w:val="16"/>
                <w:color w:val="auto"/>
              </w:rPr>
              <w:t>(33,398)</w:t>
            </w:r>
          </w:p>
        </w:tc>
      </w:tr>
      <w:tr>
        <w:trPr>
          <w:trHeight w:val="219"/>
        </w:trPr>
        <w:tc>
          <w:tcPr>
            <w:tcW w:w="7540" w:type="dxa"/>
            <w:vAlign w:val="bottom"/>
            <w:shd w:val="clear" w:color="auto" w:fill="CFF0FC"/>
          </w:tcPr>
          <w:p>
            <w:pPr>
              <w:spacing w:after="0"/>
              <w:rPr>
                <w:sz w:val="20"/>
                <w:szCs w:val="20"/>
                <w:color w:val="auto"/>
              </w:rPr>
            </w:pPr>
            <w:r>
              <w:rPr>
                <w:rFonts w:ascii="Arial" w:cs="Arial" w:eastAsia="Arial" w:hAnsi="Arial"/>
                <w:sz w:val="16"/>
                <w:szCs w:val="16"/>
                <w:color w:val="auto"/>
              </w:rPr>
              <w:t>Deferred financing costs</w:t>
            </w:r>
          </w:p>
        </w:tc>
        <w:tc>
          <w:tcPr>
            <w:tcW w:w="12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(3,149)</w:t>
            </w: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(3,193)</w:t>
            </w:r>
          </w:p>
        </w:tc>
      </w:tr>
      <w:tr>
        <w:trPr>
          <w:trHeight w:val="206"/>
        </w:trPr>
        <w:tc>
          <w:tcPr>
            <w:tcW w:w="7540" w:type="dxa"/>
            <w:vAlign w:val="bottom"/>
          </w:tcPr>
          <w:p>
            <w:pPr>
              <w:spacing w:after="0"/>
              <w:rPr>
                <w:sz w:val="20"/>
                <w:szCs w:val="20"/>
                <w:color w:val="auto"/>
              </w:rPr>
            </w:pPr>
            <w:r>
              <w:rPr>
                <w:rFonts w:ascii="Arial" w:cs="Arial" w:eastAsia="Arial" w:hAnsi="Arial"/>
                <w:sz w:val="16"/>
                <w:szCs w:val="16"/>
                <w:color w:val="auto"/>
              </w:rPr>
              <w:t>Long-term debt, less current portion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282,556</w:t>
            </w:r>
          </w:p>
        </w:tc>
        <w:tc>
          <w:tcPr>
            <w:tcW w:w="3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332,762</w:t>
            </w:r>
          </w:p>
        </w:tc>
        <w:tc>
          <w:tcPr>
            <w:tcW w:w="100" w:type="dxa"/>
            <w:vAlign w:val="bottom"/>
          </w:tcPr>
          <w:p>
            <w:pPr>
              <w:spacing w:after="0"/>
              <w:rPr>
                <w:sz w:val="17"/>
                <w:szCs w:val="17"/>
                <w:color w:val="auto"/>
              </w:rPr>
            </w:pPr>
          </w:p>
        </w:tc>
      </w:tr>
      <w:tr>
        <w:trPr>
          <w:trHeight w:val="20"/>
        </w:trPr>
        <w:tc>
          <w:tcPr>
            <w:tcW w:w="7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0" w:lineRule="exact"/>
        <w:rPr>
          <w:sz w:val="20"/>
          <w:szCs w:val="20"/>
          <w:color w:val="auto"/>
        </w:rPr>
      </w:pPr>
    </w:p>
    <w:p>
      <w:pPr>
        <w:ind w:left="760" w:hanging="752"/>
        <w:spacing w:after="0" w:line="230" w:lineRule="auto"/>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Recourse debt represents debt issued by SEACOR Marine and/or its subsidiaries and guaranteed by SEACOR Marine or one of its operating subsidiaries as provided in the relevant debt agreements.</w:t>
      </w:r>
    </w:p>
    <w:p>
      <w:pPr>
        <w:jc w:val="both"/>
        <w:ind w:left="760" w:hanging="752"/>
        <w:spacing w:after="0" w:line="221" w:lineRule="auto"/>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Non-recourse debt represents debt issued by one of the Company’s consolidated subsidiaries with no recourse to SEACOR Marine or its other non-debtor operating subsidiaries with respect to the applicable instrument, other than certain limited support obligations as provided in the respective debt agreements, which in aggregate are not considered to be material to the Company’s business and financial condition.</w:t>
      </w:r>
    </w:p>
    <w:p>
      <w:pPr>
        <w:ind w:left="760" w:hanging="752"/>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 of September 30, 2022, Tranche B of this debt has transitioned from LIBOR to SOFR. See details below.</w:t>
      </w:r>
    </w:p>
    <w:p>
      <w:pPr>
        <w:spacing w:after="0" w:line="1" w:lineRule="exact"/>
        <w:rPr>
          <w:rFonts w:ascii="Arial" w:cs="Arial" w:eastAsia="Arial" w:hAnsi="Arial"/>
          <w:sz w:val="14"/>
          <w:szCs w:val="14"/>
          <w:color w:val="auto"/>
        </w:rPr>
      </w:pPr>
    </w:p>
    <w:p>
      <w:pPr>
        <w:ind w:left="760" w:hanging="752"/>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 of September 30, 2022, this debt has transitioned from LIBOR to SOFR. See details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-680085</wp:posOffset>
            </wp:positionV>
            <wp:extent cx="9512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21"/>
          <w:szCs w:val="21"/>
          <w:color w:val="auto"/>
        </w:rPr>
        <w:t>As of September 30, 2022, the Company was in compliance with all debt covenants and lender requirements.</w:t>
      </w:r>
    </w:p>
    <w:p>
      <w:pPr>
        <w:spacing w:after="0" w:line="17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b w:val="1"/>
          <w:bCs w:val="1"/>
          <w:i w:val="1"/>
          <w:iCs w:val="1"/>
          <w:color w:val="auto"/>
        </w:rPr>
        <w:t xml:space="preserve">Old Convertible Notes. </w:t>
      </w:r>
      <w:r>
        <w:rPr>
          <w:rFonts w:ascii="Arial" w:cs="Arial" w:eastAsia="Arial" w:hAnsi="Arial"/>
          <w:sz w:val="21"/>
          <w:szCs w:val="21"/>
          <w:color w:val="auto"/>
        </w:rPr>
        <w:t>As of September 30, 2022 SEACOR Marine had $125.0 million in aggregate principal amount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of its convertible senior notes due 2023 (the “Old Convertible Notes”) outstanding. On October 5, 2022, SEACOR Marine and certain funds affiliated with The Carlyle Group Inc. (the “Carlyle Investors”) entered into two agreements pursuant to which SEACOR Marine issued the Carlyle Investors (i) $90.0 million in aggregate principal amount of the Company’s 8.0% / 9.5% Senior PIK Toggle Notes due 2026 (the “Guaranteed Notes”) and (ii) $35.0 million aggregate principal amount of SEACOR Marine’s 4.25% Convertible Senior Notes due 2026 (the “New Convertible Notes”) in exchange for all of SEACOR Marine’s Old Convertible Notes (the “Exchange Transaction”).</w:t>
      </w:r>
    </w:p>
    <w:p>
      <w:pPr>
        <w:sectPr>
          <w:pgSz w:w="11900" w:h="16838" w:orient="portrait"/>
          <w:cols w:equalWidth="0" w:num="1">
            <w:col w:w="11240"/>
          </w:cols>
          <w:pgMar w:left="320" w:top="294"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type w:val="continuous"/>
        </w:sectPr>
      </w:pPr>
    </w:p>
    <w:bookmarkStart w:id="16" w:name="page17"/>
    <w:bookmarkEnd w:id="16"/>
    <w:p>
      <w:pPr>
        <w:jc w:val="both"/>
        <w:ind w:firstLine="749"/>
        <w:spacing w:after="0" w:line="245" w:lineRule="auto"/>
        <w:rPr>
          <w:sz w:val="20"/>
          <w:szCs w:val="20"/>
          <w:color w:val="auto"/>
        </w:rPr>
      </w:pPr>
      <w:r>
        <w:rPr>
          <w:rFonts w:ascii="Arial" w:cs="Arial" w:eastAsia="Arial" w:hAnsi="Arial"/>
          <w:sz w:val="21"/>
          <w:szCs w:val="21"/>
          <w:b w:val="1"/>
          <w:bCs w:val="1"/>
          <w:i w:val="1"/>
          <w:iCs w:val="1"/>
          <w:color w:val="auto"/>
        </w:rPr>
        <w:t xml:space="preserve">Guaranteed Notes. </w:t>
      </w:r>
      <w:r>
        <w:rPr>
          <w:rFonts w:ascii="Arial" w:cs="Arial" w:eastAsia="Arial" w:hAnsi="Arial"/>
          <w:sz w:val="21"/>
          <w:szCs w:val="21"/>
          <w:color w:val="auto"/>
        </w:rPr>
        <w:t>The Guaranteed Notes were issued pursuant to the Exchange Agreement (Guaranteed Notes) among</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SEACOR Marine, as issuer, Falcon Global Robert LLC, a wholly-owned subsidiary of SEACOR Marine (“FG Robert”), as the guarantor, and the Carlyle Investors (the “Guaranteed Notes Exchange Agreement”). Pursuant to the Guaranteed Notes Exchange Agreement, SEACOR Marine has the right to pay interest on the Guaranteed Notes (i) in cash at a rate of 8.0% per annum (“Cash Interest”) or (ii) partly in cash and partly in-kind by increasing the principal amount of the Guaranteed Notes or issuing additional Guaranteed Notes at a rate of 9.5% per annum (“Hybrid Interest”) with the cash portion of the Hybrid Interest bearing interest at a rate of 4.25% per annum and in the in-kind portion of the Hybrid Interest bearing interest at a rate of 5.25% per annum. The Guaranteed Notes mature on July 1, 2026. The Guaranteed Notes are guaranteed on a senior unsecured basis by FG Robert, the owner of the LB Robert liftboat.</w:t>
      </w:r>
    </w:p>
    <w:p>
      <w:pPr>
        <w:spacing w:after="0" w:line="157"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SEACOR Marine may redeem some or all of the Guaranteed Notes at any time in minimum denominations of $10.0 million, upon not less than 30 nor more than 60 calendar days’ notice, at a price equal to (a) 102% of the principal amount of the Guaranteed Notes redeemed, if redeemed prior to October 1, 2023, (b) 101% of the principal amount of the Guaranteed Notes redeemed, if redeemed on or after October 1, 2023, but prior to October 1, 2024 and (c) 100% of the principal amount of the Guaranteed Notes redeemed, if redeemed on or after October 1, 2024, in each case plus accrued and unpaid interest, if any, to, but not including, the redemption date, provided, SEACOR Marine may not redeem the Guaranteed Notes if the principal amount of Guaranteed Notes and New Convertible Notes outstanding will be equal to or less than $50.0 million in the aggregate, unless SEACOR Marine redeems all of the Guaranteed Notes in whole.</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9"/>
          <w:szCs w:val="19"/>
          <w:color w:val="auto"/>
        </w:rPr>
        <w:t>The Guaranteed Notes Exchange Agreement contains certain customary covenants that among others, limit the ability of</w:t>
      </w:r>
    </w:p>
    <w:p>
      <w:pPr>
        <w:spacing w:after="0" w:line="43" w:lineRule="exact"/>
        <w:rPr>
          <w:sz w:val="20"/>
          <w:szCs w:val="20"/>
          <w:color w:val="auto"/>
        </w:rPr>
      </w:pPr>
    </w:p>
    <w:p>
      <w:pPr>
        <w:jc w:val="both"/>
        <w:ind w:firstLine="8"/>
        <w:spacing w:after="0" w:line="233" w:lineRule="auto"/>
        <w:tabs>
          <w:tab w:leader="none" w:pos="261" w:val="left"/>
        </w:tabs>
        <w:numPr>
          <w:ilvl w:val="0"/>
          <w:numId w:val="12"/>
        </w:numPr>
        <w:rPr>
          <w:rFonts w:ascii="Arial" w:cs="Arial" w:eastAsia="Arial" w:hAnsi="Arial"/>
          <w:sz w:val="22"/>
          <w:szCs w:val="22"/>
          <w:color w:val="auto"/>
        </w:rPr>
      </w:pPr>
      <w:r>
        <w:rPr>
          <w:rFonts w:ascii="Arial" w:cs="Arial" w:eastAsia="Arial" w:hAnsi="Arial"/>
          <w:sz w:val="22"/>
          <w:szCs w:val="22"/>
          <w:color w:val="auto"/>
        </w:rPr>
        <w:t>SEACOR Marine and FG Robert to incur indebtedness, (ii) FG Robert to create or incur liens, (iii) SEACOR Marine to create liens on the ownership interest of FG Robert, (iv) FG Robert to sell assets, and (v) SEACOR Marine to sell the ownership interest of FG Robert, as well as customary representations and warranties made by SEACOR Marine, FG Robert and the Carlyle Investors and customary events of default.</w:t>
      </w:r>
    </w:p>
    <w:p>
      <w:pPr>
        <w:spacing w:after="0" w:line="147"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1"/>
          <w:szCs w:val="21"/>
          <w:b w:val="1"/>
          <w:bCs w:val="1"/>
          <w:i w:val="1"/>
          <w:iCs w:val="1"/>
          <w:color w:val="auto"/>
        </w:rPr>
        <w:t xml:space="preserve">New Convertible Notes. </w:t>
      </w:r>
      <w:r>
        <w:rPr>
          <w:rFonts w:ascii="Arial" w:cs="Arial" w:eastAsia="Arial" w:hAnsi="Arial"/>
          <w:sz w:val="21"/>
          <w:szCs w:val="21"/>
          <w:color w:val="auto"/>
        </w:rPr>
        <w:t>The New Convertible Notes were issued pursuant to the Exchange Agreement (Convertible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Notes) among SEACOR Marine, as issuer, and the Carlyle Investors (the “Convertible Notes Exchange Agreement”). The New Convertible Notes bear interest at a rate of 4.25% per annum payable semi-annually in arrears and mature on July 1, 2026. The New Convertible Notes are convertible into shares of Common Stock at the option of the holders at a conversion rate of 85.1064 shares per $1,000 in principal amount of New Convertible Notes (equivalent to a “Conversion Price” of $11.75) or into warrants to purchase an equal number of shares of Common Stock at an exercise price of $0.01 per share in order to facilitate SEACOR Marine’s compliance with the provisions of the Jones Act. In addition, SEACOR Marine has the right to cause the mandatory conversion of the New Convertibles Notes into Common Stock if the daily VWAP of the Common Stock equals or exceeds (A) in the case of New Convertible Notes held by affiliates of Carlyle, 150% of the Conversion Price and (B) in the case of New Convertible Notes held by any Person other than Carlyle, 115% of the Conversion Price, in each case for each of the 20 consecutive trading days.</w:t>
      </w:r>
    </w:p>
    <w:p>
      <w:pPr>
        <w:spacing w:after="0" w:line="161"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If SEACOR Marine undergoes a Company Fundamental Change (as defined in the Convertible Notes Exchange Agreement), the holders of the New Convertible Notes may require SEACOR Marine to purchase for cash all or part of the New Convertible Notes at a price equal to 100% of the principal amount the New Convertible Notes to be purchased, plus accrued and unpaid interest to the date of purchase. The New Convertible Notes may be redeemed, in whole but not in part and only if certain conditions are met, as more fully described in the Convertible Notes Exchange Agreement, at a price equal to 100% of the principal amount of the New Convertible Notes to be redeemed, plus accrued and unpaid interest to the date of redemption.</w:t>
      </w:r>
    </w:p>
    <w:p>
      <w:pPr>
        <w:spacing w:after="0" w:line="11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Under the Convertibles Notes Exchange Agreement, the Carlyle Investors have the ability to nominate one director to the board of directors of SEACOR Marine.</w:t>
      </w:r>
    </w:p>
    <w:p>
      <w:pPr>
        <w:spacing w:after="0" w:line="13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The Convertible Notes Exchange Agreement contains customary representations and warranties made by SEACOR Marine and the Carlyle Investors and contains customary events of default and covenants.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7" w:name="page18"/>
    <w:bookmarkEnd w:id="17"/>
    <w:p>
      <w:pPr>
        <w:jc w:val="both"/>
        <w:ind w:firstLine="749"/>
        <w:spacing w:after="0" w:line="277" w:lineRule="auto"/>
        <w:rPr>
          <w:sz w:val="20"/>
          <w:szCs w:val="20"/>
          <w:color w:val="auto"/>
        </w:rPr>
      </w:pPr>
      <w:r>
        <w:rPr>
          <w:rFonts w:ascii="Arial" w:cs="Arial" w:eastAsia="Arial" w:hAnsi="Arial"/>
          <w:sz w:val="19"/>
          <w:szCs w:val="19"/>
          <w:b w:val="1"/>
          <w:bCs w:val="1"/>
          <w:i w:val="1"/>
          <w:iCs w:val="1"/>
          <w:color w:val="auto"/>
        </w:rPr>
        <w:t xml:space="preserve">SEACOR Marine Foreign Holdings Credit Facility. </w:t>
      </w:r>
      <w:r>
        <w:rPr>
          <w:rFonts w:ascii="Arial" w:cs="Arial" w:eastAsia="Arial" w:hAnsi="Arial"/>
          <w:sz w:val="19"/>
          <w:szCs w:val="19"/>
          <w:color w:val="auto"/>
        </w:rPr>
        <w:t>On September 29, 2022, SEACOR Marine, SEACOR Marine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Foreign Holdings Inc., a wholly-owned subsidiary of SEACOR Marine (“SMFH”), and certain vessel-owning subsidiaries of SEACOR Marine, entered into Amendment No. 5 (“SMFH Amendment No. 5”) to that certain senior secured loan facility with a syndicate of lenders administered by DNB Bank ASA, New York Branch, dated as of September 26, 2018 and as amended from time to time (the “SMFH Credit Facility”), and in connection therewith SEACOR Marine entered into the Second Amended and Restated Guaranty, dated as of September 29, 2022, by SEACOR Marine in favor of DNB Bank ASA, New York Branch, as security trustee (the “Second A&amp;R SMFH Credit Facility Guaranty”).</w:t>
      </w:r>
    </w:p>
    <w:p>
      <w:pPr>
        <w:spacing w:after="0" w:line="125"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SMFH Amendment No. 5 and the Second A&amp;R SMFH Credit Facility Guaranty provided for, among other things, (i) a $5.3 million prepayment of the SMFH Credit Facility thereby reducing the amount outstanding thereunder to approximately $74.7 million, (ii) the establishment of Tranche A and Tranche B loans under the SMFH Credit Facility (each as defined in the SMFH Credit Facility) and (iii) the change in the reference rate for Tranche B from LIBOR to SOFR. Tranche A is comprised of approximately $19.8 million of the principal amount of the loan and will maintain the same Margin (as defined in the SMFH Credit Facility) over LIBOR of 4.75% per annum through December 31, 2022, thereafter reverting to 3.75% per annum and the same maturity date of September 30, 2023. Tranche B is comprised of approximately $54.9 million of the principal amount of the loan, permanently maintains the Margin over SOFR (previously LIBOR) at 4.75% per annum and extends the maturity date from September 30, 2023 to March 31, 2026.</w:t>
      </w:r>
    </w:p>
    <w:p>
      <w:pPr>
        <w:spacing w:after="0" w:line="144"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On June 15, 2022, SEACOR Marine, SMFH, and certain vessel-owning subsidiaries of SEACOR Marine, entered into Amendment No. 4 (“SMFH Amendment No. 4”) to the SMFH Credit Facility, and in connection therewith SEACOR Marine entered into the Amended and Restated Guaranty, dated as of June 15, 2022, by SEACOR Marine in favor of DNB Bank ASA, New York Branch, as security trustee (the “A&amp;R SMFH Credit Facility Guaranty”).</w:t>
      </w:r>
    </w:p>
    <w:p>
      <w:pPr>
        <w:spacing w:after="0" w:line="133"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SMFH Amendment No. 4 and the A&amp;R SMFH Credit Facility Guaranty provide for, among other things, the modification of certain financial maintenance and restrictive covenants contained in the A&amp;R SMFH Credit Facility Guaranty, including the amendment of the definition of Cash and Cash Equivalents (as defined in the A&amp;R SMFH Credit Facility Guaranty) to include 35% of the accounts receivable as reported in SEACOR Marine’s financial statements for the second, third and fourth quarter of fiscal year 2022 and to amend the interest coverage ratio through December 31, 2022.</w:t>
      </w:r>
    </w:p>
    <w:p>
      <w:pPr>
        <w:spacing w:after="0" w:line="120"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The A&amp;R SMFH Credit Facility Guaranty requires the Company to maintain a minimum balance of Cash and Cash Equivalents equal to the greater of (i) $35.0 million and (ii) 7.5% of Total Debt (as defined in the A&amp;R SMFH Credit Facility Guaranty). As of September 30, 2022, the Company's Cash and Cash Equivalents balance used to test compliance with this covenant was $71.3 million or 24.6% of Total Debt.</w:t>
      </w:r>
    </w:p>
    <w:p>
      <w:pPr>
        <w:spacing w:after="0" w:line="144"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b w:val="1"/>
          <w:bCs w:val="1"/>
          <w:i w:val="1"/>
          <w:iCs w:val="1"/>
          <w:color w:val="auto"/>
        </w:rPr>
        <w:t xml:space="preserve">SEACOR 88/888 Term Loan Facility. </w:t>
      </w:r>
      <w:r>
        <w:rPr>
          <w:rFonts w:ascii="Arial" w:cs="Arial" w:eastAsia="Arial" w:hAnsi="Arial"/>
          <w:sz w:val="19"/>
          <w:szCs w:val="19"/>
          <w:color w:val="auto"/>
        </w:rPr>
        <w:t>On August 2, 2022, SEACOR Marine, SEACOR Offshore Eight LLC, a wholly-owned subsidiary of SEACOR Marine, and certain vessel owning wholly-owned subsidiaries of SEACOR Marine, entered into the 2022 Amendment to Loan Agreement and Guaranty (the “2022 88/888 Amendment”) to that certain senior secured loan agreement, dated as of July 5, 2018, with DNB Bank ASA, New York Branch and DNB Capital LLC (as amended, the “SEACOR 88/888 Term Loan”). The SEACOR 88/888 Term Loan is secured by two vessels and SEACOR Marine has provided a limited guaranty of such loan under which claims recoverable from SEACOR Marine shall not exceed the lesser of (x) $5.5 million and (y) 50% of the obligations outstanding at the time a claim is made thereunder. The 2022 88/888 Amendment provides for, among other things, (i) the extension of the maturity date of the SEACOR 88/888 Term Loan from June 29, 2023 to July 1, 2024, (ii) the change in the reference rate from LIBOR to SOFR and (iii) the amendment of the applicable interest rate margin over SOFR (previously LIBOR) from 3.75% to 4.75%</w:t>
      </w:r>
      <w:r>
        <w:rPr>
          <w:rFonts w:ascii="Arial" w:cs="Arial" w:eastAsia="Arial" w:hAnsi="Arial"/>
          <w:sz w:val="19"/>
          <w:szCs w:val="19"/>
          <w:b w:val="1"/>
          <w:bCs w:val="1"/>
          <w:i w:val="1"/>
          <w:iCs w:val="1"/>
          <w:color w:val="auto"/>
        </w:rPr>
        <w:t>.</w:t>
      </w:r>
    </w:p>
    <w:p>
      <w:pPr>
        <w:spacing w:after="0" w:line="36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b w:val="1"/>
          <w:bCs w:val="1"/>
          <w:i w:val="1"/>
          <w:iCs w:val="1"/>
          <w:color w:val="auto"/>
        </w:rPr>
        <w:t>Letters of Credit</w:t>
      </w:r>
      <w:r>
        <w:rPr>
          <w:rFonts w:ascii="Arial" w:cs="Arial" w:eastAsia="Arial" w:hAnsi="Arial"/>
          <w:sz w:val="22"/>
          <w:szCs w:val="22"/>
          <w:color w:val="auto"/>
        </w:rPr>
        <w:t>. As of September 30, 2022, the Company had outstanding letters of credit of $1.1 million securing</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lease obligations, labor and performance guaranties.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8" w:name="page19"/>
    <w:bookmarkEnd w:id="18"/>
    <w:p>
      <w:pPr>
        <w:ind w:left="760" w:hanging="752"/>
        <w:spacing w:after="0"/>
        <w:tabs>
          <w:tab w:leader="none" w:pos="76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LEASES</w:t>
      </w:r>
    </w:p>
    <w:p>
      <w:pPr>
        <w:spacing w:after="0" w:line="17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As of September 30, 2022, the Company leased-in two AHTS, one FSV, and certain facilities and other equipment. The leases typically contain purchase and renewal options or rights of first refusal with respect to the sale or lease of the equipment. As of September 30, 2022, the remaining lease terms of the vessels had a duration ranging from 6 to 54 months. The lease terms of certain facilities and other equipment had a duration ranging from 2 to 291 months.</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21"/>
          <w:szCs w:val="21"/>
          <w:color w:val="auto"/>
        </w:rPr>
        <w:t>As of September 30, 2022, future minimum payments for leases for the remainder of 2022 and the years ended</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December 31, noted below, were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w w:val="95"/>
              </w:rPr>
              <w:t>Operating Leases</w:t>
            </w:r>
          </w:p>
        </w:tc>
        <w:tc>
          <w:tcPr>
            <w:tcW w:w="200" w:type="dxa"/>
            <w:vAlign w:val="bottom"/>
          </w:tcPr>
          <w:p>
            <w:pPr>
              <w:spacing w:after="0"/>
              <w:rPr>
                <w:sz w:val="18"/>
                <w:szCs w:val="18"/>
                <w:color w:val="auto"/>
              </w:rPr>
            </w:pPr>
          </w:p>
        </w:tc>
        <w:tc>
          <w:tcPr>
            <w:tcW w:w="16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w w:val="97"/>
              </w:rPr>
              <w:t>Finance Leases</w:t>
            </w:r>
          </w:p>
        </w:tc>
      </w:tr>
      <w:tr>
        <w:trPr>
          <w:trHeight w:val="213"/>
        </w:trPr>
        <w:tc>
          <w:tcPr>
            <w:tcW w:w="7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Remainder of 2022</w:t>
            </w: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643</w:t>
            </w: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1,646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726</w:t>
            </w:r>
          </w:p>
        </w:tc>
        <w:tc>
          <w:tcPr>
            <w:tcW w:w="120" w:type="dxa"/>
            <w:vAlign w:val="bottom"/>
          </w:tcPr>
          <w:p>
            <w:pPr>
              <w:spacing w:after="0"/>
              <w:rPr>
                <w:sz w:val="18"/>
                <w:szCs w:val="18"/>
                <w:color w:val="auto"/>
              </w:rPr>
            </w:pPr>
          </w:p>
        </w:tc>
      </w:tr>
      <w:tr>
        <w:trPr>
          <w:trHeight w:val="219"/>
        </w:trPr>
        <w:tc>
          <w:tcPr>
            <w:tcW w:w="7320" w:type="dxa"/>
            <w:vAlign w:val="bottom"/>
            <w:shd w:val="clear" w:color="auto" w:fill="CFF0FC"/>
          </w:tcPr>
          <w:p>
            <w:pPr>
              <w:spacing w:after="0"/>
              <w:rPr>
                <w:sz w:val="20"/>
                <w:szCs w:val="20"/>
                <w:color w:val="auto"/>
              </w:rPr>
            </w:pPr>
            <w:r>
              <w:rPr>
                <w:rFonts w:ascii="Arial" w:cs="Arial" w:eastAsia="Arial" w:hAnsi="Arial"/>
                <w:sz w:val="16"/>
                <w:szCs w:val="16"/>
                <w:color w:val="auto"/>
              </w:rPr>
              <w:t>2024</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946</w:t>
            </w:r>
          </w:p>
        </w:tc>
        <w:tc>
          <w:tcPr>
            <w:tcW w:w="120" w:type="dxa"/>
            <w:vAlign w:val="bottom"/>
            <w:shd w:val="clear" w:color="auto" w:fill="CFF0FC"/>
          </w:tcPr>
          <w:p>
            <w:pPr>
              <w:spacing w:after="0"/>
              <w:rPr>
                <w:sz w:val="19"/>
                <w:szCs w:val="19"/>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2025</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515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959</w:t>
            </w:r>
          </w:p>
        </w:tc>
        <w:tc>
          <w:tcPr>
            <w:tcW w:w="120" w:type="dxa"/>
            <w:vAlign w:val="bottom"/>
          </w:tcPr>
          <w:p>
            <w:pPr>
              <w:spacing w:after="0"/>
              <w:rPr>
                <w:sz w:val="18"/>
                <w:szCs w:val="18"/>
                <w:color w:val="auto"/>
              </w:rPr>
            </w:pPr>
          </w:p>
        </w:tc>
      </w:tr>
      <w:tr>
        <w:trPr>
          <w:trHeight w:val="219"/>
        </w:trPr>
        <w:tc>
          <w:tcPr>
            <w:tcW w:w="7320" w:type="dxa"/>
            <w:vAlign w:val="bottom"/>
            <w:shd w:val="clear" w:color="auto" w:fill="CFF0FC"/>
          </w:tcPr>
          <w:p>
            <w:pPr>
              <w:spacing w:after="0"/>
              <w:rPr>
                <w:sz w:val="20"/>
                <w:szCs w:val="20"/>
                <w:color w:val="auto"/>
              </w:rPr>
            </w:pPr>
            <w:r>
              <w:rPr>
                <w:rFonts w:ascii="Arial" w:cs="Arial" w:eastAsia="Arial" w:hAnsi="Arial"/>
                <w:sz w:val="16"/>
                <w:szCs w:val="16"/>
                <w:color w:val="auto"/>
              </w:rPr>
              <w:t>2026</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953</w:t>
            </w:r>
          </w:p>
        </w:tc>
        <w:tc>
          <w:tcPr>
            <w:tcW w:w="120" w:type="dxa"/>
            <w:vAlign w:val="bottom"/>
            <w:shd w:val="clear" w:color="auto" w:fill="CFF0FC"/>
          </w:tcPr>
          <w:p>
            <w:pPr>
              <w:spacing w:after="0"/>
              <w:rPr>
                <w:sz w:val="19"/>
                <w:szCs w:val="19"/>
                <w:color w:val="auto"/>
              </w:rPr>
            </w:pPr>
          </w:p>
        </w:tc>
      </w:tr>
      <w:tr>
        <w:trPr>
          <w:trHeight w:val="213"/>
        </w:trPr>
        <w:tc>
          <w:tcPr>
            <w:tcW w:w="7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Years subsequent to 2026</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3,614</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4,659</w:t>
            </w:r>
          </w:p>
        </w:tc>
        <w:tc>
          <w:tcPr>
            <w:tcW w:w="120" w:type="dxa"/>
            <w:vAlign w:val="bottom"/>
            <w:tcBorders>
              <w:bottom w:val="single" w:sz="8" w:color="CFF0FC"/>
            </w:tcBorders>
          </w:tcPr>
          <w:p>
            <w:pPr>
              <w:spacing w:after="0"/>
              <w:rPr>
                <w:sz w:val="18"/>
                <w:szCs w:val="18"/>
                <w:color w:val="auto"/>
              </w:rPr>
            </w:pPr>
          </w:p>
        </w:tc>
      </w:tr>
      <w:tr>
        <w:trPr>
          <w:trHeight w:val="213"/>
        </w:trPr>
        <w:tc>
          <w:tcPr>
            <w:tcW w:w="7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7,341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8,357</w:t>
            </w:r>
          </w:p>
        </w:tc>
        <w:tc>
          <w:tcPr>
            <w:tcW w:w="120" w:type="dxa"/>
            <w:vAlign w:val="bottom"/>
            <w:shd w:val="clear" w:color="auto" w:fill="CFF0FC"/>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Interest component</w:t>
            </w:r>
          </w:p>
        </w:tc>
        <w:tc>
          <w:tcPr>
            <w:tcW w:w="180" w:type="dxa"/>
            <w:vAlign w:val="bottom"/>
          </w:tcPr>
          <w:p>
            <w:pPr>
              <w:spacing w:after="0"/>
              <w:rPr>
                <w:sz w:val="18"/>
                <w:szCs w:val="18"/>
                <w:color w:val="auto"/>
              </w:rPr>
            </w:pPr>
          </w:p>
        </w:tc>
        <w:tc>
          <w:tcPr>
            <w:tcW w:w="1880" w:type="dxa"/>
            <w:vAlign w:val="bottom"/>
            <w:gridSpan w:val="2"/>
          </w:tcPr>
          <w:p>
            <w:pPr>
              <w:jc w:val="right"/>
              <w:ind w:right="240"/>
              <w:spacing w:after="0"/>
              <w:rPr>
                <w:sz w:val="20"/>
                <w:szCs w:val="20"/>
                <w:color w:val="auto"/>
              </w:rPr>
            </w:pPr>
            <w:r>
              <w:rPr>
                <w:rFonts w:ascii="Arial" w:cs="Arial" w:eastAsia="Arial" w:hAnsi="Arial"/>
                <w:sz w:val="16"/>
                <w:szCs w:val="16"/>
                <w:color w:val="auto"/>
              </w:rPr>
              <w:t>(1,790)</w:t>
            </w:r>
          </w:p>
        </w:tc>
        <w:tc>
          <w:tcPr>
            <w:tcW w:w="20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6"/>
                <w:szCs w:val="16"/>
                <w:color w:val="auto"/>
              </w:rPr>
              <w:t>(1,067)</w:t>
            </w:r>
          </w:p>
        </w:tc>
      </w:tr>
      <w:tr>
        <w:trPr>
          <w:trHeight w:val="213"/>
        </w:trPr>
        <w:tc>
          <w:tcPr>
            <w:tcW w:w="73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5,551</w:t>
            </w: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7,290</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7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Current portion of long-term lease liabilities</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1,792</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120" w:type="dxa"/>
            <w:vAlign w:val="bottom"/>
            <w:tcBorders>
              <w:bottom w:val="single" w:sz="8" w:color="CFF0FC"/>
            </w:tcBorders>
          </w:tcPr>
          <w:p>
            <w:pPr>
              <w:spacing w:after="0"/>
              <w:rPr>
                <w:sz w:val="18"/>
                <w:szCs w:val="18"/>
                <w:color w:val="auto"/>
              </w:rPr>
            </w:pPr>
          </w:p>
        </w:tc>
      </w:tr>
      <w:tr>
        <w:trPr>
          <w:trHeight w:val="209"/>
        </w:trPr>
        <w:tc>
          <w:tcPr>
            <w:tcW w:w="7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Long-term lease liabilities</w:t>
            </w: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3,759</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6,916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For the nine months ended September 30, 2022 and 2021 the components of lease expense were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5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540" w:type="dxa"/>
            <w:vAlign w:val="bottom"/>
            <w:gridSpan w:val="5"/>
          </w:tcPr>
          <w:p>
            <w:pPr>
              <w:ind w:left="20"/>
              <w:spacing w:after="0"/>
              <w:rPr>
                <w:sz w:val="20"/>
                <w:szCs w:val="20"/>
                <w:color w:val="auto"/>
              </w:rPr>
            </w:pPr>
            <w:r>
              <w:rPr>
                <w:rFonts w:ascii="Arial" w:cs="Arial" w:eastAsia="Arial" w:hAnsi="Arial"/>
                <w:sz w:val="16"/>
                <w:szCs w:val="16"/>
                <w:b w:val="1"/>
                <w:bCs w:val="1"/>
                <w:color w:val="auto"/>
                <w:w w:val="91"/>
              </w:rPr>
              <w:t>Three Months Ended September 30,</w:t>
            </w:r>
          </w:p>
        </w:tc>
        <w:tc>
          <w:tcPr>
            <w:tcW w:w="220" w:type="dxa"/>
            <w:vAlign w:val="bottom"/>
          </w:tcPr>
          <w:p>
            <w:pPr>
              <w:spacing w:after="0"/>
              <w:rPr>
                <w:sz w:val="18"/>
                <w:szCs w:val="18"/>
                <w:color w:val="auto"/>
              </w:rPr>
            </w:pPr>
          </w:p>
        </w:tc>
        <w:tc>
          <w:tcPr>
            <w:tcW w:w="2560" w:type="dxa"/>
            <w:vAlign w:val="bottom"/>
            <w:gridSpan w:val="6"/>
          </w:tcPr>
          <w:p>
            <w:pPr>
              <w:ind w:left="20"/>
              <w:spacing w:after="0"/>
              <w:rPr>
                <w:sz w:val="20"/>
                <w:szCs w:val="20"/>
                <w:color w:val="auto"/>
              </w:rPr>
            </w:pPr>
            <w:r>
              <w:rPr>
                <w:rFonts w:ascii="Arial" w:cs="Arial" w:eastAsia="Arial" w:hAnsi="Arial"/>
                <w:sz w:val="16"/>
                <w:szCs w:val="16"/>
                <w:b w:val="1"/>
                <w:bCs w:val="1"/>
                <w:color w:val="auto"/>
                <w:w w:val="95"/>
              </w:rPr>
              <w:t>Nine Months Ended September 30,</w:t>
            </w:r>
          </w:p>
        </w:tc>
      </w:tr>
      <w:tr>
        <w:trPr>
          <w:trHeight w:val="236"/>
        </w:trPr>
        <w:tc>
          <w:tcPr>
            <w:tcW w:w="1500" w:type="dxa"/>
            <w:vAlign w:val="bottom"/>
            <w:tcBorders>
              <w:bottom w:val="single" w:sz="8" w:color="CFF0FC"/>
            </w:tcBorders>
          </w:tcPr>
          <w:p>
            <w:pPr>
              <w:spacing w:after="0"/>
              <w:rPr>
                <w:sz w:val="20"/>
                <w:szCs w:val="20"/>
                <w:color w:val="auto"/>
              </w:rPr>
            </w:pPr>
          </w:p>
        </w:tc>
        <w:tc>
          <w:tcPr>
            <w:tcW w:w="4420" w:type="dxa"/>
            <w:vAlign w:val="bottom"/>
            <w:tcBorders>
              <w:bottom w:val="single" w:sz="8" w:color="CFF0FC"/>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top w:val="single" w:sz="8" w:color="auto"/>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0FC"/>
            </w:tcBorders>
          </w:tcPr>
          <w:p>
            <w:pPr>
              <w:spacing w:after="0"/>
              <w:rPr>
                <w:sz w:val="20"/>
                <w:szCs w:val="20"/>
                <w:color w:val="auto"/>
              </w:rPr>
            </w:pPr>
          </w:p>
        </w:tc>
      </w:tr>
      <w:tr>
        <w:trPr>
          <w:trHeight w:val="240"/>
        </w:trPr>
        <w:tc>
          <w:tcPr>
            <w:tcW w:w="59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Operating lease cost</w:t>
            </w:r>
          </w:p>
        </w:tc>
        <w:tc>
          <w:tcPr>
            <w:tcW w:w="7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967</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875</w:t>
            </w:r>
          </w:p>
        </w:tc>
        <w:tc>
          <w:tcPr>
            <w:tcW w:w="46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2,664</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2,730</w:t>
            </w:r>
          </w:p>
        </w:tc>
        <w:tc>
          <w:tcPr>
            <w:tcW w:w="100" w:type="dxa"/>
            <w:vAlign w:val="bottom"/>
            <w:shd w:val="clear" w:color="auto" w:fill="CFF0FC"/>
          </w:tcPr>
          <w:p>
            <w:pPr>
              <w:spacing w:after="0"/>
              <w:rPr>
                <w:sz w:val="20"/>
                <w:szCs w:val="20"/>
                <w:color w:val="auto"/>
              </w:rPr>
            </w:pPr>
          </w:p>
        </w:tc>
      </w:tr>
      <w:tr>
        <w:trPr>
          <w:trHeight w:val="210"/>
        </w:trPr>
        <w:tc>
          <w:tcPr>
            <w:tcW w:w="5920" w:type="dxa"/>
            <w:vAlign w:val="bottom"/>
            <w:gridSpan w:val="2"/>
          </w:tcPr>
          <w:p>
            <w:pPr>
              <w:spacing w:after="0"/>
              <w:rPr>
                <w:sz w:val="20"/>
                <w:szCs w:val="20"/>
                <w:color w:val="auto"/>
              </w:rPr>
            </w:pPr>
            <w:r>
              <w:rPr>
                <w:rFonts w:ascii="Arial" w:cs="Arial" w:eastAsia="Arial" w:hAnsi="Arial"/>
                <w:sz w:val="16"/>
                <w:szCs w:val="16"/>
                <w:color w:val="auto"/>
              </w:rPr>
              <w:t>Finance lease cost:</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3"/>
        </w:trPr>
        <w:tc>
          <w:tcPr>
            <w:tcW w:w="15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920" w:type="dxa"/>
            <w:vAlign w:val="bottom"/>
            <w:gridSpan w:val="2"/>
            <w:shd w:val="clear" w:color="auto" w:fill="CFF0FC"/>
          </w:tcPr>
          <w:p>
            <w:pPr>
              <w:ind w:left="260"/>
              <w:spacing w:after="0" w:line="242" w:lineRule="exact"/>
              <w:rPr>
                <w:sz w:val="20"/>
                <w:szCs w:val="20"/>
                <w:color w:val="auto"/>
              </w:rPr>
            </w:pPr>
            <w:r>
              <w:rPr>
                <w:rFonts w:ascii="Arial" w:cs="Arial" w:eastAsia="Arial" w:hAnsi="Arial"/>
                <w:sz w:val="16"/>
                <w:szCs w:val="16"/>
                <w:color w:val="auto"/>
              </w:rPr>
              <w:t xml:space="preserve">Amortization of finance lease assets </w:t>
            </w:r>
            <w:r>
              <w:rPr>
                <w:rFonts w:ascii="Arial" w:cs="Arial" w:eastAsia="Arial" w:hAnsi="Arial"/>
                <w:sz w:val="27"/>
                <w:szCs w:val="27"/>
                <w:color w:val="auto"/>
                <w:vertAlign w:val="superscript"/>
              </w:rPr>
              <w:t>(1)</w:t>
            </w:r>
          </w:p>
        </w:tc>
        <w:tc>
          <w:tcPr>
            <w:tcW w:w="76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FF0FC"/>
          </w:tcPr>
          <w:p>
            <w:pPr>
              <w:spacing w:after="0"/>
              <w:rPr>
                <w:sz w:val="21"/>
                <w:szCs w:val="21"/>
                <w:color w:val="auto"/>
              </w:rPr>
            </w:pPr>
          </w:p>
        </w:tc>
      </w:tr>
      <w:tr>
        <w:trPr>
          <w:trHeight w:val="243"/>
        </w:trPr>
        <w:tc>
          <w:tcPr>
            <w:tcW w:w="5920" w:type="dxa"/>
            <w:vAlign w:val="bottom"/>
            <w:gridSpan w:val="2"/>
          </w:tcPr>
          <w:p>
            <w:pPr>
              <w:ind w:left="260"/>
              <w:spacing w:after="0" w:line="242" w:lineRule="exact"/>
              <w:rPr>
                <w:sz w:val="20"/>
                <w:szCs w:val="20"/>
                <w:color w:val="auto"/>
              </w:rPr>
            </w:pPr>
            <w:r>
              <w:rPr>
                <w:rFonts w:ascii="Arial" w:cs="Arial" w:eastAsia="Arial" w:hAnsi="Arial"/>
                <w:sz w:val="16"/>
                <w:szCs w:val="16"/>
                <w:color w:val="auto"/>
              </w:rPr>
              <w:t xml:space="preserve">Interest on finance lease liabilities </w:t>
            </w:r>
            <w:r>
              <w:rPr>
                <w:rFonts w:ascii="Arial" w:cs="Arial" w:eastAsia="Arial" w:hAnsi="Arial"/>
                <w:sz w:val="27"/>
                <w:szCs w:val="27"/>
                <w:color w:val="auto"/>
                <w:vertAlign w:val="superscript"/>
              </w:rPr>
              <w:t>(2)</w:t>
            </w:r>
          </w:p>
        </w:tc>
        <w:tc>
          <w:tcPr>
            <w:tcW w:w="7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73</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r>
      <w:tr>
        <w:trPr>
          <w:trHeight w:val="240"/>
        </w:trPr>
        <w:tc>
          <w:tcPr>
            <w:tcW w:w="59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Short-term lease costs</w:t>
            </w:r>
          </w:p>
        </w:tc>
        <w:tc>
          <w:tcPr>
            <w:tcW w:w="76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201</w:t>
            </w:r>
          </w:p>
        </w:tc>
        <w:tc>
          <w:tcPr>
            <w:tcW w:w="2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234</w:t>
            </w:r>
          </w:p>
        </w:tc>
        <w:tc>
          <w:tcPr>
            <w:tcW w:w="22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572</w:t>
            </w:r>
          </w:p>
        </w:tc>
        <w:tc>
          <w:tcPr>
            <w:tcW w:w="22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691</w:t>
            </w:r>
          </w:p>
        </w:tc>
        <w:tc>
          <w:tcPr>
            <w:tcW w:w="100" w:type="dxa"/>
            <w:vAlign w:val="bottom"/>
            <w:shd w:val="clear" w:color="auto" w:fill="CFF0FC"/>
          </w:tcPr>
          <w:p>
            <w:pPr>
              <w:spacing w:after="0"/>
              <w:rPr>
                <w:sz w:val="20"/>
                <w:szCs w:val="20"/>
                <w:color w:val="auto"/>
              </w:rPr>
            </w:pPr>
          </w:p>
        </w:tc>
      </w:tr>
      <w:tr>
        <w:trPr>
          <w:trHeight w:val="236"/>
        </w:trPr>
        <w:tc>
          <w:tcPr>
            <w:tcW w:w="150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w w:val="89"/>
              </w:rPr>
              <w:t>1,403</w:t>
            </w: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1,119</w:t>
            </w:r>
          </w:p>
        </w:tc>
        <w:tc>
          <w:tcPr>
            <w:tcW w:w="4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3,794</w:t>
            </w:r>
          </w:p>
        </w:tc>
        <w:tc>
          <w:tcPr>
            <w:tcW w:w="220" w:type="dxa"/>
            <w:vAlign w:val="bottom"/>
          </w:tcPr>
          <w:p>
            <w:pPr>
              <w:spacing w:after="0"/>
              <w:rPr>
                <w:sz w:val="20"/>
                <w:szCs w:val="20"/>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3,442</w:t>
            </w:r>
          </w:p>
        </w:tc>
        <w:tc>
          <w:tcPr>
            <w:tcW w:w="100" w:type="dxa"/>
            <w:vAlign w:val="bottom"/>
          </w:tcPr>
          <w:p>
            <w:pPr>
              <w:spacing w:after="0"/>
              <w:rPr>
                <w:sz w:val="20"/>
                <w:szCs w:val="20"/>
                <w:color w:val="auto"/>
              </w:rPr>
            </w:pPr>
          </w:p>
        </w:tc>
      </w:tr>
      <w:tr>
        <w:trPr>
          <w:trHeight w:val="20"/>
        </w:trPr>
        <w:tc>
          <w:tcPr>
            <w:tcW w:w="15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8"/>
        </w:trPr>
        <w:tc>
          <w:tcPr>
            <w:tcW w:w="1500" w:type="dxa"/>
            <w:vAlign w:val="bottom"/>
            <w:tcBorders>
              <w:bottom w:val="single" w:sz="8" w:color="auto"/>
            </w:tcBorders>
          </w:tcPr>
          <w:p>
            <w:pPr>
              <w:spacing w:after="0"/>
              <w:rPr>
                <w:sz w:val="10"/>
                <w:szCs w:val="10"/>
                <w:color w:val="auto"/>
              </w:rPr>
            </w:pPr>
          </w:p>
        </w:tc>
        <w:tc>
          <w:tcPr>
            <w:tcW w:w="4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ind w:left="760" w:hanging="752"/>
        <w:spacing w:after="0" w:line="191" w:lineRule="auto"/>
        <w:tabs>
          <w:tab w:leader="none" w:pos="760" w:val="left"/>
        </w:tabs>
        <w:numPr>
          <w:ilvl w:val="0"/>
          <w:numId w:val="14"/>
        </w:numPr>
        <w:rPr>
          <w:rFonts w:ascii="Arial" w:cs="Arial" w:eastAsia="Arial" w:hAnsi="Arial"/>
          <w:sz w:val="28"/>
          <w:szCs w:val="28"/>
          <w:color w:val="auto"/>
          <w:vertAlign w:val="superscript"/>
        </w:rPr>
      </w:pPr>
      <w:r>
        <w:rPr>
          <w:rFonts w:ascii="Arial" w:cs="Arial" w:eastAsia="Arial" w:hAnsi="Arial"/>
          <w:sz w:val="14"/>
          <w:szCs w:val="14"/>
          <w:color w:val="auto"/>
        </w:rPr>
        <w:t>Included in amortization costs in the consolidated statements of income (loss)</w:t>
      </w:r>
      <w:r>
        <w:rPr>
          <w:rFonts w:ascii="Arial" w:cs="Arial" w:eastAsia="Arial" w:hAnsi="Arial"/>
          <w:sz w:val="17"/>
          <w:szCs w:val="17"/>
          <w:color w:val="auto"/>
        </w:rPr>
        <w:t>.</w:t>
      </w:r>
    </w:p>
    <w:p>
      <w:pPr>
        <w:spacing w:after="0" w:line="34" w:lineRule="exact"/>
        <w:rPr>
          <w:rFonts w:ascii="Arial" w:cs="Arial" w:eastAsia="Arial" w:hAnsi="Arial"/>
          <w:sz w:val="28"/>
          <w:szCs w:val="28"/>
          <w:color w:val="auto"/>
          <w:vertAlign w:val="superscript"/>
        </w:rPr>
      </w:pPr>
    </w:p>
    <w:p>
      <w:pPr>
        <w:ind w:left="760" w:hanging="752"/>
        <w:spacing w:after="0" w:line="181" w:lineRule="auto"/>
        <w:tabs>
          <w:tab w:leader="none" w:pos="760" w:val="left"/>
        </w:tabs>
        <w:numPr>
          <w:ilvl w:val="0"/>
          <w:numId w:val="14"/>
        </w:numPr>
        <w:rPr>
          <w:rFonts w:ascii="Arial" w:cs="Arial" w:eastAsia="Arial" w:hAnsi="Arial"/>
          <w:sz w:val="21"/>
          <w:szCs w:val="21"/>
          <w:color w:val="auto"/>
          <w:vertAlign w:val="superscript"/>
        </w:rPr>
      </w:pPr>
      <w:r>
        <w:rPr>
          <w:rFonts w:ascii="Arial" w:cs="Arial" w:eastAsia="Arial" w:hAnsi="Arial"/>
          <w:sz w:val="12"/>
          <w:szCs w:val="12"/>
          <w:color w:val="auto"/>
        </w:rPr>
        <w:t>Included in interest expense in the consolidated statements of income (loss)</w:t>
      </w:r>
      <w:r>
        <w:rPr>
          <w:rFonts w:ascii="Arial" w:cs="Arial" w:eastAsia="Arial" w:hAnsi="Arial"/>
          <w:sz w:val="14"/>
          <w:szCs w:val="14"/>
          <w:color w:val="auto"/>
        </w:rPr>
        <w:t>.</w:t>
      </w:r>
    </w:p>
    <w:p>
      <w:pPr>
        <w:spacing w:after="0" w:line="195"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For the nine months ended September 30, 2022 supplemental cash flow information related to leases was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2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b w:val="1"/>
                <w:bCs w:val="1"/>
                <w:color w:val="auto"/>
              </w:rPr>
              <w:t>2022</w:t>
            </w:r>
          </w:p>
        </w:tc>
      </w:tr>
      <w:tr>
        <w:trPr>
          <w:trHeight w:val="213"/>
        </w:trPr>
        <w:tc>
          <w:tcPr>
            <w:tcW w:w="9320" w:type="dxa"/>
            <w:vAlign w:val="bottom"/>
            <w:shd w:val="clear" w:color="auto" w:fill="CFF0FC"/>
          </w:tcPr>
          <w:p>
            <w:pPr>
              <w:spacing w:after="0"/>
              <w:rPr>
                <w:sz w:val="20"/>
                <w:szCs w:val="20"/>
                <w:color w:val="auto"/>
              </w:rPr>
            </w:pPr>
            <w:r>
              <w:rPr>
                <w:rFonts w:ascii="Arial" w:cs="Arial" w:eastAsia="Arial" w:hAnsi="Arial"/>
                <w:sz w:val="16"/>
                <w:szCs w:val="16"/>
                <w:color w:val="auto"/>
              </w:rPr>
              <w:t>Operating cash outflows from operating leases</w:t>
            </w:r>
          </w:p>
        </w:tc>
        <w:tc>
          <w:tcPr>
            <w:tcW w:w="400" w:type="dxa"/>
            <w:vAlign w:val="bottom"/>
            <w:shd w:val="clear" w:color="auto" w:fill="CFF0FC"/>
          </w:tcPr>
          <w:p>
            <w:pPr>
              <w:jc w:val="right"/>
              <w:ind w:right="244"/>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1,656</w:t>
            </w:r>
          </w:p>
        </w:tc>
      </w:tr>
      <w:tr>
        <w:trPr>
          <w:trHeight w:val="213"/>
        </w:trPr>
        <w:tc>
          <w:tcPr>
            <w:tcW w:w="9320" w:type="dxa"/>
            <w:vAlign w:val="bottom"/>
          </w:tcPr>
          <w:p>
            <w:pPr>
              <w:spacing w:after="0"/>
              <w:rPr>
                <w:sz w:val="20"/>
                <w:szCs w:val="20"/>
                <w:color w:val="auto"/>
              </w:rPr>
            </w:pPr>
            <w:r>
              <w:rPr>
                <w:rFonts w:ascii="Arial" w:cs="Arial" w:eastAsia="Arial" w:hAnsi="Arial"/>
                <w:sz w:val="16"/>
                <w:szCs w:val="16"/>
                <w:color w:val="auto"/>
              </w:rPr>
              <w:t>Financing cash outflows from finance leases</w:t>
            </w:r>
          </w:p>
        </w:tc>
        <w:tc>
          <w:tcPr>
            <w:tcW w:w="400" w:type="dxa"/>
            <w:vAlign w:val="bottom"/>
          </w:tcPr>
          <w:p>
            <w:pPr>
              <w:spacing w:after="0"/>
              <w:rPr>
                <w:sz w:val="18"/>
                <w:szCs w:val="18"/>
                <w:color w:val="auto"/>
              </w:rPr>
            </w:pPr>
          </w:p>
        </w:tc>
        <w:tc>
          <w:tcPr>
            <w:tcW w:w="1520" w:type="dxa"/>
            <w:vAlign w:val="bottom"/>
          </w:tcPr>
          <w:p>
            <w:pPr>
              <w:jc w:val="right"/>
              <w:ind w:right="61"/>
              <w:spacing w:after="0"/>
              <w:rPr>
                <w:sz w:val="20"/>
                <w:szCs w:val="20"/>
                <w:color w:val="auto"/>
              </w:rPr>
            </w:pPr>
            <w:r>
              <w:rPr>
                <w:rFonts w:ascii="Arial" w:cs="Arial" w:eastAsia="Arial" w:hAnsi="Arial"/>
                <w:sz w:val="16"/>
                <w:szCs w:val="16"/>
                <w:color w:val="auto"/>
              </w:rPr>
              <w:t>237</w:t>
            </w:r>
          </w:p>
        </w:tc>
      </w:tr>
      <w:tr>
        <w:trPr>
          <w:trHeight w:val="219"/>
        </w:trPr>
        <w:tc>
          <w:tcPr>
            <w:tcW w:w="9320" w:type="dxa"/>
            <w:vAlign w:val="bottom"/>
            <w:shd w:val="clear" w:color="auto" w:fill="CFF0FC"/>
          </w:tcPr>
          <w:p>
            <w:pPr>
              <w:spacing w:after="0"/>
              <w:rPr>
                <w:sz w:val="20"/>
                <w:szCs w:val="20"/>
                <w:color w:val="auto"/>
              </w:rPr>
            </w:pPr>
            <w:r>
              <w:rPr>
                <w:rFonts w:ascii="Arial" w:cs="Arial" w:eastAsia="Arial" w:hAnsi="Arial"/>
                <w:sz w:val="16"/>
                <w:szCs w:val="16"/>
                <w:color w:val="auto"/>
              </w:rPr>
              <w:t>Right-of-use assets obtained for operating lease liabilities</w:t>
            </w:r>
          </w:p>
        </w:tc>
        <w:tc>
          <w:tcPr>
            <w:tcW w:w="40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163</w:t>
            </w:r>
          </w:p>
        </w:tc>
      </w:tr>
      <w:tr>
        <w:trPr>
          <w:trHeight w:val="231"/>
        </w:trPr>
        <w:tc>
          <w:tcPr>
            <w:tcW w:w="9320" w:type="dxa"/>
            <w:vAlign w:val="bottom"/>
          </w:tcPr>
          <w:p>
            <w:pPr>
              <w:spacing w:after="0"/>
              <w:rPr>
                <w:sz w:val="20"/>
                <w:szCs w:val="20"/>
                <w:color w:val="auto"/>
              </w:rPr>
            </w:pPr>
            <w:r>
              <w:rPr>
                <w:rFonts w:ascii="Arial" w:cs="Arial" w:eastAsia="Arial" w:hAnsi="Arial"/>
                <w:sz w:val="16"/>
                <w:szCs w:val="16"/>
                <w:color w:val="auto"/>
              </w:rPr>
              <w:t>Right-of-use assets obtained for finance lease liabilities</w:t>
            </w:r>
          </w:p>
        </w:tc>
        <w:tc>
          <w:tcPr>
            <w:tcW w:w="400" w:type="dxa"/>
            <w:vAlign w:val="bottom"/>
          </w:tcPr>
          <w:p>
            <w:pPr>
              <w:spacing w:after="0"/>
              <w:rPr>
                <w:sz w:val="20"/>
                <w:szCs w:val="20"/>
                <w:color w:val="auto"/>
              </w:rPr>
            </w:pPr>
          </w:p>
        </w:tc>
        <w:tc>
          <w:tcPr>
            <w:tcW w:w="1520" w:type="dxa"/>
            <w:vAlign w:val="bottom"/>
          </w:tcPr>
          <w:p>
            <w:pPr>
              <w:jc w:val="right"/>
              <w:ind w:right="61"/>
              <w:spacing w:after="0"/>
              <w:rPr>
                <w:sz w:val="20"/>
                <w:szCs w:val="20"/>
                <w:color w:val="auto"/>
              </w:rPr>
            </w:pPr>
            <w:r>
              <w:rPr>
                <w:rFonts w:ascii="Arial" w:cs="Arial" w:eastAsia="Arial" w:hAnsi="Arial"/>
                <w:sz w:val="14"/>
                <w:szCs w:val="14"/>
                <w:color w:val="auto"/>
              </w:rPr>
              <w:t>7,248</w:t>
            </w:r>
          </w:p>
        </w:tc>
      </w:tr>
      <w:tr>
        <w:trPr>
          <w:trHeight w:val="454"/>
        </w:trPr>
        <w:tc>
          <w:tcPr>
            <w:tcW w:w="9320" w:type="dxa"/>
            <w:vAlign w:val="bottom"/>
          </w:tcPr>
          <w:p>
            <w:pPr>
              <w:ind w:left="760"/>
              <w:spacing w:after="0"/>
              <w:rPr>
                <w:sz w:val="20"/>
                <w:szCs w:val="20"/>
                <w:color w:val="auto"/>
              </w:rPr>
            </w:pPr>
            <w:r>
              <w:rPr>
                <w:rFonts w:ascii="Arial" w:cs="Arial" w:eastAsia="Arial" w:hAnsi="Arial"/>
                <w:sz w:val="22"/>
                <w:szCs w:val="22"/>
                <w:color w:val="auto"/>
                <w:w w:val="88"/>
              </w:rPr>
              <w:t>For the nine months ended September 30, 2022 other information related to leases was as follows:</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00" w:type="dxa"/>
            <w:vAlign w:val="bottom"/>
            <w:tcBorders>
              <w:bottom w:val="single" w:sz="8" w:color="CFF0FC"/>
            </w:tcBorders>
          </w:tcPr>
          <w:p>
            <w:pPr>
              <w:spacing w:after="0"/>
              <w:rPr>
                <w:sz w:val="18"/>
                <w:szCs w:val="18"/>
                <w:color w:val="auto"/>
              </w:rPr>
            </w:pPr>
          </w:p>
        </w:tc>
        <w:tc>
          <w:tcPr>
            <w:tcW w:w="194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2022</w:t>
            </w:r>
          </w:p>
        </w:tc>
      </w:tr>
      <w:tr>
        <w:trPr>
          <w:trHeight w:val="213"/>
        </w:trPr>
        <w:tc>
          <w:tcPr>
            <w:tcW w:w="930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remaining lease term, in years - operating leases</w:t>
            </w:r>
          </w:p>
        </w:tc>
        <w:tc>
          <w:tcPr>
            <w:tcW w:w="19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11.1</w:t>
            </w:r>
          </w:p>
        </w:tc>
      </w:tr>
      <w:tr>
        <w:trPr>
          <w:trHeight w:val="213"/>
        </w:trPr>
        <w:tc>
          <w:tcPr>
            <w:tcW w:w="9300" w:type="dxa"/>
            <w:vAlign w:val="bottom"/>
          </w:tcPr>
          <w:p>
            <w:pPr>
              <w:spacing w:after="0"/>
              <w:rPr>
                <w:sz w:val="20"/>
                <w:szCs w:val="20"/>
                <w:color w:val="auto"/>
              </w:rPr>
            </w:pPr>
            <w:r>
              <w:rPr>
                <w:rFonts w:ascii="Arial" w:cs="Arial" w:eastAsia="Arial" w:hAnsi="Arial"/>
                <w:sz w:val="16"/>
                <w:szCs w:val="16"/>
                <w:color w:val="auto"/>
              </w:rPr>
              <w:t>Weighted average remaining lease term, in years - finance leases</w:t>
            </w: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4.5</w:t>
            </w:r>
          </w:p>
        </w:tc>
      </w:tr>
      <w:tr>
        <w:trPr>
          <w:trHeight w:val="219"/>
        </w:trPr>
        <w:tc>
          <w:tcPr>
            <w:tcW w:w="930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discount rate - operating leases</w:t>
            </w:r>
          </w:p>
        </w:tc>
        <w:tc>
          <w:tcPr>
            <w:tcW w:w="1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r>
      <w:tr>
        <w:trPr>
          <w:trHeight w:val="210"/>
        </w:trPr>
        <w:tc>
          <w:tcPr>
            <w:tcW w:w="9300" w:type="dxa"/>
            <w:vAlign w:val="bottom"/>
          </w:tcPr>
          <w:p>
            <w:pPr>
              <w:spacing w:after="0"/>
              <w:rPr>
                <w:sz w:val="20"/>
                <w:szCs w:val="20"/>
                <w:color w:val="auto"/>
              </w:rPr>
            </w:pPr>
            <w:r>
              <w:rPr>
                <w:rFonts w:ascii="Arial" w:cs="Arial" w:eastAsia="Arial" w:hAnsi="Arial"/>
                <w:sz w:val="16"/>
                <w:szCs w:val="16"/>
                <w:color w:val="auto"/>
              </w:rPr>
              <w:t>Weighted average discount rate - finance leases</w:t>
            </w:r>
          </w:p>
        </w:tc>
        <w:tc>
          <w:tcPr>
            <w:tcW w:w="1940" w:type="dxa"/>
            <w:vAlign w:val="bottom"/>
          </w:tcPr>
          <w:p>
            <w:pPr>
              <w:jc w:val="right"/>
              <w:spacing w:after="0"/>
              <w:rPr>
                <w:sz w:val="20"/>
                <w:szCs w:val="20"/>
                <w:color w:val="auto"/>
              </w:rPr>
            </w:pPr>
            <w:r>
              <w:rPr>
                <w:rFonts w:ascii="Arial" w:cs="Arial" w:eastAsia="Arial" w:hAnsi="Arial"/>
                <w:sz w:val="16"/>
                <w:szCs w:val="16"/>
                <w:color w:val="auto"/>
              </w:rPr>
              <w:t>4.0%</w:t>
            </w: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9" w:name="page20"/>
    <w:bookmarkEnd w:id="19"/>
    <w:p>
      <w:pPr>
        <w:ind w:left="760" w:hanging="752"/>
        <w:spacing w:after="0"/>
        <w:tabs>
          <w:tab w:leader="none" w:pos="76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INCOME TAXES</w:t>
      </w:r>
    </w:p>
    <w:p>
      <w:pPr>
        <w:spacing w:after="0" w:line="172"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The following table reconciles the difference between the statutory federal income tax rate for the Company and the effective income tax rate for the nine months ended September 30, 2022:</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60" w:type="dxa"/>
            <w:vAlign w:val="bottom"/>
            <w:shd w:val="clear" w:color="auto" w:fill="CFF0FC"/>
          </w:tcPr>
          <w:p>
            <w:pPr>
              <w:spacing w:after="0"/>
              <w:rPr>
                <w:sz w:val="20"/>
                <w:szCs w:val="20"/>
                <w:color w:val="auto"/>
              </w:rPr>
            </w:pPr>
            <w:r>
              <w:rPr>
                <w:rFonts w:ascii="Arial" w:cs="Arial" w:eastAsia="Arial" w:hAnsi="Arial"/>
                <w:sz w:val="16"/>
                <w:szCs w:val="16"/>
                <w:color w:val="auto"/>
              </w:rPr>
              <w:t>Statutory rate</w:t>
            </w:r>
          </w:p>
        </w:tc>
        <w:tc>
          <w:tcPr>
            <w:tcW w:w="218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21.00%</w:t>
            </w:r>
          </w:p>
        </w:tc>
        <w:tc>
          <w:tcPr>
            <w:tcW w:w="0" w:type="dxa"/>
            <w:vAlign w:val="bottom"/>
          </w:tcPr>
          <w:p>
            <w:pPr>
              <w:spacing w:after="0"/>
              <w:rPr>
                <w:sz w:val="1"/>
                <w:szCs w:val="1"/>
                <w:color w:val="auto"/>
              </w:rPr>
            </w:pPr>
          </w:p>
        </w:tc>
      </w:tr>
      <w:tr>
        <w:trPr>
          <w:trHeight w:val="213"/>
        </w:trPr>
        <w:tc>
          <w:tcPr>
            <w:tcW w:w="9060" w:type="dxa"/>
            <w:vAlign w:val="bottom"/>
          </w:tcPr>
          <w:p>
            <w:pPr>
              <w:spacing w:after="0"/>
              <w:rPr>
                <w:sz w:val="20"/>
                <w:szCs w:val="20"/>
                <w:color w:val="auto"/>
              </w:rPr>
            </w:pPr>
            <w:r>
              <w:rPr>
                <w:rFonts w:ascii="Arial" w:cs="Arial" w:eastAsia="Arial" w:hAnsi="Arial"/>
                <w:sz w:val="16"/>
                <w:szCs w:val="16"/>
                <w:color w:val="auto"/>
              </w:rPr>
              <w:t>Foreign withholding tax and foreign losses for which there is no benefit in the U.S.</w:t>
            </w:r>
          </w:p>
        </w:tc>
        <w:tc>
          <w:tcPr>
            <w:tcW w:w="2180" w:type="dxa"/>
            <w:vAlign w:val="bottom"/>
            <w:gridSpan w:val="3"/>
          </w:tcPr>
          <w:p>
            <w:pPr>
              <w:jc w:val="right"/>
              <w:ind w:right="20"/>
              <w:spacing w:after="0"/>
              <w:rPr>
                <w:sz w:val="20"/>
                <w:szCs w:val="20"/>
                <w:color w:val="auto"/>
              </w:rPr>
            </w:pPr>
            <w:r>
              <w:rPr>
                <w:rFonts w:ascii="Arial" w:cs="Arial" w:eastAsia="Arial" w:hAnsi="Arial"/>
                <w:sz w:val="16"/>
                <w:szCs w:val="16"/>
                <w:color w:val="auto"/>
              </w:rPr>
              <w:t>(14.97)%</w:t>
            </w:r>
          </w:p>
        </w:tc>
        <w:tc>
          <w:tcPr>
            <w:tcW w:w="0" w:type="dxa"/>
            <w:vAlign w:val="bottom"/>
          </w:tcPr>
          <w:p>
            <w:pPr>
              <w:spacing w:after="0"/>
              <w:rPr>
                <w:sz w:val="1"/>
                <w:szCs w:val="1"/>
                <w:color w:val="auto"/>
              </w:rPr>
            </w:pPr>
          </w:p>
        </w:tc>
      </w:tr>
      <w:tr>
        <w:trPr>
          <w:trHeight w:val="213"/>
        </w:trPr>
        <w:tc>
          <w:tcPr>
            <w:tcW w:w="9060" w:type="dxa"/>
            <w:vAlign w:val="bottom"/>
            <w:shd w:val="clear" w:color="auto" w:fill="CFF0FC"/>
          </w:tcPr>
          <w:p>
            <w:pPr>
              <w:spacing w:after="0"/>
              <w:rPr>
                <w:sz w:val="20"/>
                <w:szCs w:val="20"/>
                <w:color w:val="auto"/>
              </w:rPr>
            </w:pPr>
            <w:r>
              <w:rPr>
                <w:rFonts w:ascii="Arial" w:cs="Arial" w:eastAsia="Arial" w:hAnsi="Arial"/>
                <w:sz w:val="16"/>
                <w:szCs w:val="16"/>
                <w:color w:val="auto"/>
              </w:rPr>
              <w:t>Sale of investments in equity investees</w:t>
            </w:r>
          </w:p>
        </w:tc>
        <w:tc>
          <w:tcPr>
            <w:tcW w:w="218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(12.96)%</w:t>
            </w:r>
          </w:p>
        </w:tc>
        <w:tc>
          <w:tcPr>
            <w:tcW w:w="0" w:type="dxa"/>
            <w:vAlign w:val="bottom"/>
          </w:tcPr>
          <w:p>
            <w:pPr>
              <w:spacing w:after="0"/>
              <w:rPr>
                <w:sz w:val="1"/>
                <w:szCs w:val="1"/>
                <w:color w:val="auto"/>
              </w:rPr>
            </w:pPr>
          </w:p>
        </w:tc>
      </w:tr>
      <w:tr>
        <w:trPr>
          <w:trHeight w:val="222"/>
        </w:trPr>
        <w:tc>
          <w:tcPr>
            <w:tcW w:w="906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20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(0.37)%</w:t>
            </w:r>
          </w:p>
        </w:tc>
        <w:tc>
          <w:tcPr>
            <w:tcW w:w="0" w:type="dxa"/>
            <w:vAlign w:val="bottom"/>
          </w:tcPr>
          <w:p>
            <w:pPr>
              <w:spacing w:after="0"/>
              <w:rPr>
                <w:sz w:val="1"/>
                <w:szCs w:val="1"/>
                <w:color w:val="auto"/>
              </w:rPr>
            </w:pPr>
          </w:p>
        </w:tc>
      </w:tr>
      <w:tr>
        <w:trPr>
          <w:trHeight w:val="20"/>
        </w:trPr>
        <w:tc>
          <w:tcPr>
            <w:tcW w:w="9060" w:type="dxa"/>
            <w:vAlign w:val="bottom"/>
            <w:vMerge w:val="restart"/>
          </w:tcPr>
          <w:p>
            <w:pPr>
              <w:spacing w:after="0"/>
              <w:rPr>
                <w:sz w:val="20"/>
                <w:szCs w:val="20"/>
                <w:color w:val="auto"/>
              </w:rPr>
            </w:pPr>
            <w:r>
              <w:rPr>
                <w:rFonts w:ascii="Arial" w:cs="Arial" w:eastAsia="Arial" w:hAnsi="Arial"/>
                <w:sz w:val="16"/>
                <w:szCs w:val="16"/>
                <w:color w:val="auto"/>
              </w:rPr>
              <w:t>Effective income tax rate</w:t>
            </w:r>
          </w:p>
        </w:tc>
        <w:tc>
          <w:tcPr>
            <w:tcW w:w="20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6"/>
                <w:szCs w:val="16"/>
                <w:color w:val="auto"/>
              </w:rPr>
              <w:t>(7.30)%</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760" w:hanging="752"/>
        <w:spacing w:after="0"/>
        <w:tabs>
          <w:tab w:leader="none" w:pos="76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DERIVATIVE INSTRUMENTS AND HEDGING STRATEGIES</w:t>
      </w:r>
    </w:p>
    <w:p>
      <w:pPr>
        <w:spacing w:after="0" w:line="18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Derivative instruments are classified as either assets, which are included in other receivables in the accompanying consolidated balance sheets, or liabilities based on their individual fair values. The fair values of the Company’s derivative instruments were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5"/>
          </w:tcPr>
          <w:p>
            <w:pPr>
              <w:ind w:left="320"/>
              <w:spacing w:after="0"/>
              <w:rPr>
                <w:sz w:val="20"/>
                <w:szCs w:val="20"/>
                <w:color w:val="auto"/>
              </w:rPr>
            </w:pPr>
            <w:r>
              <w:rPr>
                <w:rFonts w:ascii="Arial" w:cs="Arial" w:eastAsia="Arial" w:hAnsi="Arial"/>
                <w:sz w:val="16"/>
                <w:szCs w:val="16"/>
                <w:b w:val="1"/>
                <w:bCs w:val="1"/>
                <w:color w:val="auto"/>
              </w:rPr>
              <w:t>September 30, 2022</w:t>
            </w:r>
          </w:p>
        </w:tc>
        <w:tc>
          <w:tcPr>
            <w:tcW w:w="100" w:type="dxa"/>
            <w:vAlign w:val="bottom"/>
          </w:tcPr>
          <w:p>
            <w:pPr>
              <w:spacing w:after="0"/>
              <w:rPr>
                <w:sz w:val="18"/>
                <w:szCs w:val="18"/>
                <w:color w:val="auto"/>
              </w:rPr>
            </w:pPr>
          </w:p>
        </w:tc>
        <w:tc>
          <w:tcPr>
            <w:tcW w:w="2220" w:type="dxa"/>
            <w:vAlign w:val="bottom"/>
            <w:gridSpan w:val="5"/>
          </w:tcPr>
          <w:p>
            <w:pPr>
              <w:ind w:left="340"/>
              <w:spacing w:after="0"/>
              <w:rPr>
                <w:sz w:val="20"/>
                <w:szCs w:val="20"/>
                <w:color w:val="auto"/>
              </w:rPr>
            </w:pPr>
            <w:r>
              <w:rPr>
                <w:rFonts w:ascii="Arial" w:cs="Arial" w:eastAsia="Arial" w:hAnsi="Arial"/>
                <w:sz w:val="16"/>
                <w:szCs w:val="16"/>
                <w:b w:val="1"/>
                <w:bCs w:val="1"/>
                <w:color w:val="auto"/>
              </w:rPr>
              <w:t>December 31, 2021</w:t>
            </w:r>
          </w:p>
        </w:tc>
      </w:tr>
      <w:tr>
        <w:trPr>
          <w:trHeight w:val="199"/>
        </w:trPr>
        <w:tc>
          <w:tcPr>
            <w:tcW w:w="64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4"/>
              </w:rPr>
              <w:t>Derivative</w:t>
            </w: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Derivative</w:t>
            </w: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4"/>
              </w:rPr>
              <w:t>Derivative</w:t>
            </w: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center"/>
              <w:ind w:right="58"/>
              <w:spacing w:after="0"/>
              <w:rPr>
                <w:sz w:val="20"/>
                <w:szCs w:val="20"/>
                <w:color w:val="auto"/>
              </w:rPr>
            </w:pPr>
            <w:r>
              <w:rPr>
                <w:rFonts w:ascii="Arial" w:cs="Arial" w:eastAsia="Arial" w:hAnsi="Arial"/>
                <w:sz w:val="16"/>
                <w:szCs w:val="16"/>
                <w:b w:val="1"/>
                <w:bCs w:val="1"/>
                <w:color w:val="auto"/>
                <w:w w:val="94"/>
              </w:rPr>
              <w:t>Derivative</w:t>
            </w:r>
          </w:p>
        </w:tc>
        <w:tc>
          <w:tcPr>
            <w:tcW w:w="120" w:type="dxa"/>
            <w:vAlign w:val="bottom"/>
          </w:tcPr>
          <w:p>
            <w:pPr>
              <w:spacing w:after="0"/>
              <w:rPr>
                <w:sz w:val="17"/>
                <w:szCs w:val="17"/>
                <w:color w:val="auto"/>
              </w:rPr>
            </w:pPr>
          </w:p>
        </w:tc>
      </w:tr>
      <w:tr>
        <w:trPr>
          <w:trHeight w:val="213"/>
        </w:trPr>
        <w:tc>
          <w:tcPr>
            <w:tcW w:w="6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2"/>
              </w:rPr>
              <w:t>Asset</w:t>
            </w:r>
          </w:p>
        </w:tc>
        <w:tc>
          <w:tcPr>
            <w:tcW w:w="10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6"/>
                <w:szCs w:val="16"/>
                <w:b w:val="1"/>
                <w:bCs w:val="1"/>
                <w:color w:val="auto"/>
              </w:rPr>
              <w:t>Liability</w:t>
            </w:r>
          </w:p>
        </w:tc>
        <w:tc>
          <w:tcPr>
            <w:tcW w:w="10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2"/>
              </w:rPr>
              <w:t>Asset</w:t>
            </w:r>
          </w:p>
        </w:tc>
        <w:tc>
          <w:tcPr>
            <w:tcW w:w="12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Liability</w:t>
            </w:r>
          </w:p>
        </w:tc>
      </w:tr>
      <w:tr>
        <w:trPr>
          <w:trHeight w:val="213"/>
        </w:trPr>
        <w:tc>
          <w:tcPr>
            <w:tcW w:w="6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29"/>
        </w:trPr>
        <w:tc>
          <w:tcPr>
            <w:tcW w:w="64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Interest rate swap agreements (cash flow hedges)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w w:val="99"/>
              </w:rPr>
              <w:t>—</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w:t>
            </w:r>
          </w:p>
        </w:tc>
        <w:tc>
          <w:tcPr>
            <w:tcW w:w="120" w:type="dxa"/>
            <w:vAlign w:val="bottom"/>
            <w:tcBorders>
              <w:bottom w:val="single" w:sz="8" w:color="CFF0FC"/>
            </w:tcBorders>
          </w:tcPr>
          <w:p>
            <w:pPr>
              <w:spacing w:after="0"/>
              <w:rPr>
                <w:sz w:val="19"/>
                <w:szCs w:val="19"/>
                <w:color w:val="auto"/>
              </w:rPr>
            </w:pPr>
          </w:p>
        </w:tc>
      </w:tr>
      <w:tr>
        <w:trPr>
          <w:trHeight w:val="209"/>
        </w:trPr>
        <w:tc>
          <w:tcPr>
            <w:tcW w:w="6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1,831</w:t>
            </w:r>
          </w:p>
        </w:tc>
        <w:tc>
          <w:tcPr>
            <w:tcW w:w="120" w:type="dxa"/>
            <w:vAlign w:val="bottom"/>
            <w:shd w:val="clear" w:color="auto" w:fill="CFF0FC"/>
          </w:tcPr>
          <w:p>
            <w:pPr>
              <w:spacing w:after="0"/>
              <w:rPr>
                <w:sz w:val="18"/>
                <w:szCs w:val="18"/>
                <w:color w:val="auto"/>
              </w:rPr>
            </w:pPr>
          </w:p>
        </w:tc>
      </w:tr>
      <w:tr>
        <w:trPr>
          <w:trHeight w:val="207"/>
        </w:trPr>
        <w:tc>
          <w:tcPr>
            <w:tcW w:w="6480" w:type="dxa"/>
            <w:vAlign w:val="bottom"/>
          </w:tcPr>
          <w:p>
            <w:pPr>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480" w:type="dxa"/>
            <w:vAlign w:val="bottom"/>
            <w:shd w:val="clear" w:color="auto" w:fill="CFF0FC"/>
          </w:tcPr>
          <w:p>
            <w:pPr>
              <w:spacing w:after="0"/>
              <w:rPr>
                <w:sz w:val="20"/>
                <w:szCs w:val="20"/>
                <w:color w:val="auto"/>
              </w:rPr>
            </w:pPr>
            <w:r>
              <w:rPr>
                <w:rFonts w:ascii="Arial" w:cs="Arial" w:eastAsia="Arial" w:hAnsi="Arial"/>
                <w:sz w:val="16"/>
                <w:szCs w:val="16"/>
                <w:color w:val="auto"/>
              </w:rPr>
              <w:t>Conversion option liability on Old Convertible Notes</w:t>
            </w: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r>
      <w:tr>
        <w:trPr>
          <w:trHeight w:val="210"/>
        </w:trPr>
        <w:tc>
          <w:tcPr>
            <w:tcW w:w="6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0"/>
        </w:trPr>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b w:val="1"/>
          <w:bCs w:val="1"/>
          <w:i w:val="1"/>
          <w:iCs w:val="1"/>
          <w:color w:val="auto"/>
        </w:rPr>
        <w:t xml:space="preserve">Economic Hedges. </w:t>
      </w:r>
      <w:r>
        <w:rPr>
          <w:rFonts w:ascii="Arial" w:cs="Arial" w:eastAsia="Arial" w:hAnsi="Arial"/>
          <w:sz w:val="19"/>
          <w:szCs w:val="19"/>
          <w:color w:val="auto"/>
        </w:rPr>
        <w:t>The Company enters and settles forward currency exchange, option and future contracts with respect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various foreign currencies. These contracts enable the Company to buy currencies in the future at fixed exchange rates, which could offset possible consequences of changes in currency exchange rates with respect to the Company’s business conducted outside of the U.S. The Company generally does not enter into contracts with forward settlement dates beyond twelve to eighteen months. As of September 30, 2022, the Company had no open forward currency exchange contracts.</w:t>
      </w:r>
    </w:p>
    <w:p>
      <w:pPr>
        <w:spacing w:after="0" w:line="147"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b w:val="1"/>
          <w:bCs w:val="1"/>
          <w:i w:val="1"/>
          <w:iCs w:val="1"/>
          <w:color w:val="auto"/>
        </w:rPr>
        <w:t xml:space="preserve">Cash Flow Hedges. </w:t>
      </w:r>
      <w:r>
        <w:rPr>
          <w:rFonts w:ascii="Arial" w:cs="Arial" w:eastAsia="Arial" w:hAnsi="Arial"/>
          <w:sz w:val="19"/>
          <w:szCs w:val="19"/>
          <w:color w:val="auto"/>
        </w:rPr>
        <w:t>The Company has interest rate swap agreements designated as cash flow hedges. By entering into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these interest rate swap agreements, the Company has converted the variable LIBOR component of certain of its outstanding borrowings to a fixed interest rate. The Company recognized gains on derivative instruments designated as cash flow hedges of $2.3 million and $1.6 million for the nine months ended September 30, 2022 and 2021, respectively, as a component of other comprehensive income (loss). The interest rate swap agreements entered into by MexMar, as previously disclosed, were terminated in connection with the Framework Agreement Transactions (see “Note 4. Investments, at Equity and Advances to 50% or Less Owned Companies”). As of September 30, 2022, the Company no longer owns any direct or indirect equity interest in MexMar and, in the future, the Company will not reflect any cash flow hedges of MexMar. As of September 30, 2022, the interest rate swaps held by the Company were as follows</w:t>
      </w:r>
      <w:r>
        <w:rPr>
          <w:rFonts w:ascii="Arial" w:cs="Arial" w:eastAsia="Arial" w:hAnsi="Arial"/>
          <w:sz w:val="19"/>
          <w:szCs w:val="19"/>
          <w:b w:val="1"/>
          <w:bCs w:val="1"/>
          <w:i w:val="1"/>
          <w:iCs w:val="1"/>
          <w:color w:val="auto"/>
        </w:rPr>
        <w:t>:</w:t>
      </w:r>
    </w:p>
    <w:p>
      <w:pPr>
        <w:spacing w:after="0" w:line="50" w:lineRule="exact"/>
        <w:rPr>
          <w:sz w:val="20"/>
          <w:szCs w:val="20"/>
          <w:color w:val="auto"/>
        </w:rPr>
      </w:pPr>
    </w:p>
    <w:p>
      <w:pPr>
        <w:jc w:val="both"/>
        <w:ind w:left="1260" w:hanging="510"/>
        <w:spacing w:after="0"/>
        <w:tabs>
          <w:tab w:leader="none" w:pos="12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SMFH has an interest rate swap agreement maturing in 2023 that calls for SMFH to pay a fixed rate of interest of 3.32% per annum on the amortized notional value of $6.1 million and receive a variable interest rate based on LIBOR on the amortized notional value;</w:t>
      </w:r>
    </w:p>
    <w:p>
      <w:pPr>
        <w:spacing w:after="0" w:line="78" w:lineRule="exact"/>
        <w:rPr>
          <w:rFonts w:ascii="Arial" w:cs="Arial" w:eastAsia="Arial" w:hAnsi="Arial"/>
          <w:sz w:val="22"/>
          <w:szCs w:val="22"/>
          <w:color w:val="auto"/>
        </w:rPr>
      </w:pPr>
    </w:p>
    <w:p>
      <w:pPr>
        <w:jc w:val="both"/>
        <w:ind w:left="1260" w:hanging="510"/>
        <w:spacing w:after="0"/>
        <w:tabs>
          <w:tab w:leader="none" w:pos="12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SMFH has an interest rate swap agreement maturing in 2023 that calls for SMFH to pay a fixed rate of interest of 3.195% per annum on the amortized notional value of $33.3 million and receive a variable interest rate based on LIBOR on the amortized notional value; and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0" w:name="page21"/>
    <w:bookmarkEnd w:id="20"/>
    <w:p>
      <w:pPr>
        <w:jc w:val="both"/>
        <w:ind w:left="1260" w:hanging="510"/>
        <w:spacing w:after="0" w:line="238" w:lineRule="auto"/>
        <w:tabs>
          <w:tab w:leader="none" w:pos="12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SEACOR 88 LLC and SEACOR 888 LLC, both indirect wholly-owned subsidiaries of SEACOR Marine (collectively, “SEACOR 88/888”), have an interest rate swap agreement maturing in 2023 that calls for SEACOR 88/888 to pay a fixed rate of interest of 3.175% per annum on the amortized notional value of $5.5 million and receive a variable interest rate based on LIBOR on the amortized notional value</w:t>
      </w:r>
      <w:r>
        <w:rPr>
          <w:rFonts w:ascii="Arial" w:cs="Arial" w:eastAsia="Arial" w:hAnsi="Arial"/>
          <w:sz w:val="19"/>
          <w:szCs w:val="19"/>
          <w:color w:val="auto"/>
        </w:rPr>
        <w:t>.</w:t>
      </w:r>
    </w:p>
    <w:p>
      <w:pPr>
        <w:spacing w:after="0" w:line="145" w:lineRule="exact"/>
        <w:rPr>
          <w:sz w:val="20"/>
          <w:szCs w:val="20"/>
          <w:color w:val="auto"/>
        </w:rPr>
      </w:pPr>
    </w:p>
    <w:p>
      <w:pPr>
        <w:ind w:right="20" w:firstLine="749"/>
        <w:spacing w:after="0" w:line="328" w:lineRule="auto"/>
        <w:rPr>
          <w:sz w:val="20"/>
          <w:szCs w:val="20"/>
          <w:color w:val="auto"/>
        </w:rPr>
      </w:pPr>
      <w:r>
        <w:rPr>
          <w:rFonts w:ascii="Arial" w:cs="Arial" w:eastAsia="Arial" w:hAnsi="Arial"/>
          <w:sz w:val="19"/>
          <w:szCs w:val="19"/>
          <w:b w:val="1"/>
          <w:bCs w:val="1"/>
          <w:i w:val="1"/>
          <w:iCs w:val="1"/>
          <w:color w:val="auto"/>
        </w:rPr>
        <w:t xml:space="preserve">Other Derivative Instruments. </w:t>
      </w:r>
      <w:r>
        <w:rPr>
          <w:rFonts w:ascii="Arial" w:cs="Arial" w:eastAsia="Arial" w:hAnsi="Arial"/>
          <w:sz w:val="19"/>
          <w:szCs w:val="19"/>
          <w:color w:val="auto"/>
        </w:rPr>
        <w:t>The Company recognized (losses) gains on derivative instruments not designated 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hedging instruments for the three and nine months ended September 30, 2022 and 2021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56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2"/>
              </w:rPr>
              <w:t>Three Months Ended September 30,</w:t>
            </w:r>
          </w:p>
        </w:tc>
        <w:tc>
          <w:tcPr>
            <w:tcW w:w="220" w:type="dxa"/>
            <w:vAlign w:val="bottom"/>
          </w:tcPr>
          <w:p>
            <w:pPr>
              <w:spacing w:after="0"/>
              <w:rPr>
                <w:sz w:val="18"/>
                <w:szCs w:val="18"/>
                <w:color w:val="auto"/>
              </w:rPr>
            </w:pPr>
          </w:p>
        </w:tc>
        <w:tc>
          <w:tcPr>
            <w:tcW w:w="246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1"/>
              </w:rPr>
              <w:t>Nine Months Ended September 30,</w:t>
            </w:r>
          </w:p>
        </w:tc>
        <w:tc>
          <w:tcPr>
            <w:tcW w:w="100" w:type="dxa"/>
            <w:vAlign w:val="bottom"/>
          </w:tcPr>
          <w:p>
            <w:pPr>
              <w:spacing w:after="0"/>
              <w:rPr>
                <w:sz w:val="18"/>
                <w:szCs w:val="18"/>
                <w:color w:val="auto"/>
              </w:rPr>
            </w:pPr>
          </w:p>
        </w:tc>
      </w:tr>
      <w:tr>
        <w:trPr>
          <w:trHeight w:val="236"/>
        </w:trPr>
        <w:tc>
          <w:tcPr>
            <w:tcW w:w="4800" w:type="dxa"/>
            <w:vAlign w:val="bottom"/>
            <w:tcBorders>
              <w:bottom w:val="single" w:sz="8" w:color="CFF0FC"/>
            </w:tcBorders>
          </w:tcPr>
          <w:p>
            <w:pPr>
              <w:spacing w:after="0"/>
              <w:rPr>
                <w:sz w:val="20"/>
                <w:szCs w:val="20"/>
                <w:color w:val="auto"/>
              </w:rPr>
            </w:pPr>
          </w:p>
        </w:tc>
        <w:tc>
          <w:tcPr>
            <w:tcW w:w="110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0FC"/>
            </w:tcBorders>
          </w:tcPr>
          <w:p>
            <w:pPr>
              <w:spacing w:after="0"/>
              <w:rPr>
                <w:sz w:val="20"/>
                <w:szCs w:val="20"/>
                <w:color w:val="auto"/>
              </w:rPr>
            </w:pPr>
          </w:p>
        </w:tc>
      </w:tr>
      <w:tr>
        <w:trPr>
          <w:trHeight w:val="213"/>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Conversion option liability on Old Convertible Notes</w:t>
            </w:r>
          </w:p>
        </w:tc>
        <w:tc>
          <w:tcPr>
            <w:tcW w:w="1960" w:type="dxa"/>
            <w:vAlign w:val="bottom"/>
            <w:gridSpan w:val="2"/>
            <w:shd w:val="clear" w:color="auto" w:fill="CFF0FC"/>
          </w:tcPr>
          <w:p>
            <w:pPr>
              <w:ind w:left="11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46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w:t>
            </w:r>
          </w:p>
        </w:tc>
      </w:tr>
      <w:tr>
        <w:trPr>
          <w:trHeight w:val="240"/>
        </w:trPr>
        <w:tc>
          <w:tcPr>
            <w:tcW w:w="48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Forward currency exchange, option, and future contracts</w:t>
            </w:r>
          </w:p>
        </w:tc>
        <w:tc>
          <w:tcPr>
            <w:tcW w:w="110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w w:val="99"/>
              </w:rPr>
              <w:t>—</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Borders>
              <w:bottom w:val="single" w:sz="8" w:color="CFF0FC"/>
            </w:tcBorders>
          </w:tcPr>
          <w:p>
            <w:pPr>
              <w:spacing w:after="0"/>
              <w:rPr>
                <w:sz w:val="20"/>
                <w:szCs w:val="20"/>
                <w:color w:val="auto"/>
              </w:rPr>
            </w:pPr>
          </w:p>
        </w:tc>
      </w:tr>
      <w:tr>
        <w:trPr>
          <w:trHeight w:val="209"/>
        </w:trPr>
        <w:tc>
          <w:tcPr>
            <w:tcW w:w="480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ind w:left="11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46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w:t>
            </w:r>
          </w:p>
        </w:tc>
        <w:tc>
          <w:tcPr>
            <w:tcW w:w="100" w:type="dxa"/>
            <w:vAlign w:val="bottom"/>
            <w:shd w:val="clear" w:color="auto" w:fill="CFF0FC"/>
          </w:tcPr>
          <w:p>
            <w:pPr>
              <w:spacing w:after="0"/>
              <w:rPr>
                <w:sz w:val="18"/>
                <w:szCs w:val="18"/>
                <w:color w:val="auto"/>
              </w:rPr>
            </w:pPr>
          </w:p>
        </w:tc>
      </w:tr>
      <w:tr>
        <w:trPr>
          <w:trHeight w:val="20"/>
        </w:trPr>
        <w:tc>
          <w:tcPr>
            <w:tcW w:w="48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1"/>
          <w:szCs w:val="21"/>
          <w:color w:val="auto"/>
        </w:rPr>
        <w:t>The conversion option liability relates to the bifurcated embedded conversion option in the Old Convertible Notes issued to investment funds managed and controlled by The Carlyle Group (see “Note 9. Fair Value Measurements”).</w:t>
      </w:r>
    </w:p>
    <w:p>
      <w:pPr>
        <w:spacing w:after="0" w:line="118" w:lineRule="exact"/>
        <w:rPr>
          <w:sz w:val="20"/>
          <w:szCs w:val="20"/>
          <w:color w:val="auto"/>
        </w:rPr>
      </w:pPr>
    </w:p>
    <w:p>
      <w:pPr>
        <w:ind w:left="760" w:hanging="752"/>
        <w:spacing w:after="0"/>
        <w:tabs>
          <w:tab w:leader="none" w:pos="76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FAIR VALUE MEASUREMENTS</w:t>
      </w:r>
    </w:p>
    <w:p>
      <w:pPr>
        <w:spacing w:after="0" w:line="172"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color w:val="auto"/>
        </w:rPr>
        <w:t xml:space="preserve">The fair value of an asset or liability is the price that would be received to sell an asset or transfer a liability (an exit price) in the principal or most advantageous market for the asset or liability in an orderly transaction between market participants on the measurement date. The Company utilizes a fair value hierarchy that maximizes the use of observable inputs and minimizes the use of unobservable inputs when measuring fair value and defines three levels of inputs that may be used to measure fair value. </w:t>
      </w:r>
      <w:r>
        <w:rPr>
          <w:rFonts w:ascii="Arial" w:cs="Arial" w:eastAsia="Arial" w:hAnsi="Arial"/>
          <w:sz w:val="22"/>
          <w:szCs w:val="22"/>
          <w:i w:val="1"/>
          <w:iCs w:val="1"/>
          <w:color w:val="auto"/>
        </w:rPr>
        <w:t>Level</w:t>
      </w:r>
      <w:r>
        <w:rPr>
          <w:rFonts w:ascii="Arial" w:cs="Arial" w:eastAsia="Arial" w:hAnsi="Arial"/>
          <w:sz w:val="22"/>
          <w:szCs w:val="22"/>
          <w:color w:val="auto"/>
        </w:rPr>
        <w:t xml:space="preserve"> 1 inputs are quoted prices in active markets for identical assets or liabilities. </w:t>
      </w:r>
      <w:r>
        <w:rPr>
          <w:rFonts w:ascii="Arial" w:cs="Arial" w:eastAsia="Arial" w:hAnsi="Arial"/>
          <w:sz w:val="22"/>
          <w:szCs w:val="22"/>
          <w:i w:val="1"/>
          <w:iCs w:val="1"/>
          <w:color w:val="auto"/>
        </w:rPr>
        <w:t>Level</w:t>
      </w:r>
      <w:r>
        <w:rPr>
          <w:rFonts w:ascii="Arial" w:cs="Arial" w:eastAsia="Arial" w:hAnsi="Arial"/>
          <w:sz w:val="22"/>
          <w:szCs w:val="22"/>
          <w:color w:val="auto"/>
        </w:rPr>
        <w:t xml:space="preserve"> 2 inputs are observable inputs other than quoted prices included in </w:t>
      </w:r>
      <w:r>
        <w:rPr>
          <w:rFonts w:ascii="Arial" w:cs="Arial" w:eastAsia="Arial" w:hAnsi="Arial"/>
          <w:sz w:val="22"/>
          <w:szCs w:val="22"/>
          <w:i w:val="1"/>
          <w:iCs w:val="1"/>
          <w:color w:val="auto"/>
        </w:rPr>
        <w:t>Level</w:t>
      </w:r>
      <w:r>
        <w:rPr>
          <w:rFonts w:ascii="Arial" w:cs="Arial" w:eastAsia="Arial" w:hAnsi="Arial"/>
          <w:sz w:val="22"/>
          <w:szCs w:val="22"/>
          <w:color w:val="auto"/>
        </w:rPr>
        <w:t xml:space="preserve"> 1 that are observable for the asset or liability, either directly or indirectly, including quoted prices for similar assets or liabilities in active markets, quoted prices in markets that are not active, inputs other than quoted prices that are observable for the asset or liability, or inputs derived from observable market data. </w:t>
      </w:r>
      <w:r>
        <w:rPr>
          <w:rFonts w:ascii="Arial" w:cs="Arial" w:eastAsia="Arial" w:hAnsi="Arial"/>
          <w:sz w:val="22"/>
          <w:szCs w:val="22"/>
          <w:i w:val="1"/>
          <w:iCs w:val="1"/>
          <w:color w:val="auto"/>
        </w:rPr>
        <w:t>Level</w:t>
      </w:r>
      <w:r>
        <w:rPr>
          <w:rFonts w:ascii="Arial" w:cs="Arial" w:eastAsia="Arial" w:hAnsi="Arial"/>
          <w:sz w:val="22"/>
          <w:szCs w:val="22"/>
          <w:color w:val="auto"/>
        </w:rPr>
        <w:t xml:space="preserve"> 3 inputs are unobservable inputs that are supported by little or no market activity and are significant to the fair value of the assets or liabilities.</w:t>
      </w:r>
    </w:p>
    <w:p>
      <w:pPr>
        <w:spacing w:after="0" w:line="15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The Company’s financial assets and liabilities as of September 30, 2022 and December 31, 2021 that are measured at fair value on a recurring basis were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Pr>
          <w:p>
            <w:pPr>
              <w:spacing w:after="0"/>
              <w:rPr>
                <w:sz w:val="20"/>
                <w:szCs w:val="20"/>
                <w:color w:val="auto"/>
              </w:rPr>
            </w:pPr>
            <w:r>
              <w:rPr>
                <w:rFonts w:ascii="Arial" w:cs="Arial" w:eastAsia="Arial" w:hAnsi="Arial"/>
                <w:sz w:val="16"/>
                <w:szCs w:val="16"/>
                <w:b w:val="1"/>
                <w:bCs w:val="1"/>
                <w:color w:val="auto"/>
              </w:rPr>
              <w:t>September 30, 2022</w:t>
            </w:r>
          </w:p>
        </w:tc>
        <w:tc>
          <w:tcPr>
            <w:tcW w:w="1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3</w:t>
            </w:r>
          </w:p>
        </w:tc>
      </w:tr>
      <w:tr>
        <w:trPr>
          <w:trHeight w:val="212"/>
        </w:trPr>
        <w:tc>
          <w:tcPr>
            <w:tcW w:w="6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9"/>
        </w:trPr>
        <w:tc>
          <w:tcPr>
            <w:tcW w:w="6520" w:type="dxa"/>
            <w:vAlign w:val="bottom"/>
          </w:tcPr>
          <w:p>
            <w:pPr>
              <w:spacing w:after="0"/>
              <w:rPr>
                <w:sz w:val="20"/>
                <w:szCs w:val="20"/>
                <w:color w:val="auto"/>
              </w:rPr>
            </w:pPr>
            <w:r>
              <w:rPr>
                <w:rFonts w:ascii="Arial" w:cs="Arial" w:eastAsia="Arial" w:hAnsi="Arial"/>
                <w:sz w:val="16"/>
                <w:szCs w:val="16"/>
                <w:color w:val="auto"/>
              </w:rPr>
              <w:t>Derivative instruments</w:t>
            </w:r>
          </w:p>
        </w:tc>
        <w:tc>
          <w:tcPr>
            <w:tcW w:w="1160" w:type="dxa"/>
            <w:vAlign w:val="bottom"/>
            <w:gridSpan w:val="2"/>
          </w:tcPr>
          <w:p>
            <w:pPr>
              <w:jc w:val="right"/>
              <w:ind w:right="839"/>
              <w:spacing w:after="0"/>
              <w:rPr>
                <w:sz w:val="20"/>
                <w:szCs w:val="20"/>
                <w:color w:val="auto"/>
              </w:rPr>
            </w:pPr>
            <w:r>
              <w:rPr>
                <w:rFonts w:ascii="Arial" w:cs="Arial" w:eastAsia="Arial" w:hAnsi="Arial"/>
                <w:sz w:val="18"/>
                <w:szCs w:val="18"/>
                <w:color w:val="auto"/>
              </w:rPr>
              <w:t>$</w:t>
            </w:r>
          </w:p>
        </w:tc>
        <w:tc>
          <w:tcPr>
            <w:tcW w:w="30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472</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880"/>
              <w:spacing w:after="0"/>
              <w:rPr>
                <w:sz w:val="20"/>
                <w:szCs w:val="20"/>
                <w:color w:val="auto"/>
              </w:rPr>
            </w:pPr>
            <w:r>
              <w:rPr>
                <w:rFonts w:ascii="Arial" w:cs="Arial" w:eastAsia="Arial" w:hAnsi="Arial"/>
                <w:sz w:val="18"/>
                <w:szCs w:val="18"/>
                <w:color w:val="auto"/>
              </w:rPr>
              <w:t>—</w:t>
            </w:r>
          </w:p>
        </w:tc>
      </w:tr>
      <w:tr>
        <w:trPr>
          <w:trHeight w:val="213"/>
        </w:trPr>
        <w:tc>
          <w:tcPr>
            <w:tcW w:w="65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December 31, 2021</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52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2"/>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Derivative instruments</w:t>
            </w:r>
          </w:p>
        </w:tc>
        <w:tc>
          <w:tcPr>
            <w:tcW w:w="1160" w:type="dxa"/>
            <w:vAlign w:val="bottom"/>
            <w:gridSpan w:val="2"/>
            <w:shd w:val="clear" w:color="auto" w:fill="CFF0FC"/>
          </w:tcPr>
          <w:p>
            <w:pPr>
              <w:jc w:val="right"/>
              <w:ind w:right="839"/>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1,831</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r>
    </w:tbl>
    <w:p>
      <w:pPr>
        <w:spacing w:after="0" w:line="189"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b w:val="1"/>
          <w:bCs w:val="1"/>
          <w:i w:val="1"/>
          <w:iCs w:val="1"/>
          <w:color w:val="auto"/>
        </w:rPr>
        <w:t xml:space="preserve">Level </w:t>
      </w:r>
      <w:r>
        <w:rPr>
          <w:rFonts w:ascii="Arial" w:cs="Arial" w:eastAsia="Arial" w:hAnsi="Arial"/>
          <w:sz w:val="21"/>
          <w:szCs w:val="21"/>
          <w:b w:val="1"/>
          <w:bCs w:val="1"/>
          <w:color w:val="auto"/>
        </w:rPr>
        <w:t>3</w:t>
      </w:r>
      <w:r>
        <w:rPr>
          <w:rFonts w:ascii="Arial" w:cs="Arial" w:eastAsia="Arial" w:hAnsi="Arial"/>
          <w:sz w:val="21"/>
          <w:szCs w:val="21"/>
          <w:b w:val="1"/>
          <w:bCs w:val="1"/>
          <w:i w:val="1"/>
          <w:iCs w:val="1"/>
          <w:color w:val="auto"/>
        </w:rPr>
        <w:t xml:space="preserve"> Measurement</w:t>
      </w:r>
      <w:r>
        <w:rPr>
          <w:rFonts w:ascii="Arial" w:cs="Arial" w:eastAsia="Arial" w:hAnsi="Arial"/>
          <w:sz w:val="21"/>
          <w:szCs w:val="21"/>
          <w:color w:val="auto"/>
        </w:rPr>
        <w:t>. The fair value of the conversion option liability embedded in the Old Convertible Notes is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estimated with significant inputs that are both observable and unobservable in the market and therefore is considered a </w:t>
      </w:r>
      <w:r>
        <w:rPr>
          <w:rFonts w:ascii="Arial" w:cs="Arial" w:eastAsia="Arial" w:hAnsi="Arial"/>
          <w:sz w:val="21"/>
          <w:szCs w:val="21"/>
          <w:i w:val="1"/>
          <w:iCs w:val="1"/>
          <w:color w:val="auto"/>
        </w:rPr>
        <w:t>Level</w:t>
      </w:r>
      <w:r>
        <w:rPr>
          <w:rFonts w:ascii="Arial" w:cs="Arial" w:eastAsia="Arial" w:hAnsi="Arial"/>
          <w:sz w:val="21"/>
          <w:szCs w:val="21"/>
          <w:color w:val="auto"/>
        </w:rPr>
        <w:t xml:space="preserve"> 3 fair value measurement. The Company used a binomial lattice model that assumes the holders will maximize their value by finding the optimal decision between redeeming at the redemption price or converting into shares of Common Stock. This model estimates the fair value of the conversion option as the differential in the fair value of the notes including the conversion option compared with the fair value of the notes excluding the conversion option. The significant observable inputs used in the fair value measurement include the price of Common Stock and the risk-free interest rate. The significant unobservable inputs are the estimated Company credit spread and Common Stock volatility, which were based on comparable companies in the transportation and energy industries.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ind w:left="760"/>
        <w:spacing w:after="0"/>
        <w:rPr>
          <w:sz w:val="20"/>
          <w:szCs w:val="20"/>
          <w:color w:val="auto"/>
        </w:rPr>
      </w:pPr>
      <w:r>
        <w:rPr>
          <w:rFonts w:ascii="Arial" w:cs="Arial" w:eastAsia="Arial" w:hAnsi="Arial"/>
          <w:sz w:val="21"/>
          <w:szCs w:val="21"/>
          <w:color w:val="auto"/>
        </w:rPr>
        <w:t>The estimated fair values of the Company’s other financial assets and liabilities as of September 30, 2022 and</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December 31, 2021 were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6"/>
              </w:rPr>
              <w:t>Estimated Fair Value</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7"/>
              </w:rPr>
              <w:t>Carrying</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5780" w:type="dxa"/>
            <w:vAlign w:val="bottom"/>
          </w:tcPr>
          <w:p>
            <w:pPr>
              <w:spacing w:after="0"/>
              <w:rPr>
                <w:sz w:val="20"/>
                <w:szCs w:val="20"/>
                <w:color w:val="auto"/>
              </w:rPr>
            </w:pPr>
            <w:r>
              <w:rPr>
                <w:rFonts w:ascii="Arial" w:cs="Arial" w:eastAsia="Arial" w:hAnsi="Arial"/>
                <w:sz w:val="16"/>
                <w:szCs w:val="16"/>
                <w:b w:val="1"/>
                <w:bCs w:val="1"/>
                <w:color w:val="auto"/>
              </w:rPr>
              <w:t>September 30, 2022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Amount</w:t>
            </w:r>
          </w:p>
        </w:tc>
        <w:tc>
          <w:tcPr>
            <w:tcW w:w="200" w:type="dxa"/>
            <w:vAlign w:val="bottom"/>
          </w:tcPr>
          <w:p>
            <w:pPr>
              <w:spacing w:after="0"/>
              <w:rPr>
                <w:sz w:val="18"/>
                <w:szCs w:val="18"/>
                <w:color w:val="auto"/>
              </w:rPr>
            </w:pPr>
          </w:p>
        </w:tc>
        <w:tc>
          <w:tcPr>
            <w:tcW w:w="940" w:type="dxa"/>
            <w:vAlign w:val="bottom"/>
          </w:tcPr>
          <w:p>
            <w:pPr>
              <w:jc w:val="right"/>
              <w:ind w:right="239"/>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3</w:t>
            </w:r>
          </w:p>
        </w:tc>
      </w:tr>
      <w:tr>
        <w:trPr>
          <w:trHeight w:val="213"/>
        </w:trPr>
        <w:tc>
          <w:tcPr>
            <w:tcW w:w="5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5780" w:type="dxa"/>
            <w:vAlign w:val="bottom"/>
          </w:tcPr>
          <w:p>
            <w:pPr>
              <w:spacing w:after="0"/>
              <w:rPr>
                <w:sz w:val="20"/>
                <w:szCs w:val="20"/>
                <w:color w:val="auto"/>
              </w:rPr>
            </w:pPr>
            <w:r>
              <w:rPr>
                <w:rFonts w:ascii="Arial" w:cs="Arial" w:eastAsia="Arial" w:hAnsi="Arial"/>
                <w:sz w:val="16"/>
                <w:szCs w:val="16"/>
                <w:color w:val="auto"/>
              </w:rPr>
              <w:t>Cash, cash equivalents and restricted cash</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50,810</w:t>
            </w:r>
          </w:p>
        </w:tc>
        <w:tc>
          <w:tcPr>
            <w:tcW w:w="24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50,810</w:t>
            </w: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700"/>
              <w:spacing w:after="0"/>
              <w:rPr>
                <w:sz w:val="20"/>
                <w:szCs w:val="20"/>
                <w:color w:val="auto"/>
              </w:rPr>
            </w:pPr>
            <w:r>
              <w:rPr>
                <w:rFonts w:ascii="Arial" w:cs="Arial" w:eastAsia="Arial" w:hAnsi="Arial"/>
                <w:sz w:val="16"/>
                <w:szCs w:val="16"/>
                <w:color w:val="auto"/>
              </w:rPr>
              <w:t>—</w:t>
            </w:r>
          </w:p>
        </w:tc>
      </w:tr>
      <w:tr>
        <w:trPr>
          <w:trHeight w:val="219"/>
        </w:trPr>
        <w:tc>
          <w:tcPr>
            <w:tcW w:w="57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5780" w:type="dxa"/>
            <w:vAlign w:val="bottom"/>
          </w:tcPr>
          <w:p>
            <w:pPr>
              <w:spacing w:after="0"/>
              <w:rPr>
                <w:sz w:val="20"/>
                <w:szCs w:val="20"/>
                <w:color w:val="auto"/>
              </w:rPr>
            </w:pPr>
            <w:r>
              <w:rPr>
                <w:rFonts w:ascii="Arial" w:cs="Arial" w:eastAsia="Arial" w:hAnsi="Arial"/>
                <w:sz w:val="16"/>
                <w:szCs w:val="16"/>
                <w:color w:val="auto"/>
              </w:rPr>
              <w:t>Long-term debt, including current portion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340,123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336,346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700"/>
              <w:spacing w:after="0"/>
              <w:rPr>
                <w:sz w:val="20"/>
                <w:szCs w:val="20"/>
                <w:color w:val="auto"/>
              </w:rPr>
            </w:pPr>
            <w:r>
              <w:rPr>
                <w:rFonts w:ascii="Arial" w:cs="Arial" w:eastAsia="Arial" w:hAnsi="Arial"/>
                <w:sz w:val="16"/>
                <w:szCs w:val="16"/>
                <w:color w:val="auto"/>
              </w:rPr>
              <w:t>—</w:t>
            </w:r>
          </w:p>
        </w:tc>
      </w:tr>
      <w:tr>
        <w:trPr>
          <w:trHeight w:val="216"/>
        </w:trPr>
        <w:tc>
          <w:tcPr>
            <w:tcW w:w="57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December 31, 2021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9"/>
        </w:trPr>
        <w:tc>
          <w:tcPr>
            <w:tcW w:w="578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restricted cash</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41,220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41,220</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w:t>
            </w:r>
          </w:p>
        </w:tc>
      </w:tr>
      <w:tr>
        <w:trPr>
          <w:trHeight w:val="213"/>
        </w:trPr>
        <w:tc>
          <w:tcPr>
            <w:tcW w:w="578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Long-term debt, including current portion</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364,364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372,992</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w:t>
            </w:r>
          </w:p>
        </w:tc>
      </w:tr>
    </w:tbl>
    <w:p>
      <w:pPr>
        <w:spacing w:after="0" w:line="195"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The carrying value of cash, cash equivalents and restricted cash approximates fair value. The fair value of the Company’s long-term debt was estimated based upon quoted market prices or by using discounted cash flow analysis based on estimated current rates for similar types of arrangements. Considerable judgment was required in developing certain of the estimates of fair value including the consideration of the COVID-19 pandemic as well as the economic effects of the conflict between Russia and Ukraine and the global inflationary environment, that have caused significant volatility in U.S. and international markets, and, accordingly, the estimates presented herein are not necessarily indicative of the amounts that the Company could realize in a current market exchange.</w:t>
      </w:r>
    </w:p>
    <w:p>
      <w:pPr>
        <w:spacing w:after="0" w:line="191"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b w:val="1"/>
          <w:bCs w:val="1"/>
          <w:i w:val="1"/>
          <w:iCs w:val="1"/>
          <w:color w:val="auto"/>
        </w:rPr>
        <w:t>Property and equipment</w:t>
      </w:r>
      <w:r>
        <w:rPr>
          <w:rFonts w:ascii="Arial" w:cs="Arial" w:eastAsia="Arial" w:hAnsi="Arial"/>
          <w:sz w:val="21"/>
          <w:szCs w:val="21"/>
          <w:color w:val="auto"/>
        </w:rPr>
        <w:t>. During the nine months ended September 30, 2022, the Company recognized impairment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charges of $3.4 million. The Company recorded impairment charges of $0.9 million for one FSV classified as held for sale during the first quarter of 2022 and sold during the second quarter of 2022. In addition, in the third quarter of 2022 the Company recorded impairment charges of $1.2 million for one AHTS as it is not expected to return to active service during its remaining lease term. Additionally, the Company recorded impairment charges of $1.3 million for other equipment and classified such equipment as assets held for sale as of September 30, 2022 as the Company expects to sell the equipment within one year. The impairment charges for the assets held for sale are included in (losses) gains on asset dispositions and impairments in the accompanying consolidated statements of income (loss). During the year ended December 31, 2021, the Company recognized no impairment charges, and none of the Company’s property and equipment had a fair value based on ordinary liquidation value or indicative sales price.</w:t>
      </w:r>
    </w:p>
    <w:p>
      <w:pPr>
        <w:spacing w:after="0" w:line="175" w:lineRule="exact"/>
        <w:rPr>
          <w:sz w:val="20"/>
          <w:szCs w:val="20"/>
          <w:color w:val="auto"/>
        </w:rPr>
      </w:pPr>
    </w:p>
    <w:p>
      <w:pPr>
        <w:ind w:left="760" w:hanging="752"/>
        <w:spacing w:after="0"/>
        <w:tabs>
          <w:tab w:leader="none" w:pos="76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COMMITMENTS AND CONTINGENCIES</w:t>
      </w:r>
    </w:p>
    <w:p>
      <w:pPr>
        <w:spacing w:after="0" w:line="18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As of September 30, 2022, the Company had unfunded capital commitments of $1.1 million for miscellaneous vessel equipment, $0.3 million of which is payable during the remainder of 2022 and $0.8 million is payable during 2023. The Company has indefinitely deferred an additional $9.4 million of orders with respect to one FSV that the Company had previously reported as unfunded capital commitments.</w:t>
      </w:r>
    </w:p>
    <w:p>
      <w:pPr>
        <w:spacing w:after="0" w:line="144"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1"/>
          <w:szCs w:val="21"/>
          <w:color w:val="auto"/>
        </w:rPr>
        <w:t>In December 2015, the Brazilian Federal Revenue Office issued a tax-deficiency notice to Seabulk Offshore do Brasil Ltda, an indirect wholly-owned subsidiary of SEACOR Marine (“Seabulk Offshore do Brasil”), with respect to certain profit participation contributions (also known as “PIS”) and social security financing contributions (also known as “COFINS”) requirements alleged to be due from Seabulk Offshore do Brasil (“Deficiency Notice”) in respect of the period of January 2011 until December 2012. In January 2016, the Company administratively appealed the Deficiency Notice on the basis that, among other arguments, (i) such contributions were not applicable in the circumstances of a 70%/30% cost allocation structure, and (ii) the tax inspector had incorrectly determined that values received from outside of Brazil could not be classified as expense refunds. The initial appeal was dismissed by the Brazilian Federal Revenue Office and the Company appealed such dismissal and is currently awaiting an administrative trial. A local Brazilian law has been enacted that supports the Company’s position that such contribution requirements are not applicable, but it is uncertain whether such law will be taken into consideration with respect to administrative proceedings commenced prior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22" w:name="page23"/>
    <w:bookmarkEnd w:id="22"/>
    <w:p>
      <w:pPr>
        <w:jc w:val="both"/>
        <w:spacing w:after="0" w:line="252" w:lineRule="auto"/>
        <w:rPr>
          <w:sz w:val="20"/>
          <w:szCs w:val="20"/>
          <w:color w:val="auto"/>
        </w:rPr>
      </w:pPr>
      <w:r>
        <w:rPr>
          <w:rFonts w:ascii="Arial" w:cs="Arial" w:eastAsia="Arial" w:hAnsi="Arial"/>
          <w:sz w:val="21"/>
          <w:szCs w:val="21"/>
          <w:color w:val="auto"/>
        </w:rPr>
        <w:t>to the enactment of the law. Accordingly, the success of Seabulk Offshore do Brasil in the administrative proceedings cannot be assured and the matter may need to be addressed through judicial court proceedings. The potential levy arising from the Deficiency Notice is R$20.1 million based on a historical potential levy of R$12.87 million (USD $3.7 million and USD $2.4 million, respectively, based on the exchange rate as of September 30, 2022).</w:t>
      </w:r>
    </w:p>
    <w:p>
      <w:pPr>
        <w:spacing w:after="0" w:line="147"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On April 13, 2021, the SEACOR Power, a liftboat owned by a subsidiary of the Company with nineteen individuals on board, capsized off the coast of Port Fourchon, Louisiana. The incident resulted in the death of several crew members, including the captain of the vessel and five other employees of the Company. The incident also resulted in the constructive total loss of the SEACOR Power. The Company is responsible for the salvage operations related to the vessel and is coordinating these efforts with the U.S. Coast Guard. The salvage operations are currently ongoing and the Company expects salvage costs to be covered by insurance proceeds.</w:t>
      </w:r>
    </w:p>
    <w:p>
      <w:pPr>
        <w:spacing w:after="0" w:line="147"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The capsizing of the SEACOR Power garnered significant attention from the media as well as local, state and federal politicians. The National Transportation Safety Board (“NTSB”) and the U.S. Coast Guard are currently investigating the incident to determine the cause of the incident and the Company is fully cooperating with the investigations in all respects. The NTSB held a board meeting on October 18, 2022 to adopt the accident report as well as the determination of the probable cause and any related safety recommendations, and published a synopsis of its forthcoming report. The NTSB anticipates making their final report available to the public approximately four to six weeks following the board meeting. The U.S. Coast Guard is also expected to release a report on its investigations although the timing of such release is uncertain.</w:t>
      </w:r>
    </w:p>
    <w:p>
      <w:pPr>
        <w:spacing w:after="0" w:line="11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Numerous civil lawsuits have been filed against the Company and other third parties by the family members of deceased crew members and the surviving crew members employed by the Company or by third parties. On June 2, 2021, the Company filed a Limitation of Liability Act complaint in federal court in the Eastern District of Louisiana (“Limitation Action”), which has the effect of enjoining all existing civil lawsuits and requiring the plaintiffs to file their claims relating to the capsizing of the SEACOR Power in the Limitation Action. Nearly all injury and death claims in the Limitation Action for which the Company has financial exposure have been resolved, and the remaining claims are those for which the Company is owed contractual defense and indemnity or which will be covered by insurance. There is significant uncertainty regarding the impact the incident will have on the Company’s reputation and the resulting possible impact on the Company’s business.</w:t>
      </w:r>
    </w:p>
    <w:p>
      <w:pPr>
        <w:spacing w:after="0" w:line="130"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In the normal course of its business, the Company becomes involved in various other litigation matters including, among others, claims by third parties for alleged property damages and personal injuries.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such changes in estimated costs would have a material effect on the Company’s consolidated financial position, results of operations or cash flows.</w:t>
      </w:r>
    </w:p>
    <w:p>
      <w:pPr>
        <w:spacing w:after="0" w:line="147"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Certain of the Company’s subsidiaries are participating employers in two industry-wide, multi-employer, defined benefit pension funds in the United Kingdom: the U.K Merchant Navy Officers Pension Fund (“MNOPF”) and the U.K. Merchant Navy Ratings Pension Fund (“MNRPF”). The Company’s participation in the MNOPF began with the acquisition of the Stirling group of companies (the “Stirling Group”) in 2001 and relates to certain officers employed between 1978 and 2002 by the Stirling Group and/or its predecessors. The Company’s participation in the MNRPF also began with the acquisition of the Stirling Group in 2001 and relates to ratings employed by the Stirling Group and/or its predecessors through today. Both of these plans are in deficit positions and, depending upon the results of future actuarial valuations, it is possible that the plans could experience funding deficits that will require the Company to recognize payroll related operating expenses in the periods invoices are received. As of September 30, 2022, all previously received invoices related to MNOPF and MNRPF have been settled in full.</w:t>
      </w:r>
    </w:p>
    <w:p>
      <w:pPr>
        <w:spacing w:after="0" w:line="118" w:lineRule="exact"/>
        <w:rPr>
          <w:sz w:val="20"/>
          <w:szCs w:val="20"/>
          <w:color w:val="auto"/>
        </w:rPr>
      </w:pPr>
    </w:p>
    <w:p>
      <w:pPr>
        <w:jc w:val="both"/>
        <w:ind w:right="20" w:firstLine="749"/>
        <w:spacing w:after="0"/>
        <w:rPr>
          <w:sz w:val="20"/>
          <w:szCs w:val="20"/>
          <w:color w:val="auto"/>
        </w:rPr>
      </w:pPr>
      <w:r>
        <w:rPr>
          <w:rFonts w:ascii="Arial" w:cs="Arial" w:eastAsia="Arial" w:hAnsi="Arial"/>
          <w:sz w:val="22"/>
          <w:szCs w:val="22"/>
          <w:color w:val="auto"/>
        </w:rPr>
        <w:t>On October 19, 2021, the Company was informed by the MNRPF that two issues had been identified during a review of the MNRPF by the applicable trustee that would potentially give rise to material additional liabilities for the MNRPF. The MNRPF has indicated that the investigations into these issues remain ongoing,</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23" w:name="page24"/>
    <w:bookmarkEnd w:id="23"/>
    <w:p>
      <w:pPr>
        <w:jc w:val="both"/>
        <w:spacing w:after="0"/>
        <w:rPr>
          <w:sz w:val="20"/>
          <w:szCs w:val="20"/>
          <w:color w:val="auto"/>
        </w:rPr>
      </w:pPr>
      <w:r>
        <w:rPr>
          <w:rFonts w:ascii="Arial" w:cs="Arial" w:eastAsia="Arial" w:hAnsi="Arial"/>
          <w:sz w:val="22"/>
          <w:szCs w:val="22"/>
          <w:color w:val="auto"/>
        </w:rPr>
        <w:t>and that further updates will be provided as significant developments arise. Should such additional liabilities require the MNRPF to collect additional funds from participating employers, it is possible that the Company will be invoiced for a portion of such funds and recognize payroll related operating expenses in the periods invoices are received.</w:t>
      </w:r>
    </w:p>
    <w:p>
      <w:pPr>
        <w:spacing w:after="0" w:line="153" w:lineRule="exact"/>
        <w:rPr>
          <w:sz w:val="20"/>
          <w:szCs w:val="20"/>
          <w:color w:val="auto"/>
        </w:rPr>
      </w:pPr>
    </w:p>
    <w:p>
      <w:pPr>
        <w:ind w:left="760" w:hanging="752"/>
        <w:spacing w:after="0"/>
        <w:tabs>
          <w:tab w:leader="none" w:pos="76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STOCK BASED COMPENSATION</w:t>
      </w:r>
    </w:p>
    <w:p>
      <w:pPr>
        <w:spacing w:after="0" w:line="172"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Transactions in connection with the Company’s Equity Incentive Plans during the nine months ended September 30, 2022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4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Restricted Stock Activity:</w:t>
            </w:r>
          </w:p>
        </w:tc>
        <w:tc>
          <w:tcPr>
            <w:tcW w:w="22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9040" w:type="dxa"/>
            <w:vAlign w:val="bottom"/>
            <w:gridSpan w:val="2"/>
          </w:tcPr>
          <w:p>
            <w:pPr>
              <w:spacing w:after="0"/>
              <w:rPr>
                <w:sz w:val="20"/>
                <w:szCs w:val="20"/>
                <w:color w:val="auto"/>
              </w:rPr>
            </w:pPr>
            <w:r>
              <w:rPr>
                <w:rFonts w:ascii="Arial" w:cs="Arial" w:eastAsia="Arial" w:hAnsi="Arial"/>
                <w:sz w:val="16"/>
                <w:szCs w:val="16"/>
                <w:color w:val="auto"/>
              </w:rPr>
              <w:t>Outstanding as of December 31, 2021</w:t>
            </w:r>
          </w:p>
        </w:tc>
        <w:tc>
          <w:tcPr>
            <w:tcW w:w="2100" w:type="dxa"/>
            <w:vAlign w:val="bottom"/>
            <w:gridSpan w:val="2"/>
          </w:tcPr>
          <w:p>
            <w:pPr>
              <w:jc w:val="right"/>
              <w:spacing w:after="0"/>
              <w:rPr>
                <w:sz w:val="20"/>
                <w:szCs w:val="20"/>
                <w:color w:val="auto"/>
              </w:rPr>
            </w:pPr>
            <w:r>
              <w:rPr>
                <w:rFonts w:ascii="Arial" w:cs="Arial" w:eastAsia="Arial" w:hAnsi="Arial"/>
                <w:sz w:val="16"/>
                <w:szCs w:val="16"/>
                <w:color w:val="auto"/>
              </w:rPr>
              <w:t>1,163,090</w:t>
            </w:r>
          </w:p>
        </w:tc>
        <w:tc>
          <w:tcPr>
            <w:tcW w:w="100" w:type="dxa"/>
            <w:vAlign w:val="bottom"/>
          </w:tcPr>
          <w:p>
            <w:pPr>
              <w:spacing w:after="0"/>
              <w:rPr>
                <w:sz w:val="18"/>
                <w:szCs w:val="18"/>
                <w:color w:val="auto"/>
              </w:rPr>
            </w:pPr>
          </w:p>
        </w:tc>
      </w:tr>
      <w:tr>
        <w:trPr>
          <w:trHeight w:val="219"/>
        </w:trPr>
        <w:tc>
          <w:tcPr>
            <w:tcW w:w="9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Granted</w:t>
            </w:r>
          </w:p>
        </w:tc>
        <w:tc>
          <w:tcPr>
            <w:tcW w:w="2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999,619</w:t>
            </w:r>
          </w:p>
        </w:tc>
        <w:tc>
          <w:tcPr>
            <w:tcW w:w="100" w:type="dxa"/>
            <w:vAlign w:val="bottom"/>
            <w:shd w:val="clear" w:color="auto" w:fill="CFF0FC"/>
          </w:tcPr>
          <w:p>
            <w:pPr>
              <w:spacing w:after="0"/>
              <w:rPr>
                <w:sz w:val="19"/>
                <w:szCs w:val="19"/>
                <w:color w:val="auto"/>
              </w:rPr>
            </w:pPr>
          </w:p>
        </w:tc>
      </w:tr>
      <w:tr>
        <w:trPr>
          <w:trHeight w:val="213"/>
        </w:trPr>
        <w:tc>
          <w:tcPr>
            <w:tcW w:w="9040" w:type="dxa"/>
            <w:vAlign w:val="bottom"/>
            <w:gridSpan w:val="2"/>
          </w:tcPr>
          <w:p>
            <w:pPr>
              <w:spacing w:after="0"/>
              <w:rPr>
                <w:sz w:val="20"/>
                <w:szCs w:val="20"/>
                <w:color w:val="auto"/>
              </w:rPr>
            </w:pPr>
            <w:r>
              <w:rPr>
                <w:rFonts w:ascii="Arial" w:cs="Arial" w:eastAsia="Arial" w:hAnsi="Arial"/>
                <w:sz w:val="16"/>
                <w:szCs w:val="16"/>
                <w:color w:val="auto"/>
              </w:rPr>
              <w:t>Vested</w:t>
            </w:r>
          </w:p>
        </w:tc>
        <w:tc>
          <w:tcPr>
            <w:tcW w:w="2200" w:type="dxa"/>
            <w:vAlign w:val="bottom"/>
            <w:gridSpan w:val="3"/>
          </w:tcPr>
          <w:p>
            <w:pPr>
              <w:jc w:val="right"/>
              <w:ind w:right="60"/>
              <w:spacing w:after="0"/>
              <w:rPr>
                <w:sz w:val="20"/>
                <w:szCs w:val="20"/>
                <w:color w:val="auto"/>
              </w:rPr>
            </w:pPr>
            <w:r>
              <w:rPr>
                <w:rFonts w:ascii="Arial" w:cs="Arial" w:eastAsia="Arial" w:hAnsi="Arial"/>
                <w:sz w:val="16"/>
                <w:szCs w:val="16"/>
                <w:color w:val="auto"/>
              </w:rPr>
              <w:t>(514,002)</w:t>
            </w:r>
          </w:p>
        </w:tc>
      </w:tr>
      <w:tr>
        <w:trPr>
          <w:trHeight w:val="213"/>
        </w:trPr>
        <w:tc>
          <w:tcPr>
            <w:tcW w:w="9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Forfeited</w:t>
            </w:r>
          </w:p>
        </w:tc>
        <w:tc>
          <w:tcPr>
            <w:tcW w:w="22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(3,500)</w:t>
            </w:r>
          </w:p>
        </w:tc>
      </w:tr>
      <w:tr>
        <w:trPr>
          <w:trHeight w:val="215"/>
        </w:trPr>
        <w:tc>
          <w:tcPr>
            <w:tcW w:w="9040" w:type="dxa"/>
            <w:vAlign w:val="bottom"/>
            <w:tcBorders>
              <w:top w:val="single" w:sz="8" w:color="CFF0FC"/>
              <w:bottom w:val="single" w:sz="8" w:color="CFF0FC"/>
            </w:tcBorders>
            <w:gridSpan w:val="2"/>
            <w:shd w:val="clear" w:color="auto" w:fill="CFF0FC"/>
          </w:tcPr>
          <w:p>
            <w:pPr>
              <w:spacing w:after="0" w:line="216" w:lineRule="exact"/>
              <w:rPr>
                <w:sz w:val="20"/>
                <w:szCs w:val="20"/>
                <w:color w:val="auto"/>
              </w:rPr>
            </w:pPr>
            <w:r>
              <w:rPr>
                <w:rFonts w:ascii="Arial" w:cs="Arial" w:eastAsia="Arial" w:hAnsi="Arial"/>
                <w:sz w:val="15"/>
                <w:szCs w:val="15"/>
                <w:color w:val="auto"/>
              </w:rPr>
              <w:t xml:space="preserve">Outstanding as of September 30, 2022 </w:t>
            </w:r>
            <w:r>
              <w:rPr>
                <w:rFonts w:ascii="Arial" w:cs="Arial" w:eastAsia="Arial" w:hAnsi="Arial"/>
                <w:sz w:val="24"/>
                <w:szCs w:val="24"/>
                <w:color w:val="auto"/>
                <w:vertAlign w:val="superscript"/>
              </w:rPr>
              <w:t>(1)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1,645,207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150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7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04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Stock Option Activity:</w:t>
            </w:r>
          </w:p>
        </w:tc>
        <w:tc>
          <w:tcPr>
            <w:tcW w:w="22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9040" w:type="dxa"/>
            <w:vAlign w:val="bottom"/>
            <w:gridSpan w:val="2"/>
          </w:tcPr>
          <w:p>
            <w:pPr>
              <w:spacing w:after="0"/>
              <w:rPr>
                <w:sz w:val="20"/>
                <w:szCs w:val="20"/>
                <w:color w:val="auto"/>
              </w:rPr>
            </w:pPr>
            <w:r>
              <w:rPr>
                <w:rFonts w:ascii="Arial" w:cs="Arial" w:eastAsia="Arial" w:hAnsi="Arial"/>
                <w:sz w:val="16"/>
                <w:szCs w:val="16"/>
                <w:color w:val="auto"/>
              </w:rPr>
              <w:t>Outstanding as of December 31, 2021</w:t>
            </w:r>
          </w:p>
        </w:tc>
        <w:tc>
          <w:tcPr>
            <w:tcW w:w="2100" w:type="dxa"/>
            <w:vAlign w:val="bottom"/>
            <w:gridSpan w:val="2"/>
          </w:tcPr>
          <w:p>
            <w:pPr>
              <w:jc w:val="right"/>
              <w:spacing w:after="0"/>
              <w:rPr>
                <w:sz w:val="20"/>
                <w:szCs w:val="20"/>
                <w:color w:val="auto"/>
              </w:rPr>
            </w:pPr>
            <w:r>
              <w:rPr>
                <w:rFonts w:ascii="Arial" w:cs="Arial" w:eastAsia="Arial" w:hAnsi="Arial"/>
                <w:sz w:val="16"/>
                <w:szCs w:val="16"/>
                <w:color w:val="auto"/>
              </w:rPr>
              <w:t>1,061,357</w:t>
            </w:r>
          </w:p>
        </w:tc>
        <w:tc>
          <w:tcPr>
            <w:tcW w:w="100" w:type="dxa"/>
            <w:vAlign w:val="bottom"/>
          </w:tcPr>
          <w:p>
            <w:pPr>
              <w:spacing w:after="0"/>
              <w:rPr>
                <w:sz w:val="18"/>
                <w:szCs w:val="18"/>
                <w:color w:val="auto"/>
              </w:rPr>
            </w:pPr>
          </w:p>
        </w:tc>
      </w:tr>
      <w:tr>
        <w:trPr>
          <w:trHeight w:val="219"/>
        </w:trPr>
        <w:tc>
          <w:tcPr>
            <w:tcW w:w="9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Exercised</w:t>
            </w:r>
          </w:p>
        </w:tc>
        <w:tc>
          <w:tcPr>
            <w:tcW w:w="22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(34,492)</w:t>
            </w:r>
          </w:p>
        </w:tc>
      </w:tr>
      <w:tr>
        <w:trPr>
          <w:trHeight w:val="207"/>
        </w:trPr>
        <w:tc>
          <w:tcPr>
            <w:tcW w:w="9040" w:type="dxa"/>
            <w:vAlign w:val="bottom"/>
            <w:gridSpan w:val="2"/>
          </w:tcPr>
          <w:p>
            <w:pPr>
              <w:spacing w:after="0"/>
              <w:rPr>
                <w:sz w:val="20"/>
                <w:szCs w:val="20"/>
                <w:color w:val="auto"/>
              </w:rPr>
            </w:pPr>
            <w:r>
              <w:rPr>
                <w:rFonts w:ascii="Arial" w:cs="Arial" w:eastAsia="Arial" w:hAnsi="Arial"/>
                <w:sz w:val="16"/>
                <w:szCs w:val="16"/>
                <w:color w:val="auto"/>
              </w:rPr>
              <w:t>Outstanding as of September 30, 2022</w:t>
            </w:r>
          </w:p>
        </w:tc>
        <w:tc>
          <w:tcPr>
            <w:tcW w:w="220" w:type="dxa"/>
            <w:vAlign w:val="bottom"/>
          </w:tcPr>
          <w:p>
            <w:pPr>
              <w:spacing w:after="0"/>
              <w:rPr>
                <w:sz w:val="17"/>
                <w:szCs w:val="17"/>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1,026,865</w:t>
            </w:r>
          </w:p>
        </w:tc>
        <w:tc>
          <w:tcPr>
            <w:tcW w:w="100" w:type="dxa"/>
            <w:vAlign w:val="bottom"/>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8"/>
        </w:trPr>
        <w:tc>
          <w:tcPr>
            <w:tcW w:w="1500" w:type="dxa"/>
            <w:vAlign w:val="bottom"/>
            <w:tcBorders>
              <w:bottom w:val="single" w:sz="8" w:color="auto"/>
            </w:tcBorders>
          </w:tcPr>
          <w:p>
            <w:pPr>
              <w:spacing w:after="0"/>
              <w:rPr>
                <w:sz w:val="10"/>
                <w:szCs w:val="10"/>
                <w:color w:val="auto"/>
              </w:rPr>
            </w:pPr>
          </w:p>
        </w:tc>
        <w:tc>
          <w:tcPr>
            <w:tcW w:w="7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ind w:left="760" w:hanging="752"/>
        <w:spacing w:after="0" w:line="205" w:lineRule="auto"/>
        <w:tabs>
          <w:tab w:leader="none" w:pos="760" w:val="left"/>
        </w:tabs>
        <w:numPr>
          <w:ilvl w:val="0"/>
          <w:numId w:val="22"/>
        </w:numPr>
        <w:rPr>
          <w:rFonts w:ascii="Arial" w:cs="Arial" w:eastAsia="Arial" w:hAnsi="Arial"/>
          <w:sz w:val="26"/>
          <w:szCs w:val="26"/>
          <w:color w:val="auto"/>
          <w:vertAlign w:val="superscript"/>
        </w:rPr>
      </w:pPr>
      <w:r>
        <w:rPr>
          <w:rFonts w:ascii="Arial" w:cs="Arial" w:eastAsia="Arial" w:hAnsi="Arial"/>
          <w:sz w:val="14"/>
          <w:szCs w:val="14"/>
          <w:color w:val="auto"/>
        </w:rPr>
        <w:t xml:space="preserve">Excludes 253,158 grants </w:t>
      </w:r>
      <w:r>
        <w:rPr>
          <w:rFonts w:ascii="Arial" w:cs="Arial" w:eastAsia="Arial" w:hAnsi="Arial"/>
          <w:sz w:val="16"/>
          <w:szCs w:val="16"/>
          <w:color w:val="auto"/>
        </w:rPr>
        <w:t>of performance-based stock units that are not considered outstanding until such time that they become probable to vest.</w:t>
      </w:r>
    </w:p>
    <w:p>
      <w:pPr>
        <w:spacing w:after="0" w:line="155"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For the nine months ended September 30, 2022, the Company acquired for treasury 120,751 shares of Common Stock from its directors and/or employees to cover their tax withholding obligations upon the lapsing of restrictions on share awards for an aggregate purchase price of $0.7 million. These shares were purchased in accordance with the terms of the Company’s 2017 Equity Incentive Plan and the Company’s 2020 Equity Incentive Plan.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24" w:name="page25"/>
    <w:bookmarkEnd w:id="24"/>
    <w:p>
      <w:pPr>
        <w:ind w:left="760" w:hanging="752"/>
        <w:spacing w:after="0"/>
        <w:tabs>
          <w:tab w:leader="none" w:pos="76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SEGMENT INFORMATION</w:t>
      </w:r>
    </w:p>
    <w:p>
      <w:pPr>
        <w:spacing w:after="0" w:line="172" w:lineRule="exact"/>
        <w:rPr>
          <w:sz w:val="20"/>
          <w:szCs w:val="20"/>
          <w:color w:val="auto"/>
        </w:rPr>
      </w:pPr>
    </w:p>
    <w:p>
      <w:pPr>
        <w:jc w:val="both"/>
        <w:ind w:right="20" w:firstLine="749"/>
        <w:spacing w:after="0"/>
        <w:rPr>
          <w:sz w:val="20"/>
          <w:szCs w:val="20"/>
          <w:color w:val="auto"/>
        </w:rPr>
      </w:pPr>
      <w:r>
        <w:rPr>
          <w:rFonts w:ascii="Arial" w:cs="Arial" w:eastAsia="Arial" w:hAnsi="Arial"/>
          <w:sz w:val="22"/>
          <w:szCs w:val="22"/>
          <w:color w:val="auto"/>
        </w:rPr>
        <w:t>The Company’s segment presentation and basis of measurement of segment profit or loss are as previously described in the 2021 Annual Report. The following tables summarize the operating results, capital expenditures and assets of the Company’s reportable segments for the periods indicated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United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99"/>
              <w:spacing w:after="0"/>
              <w:rPr>
                <w:sz w:val="20"/>
                <w:szCs w:val="20"/>
                <w:color w:val="auto"/>
              </w:rPr>
            </w:pPr>
            <w:r>
              <w:rPr>
                <w:rFonts w:ascii="Arial" w:cs="Arial" w:eastAsia="Arial" w:hAnsi="Arial"/>
                <w:sz w:val="16"/>
                <w:szCs w:val="16"/>
                <w:b w:val="1"/>
                <w:bCs w:val="1"/>
                <w:color w:val="auto"/>
                <w:w w:val="87"/>
              </w:rPr>
              <w:t>States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(primarily</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8"/>
              </w:rPr>
              <w:t>Middle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99"/>
              <w:spacing w:after="0"/>
              <w:rPr>
                <w:sz w:val="20"/>
                <w:szCs w:val="20"/>
                <w:color w:val="auto"/>
              </w:rPr>
            </w:pPr>
            <w:r>
              <w:rPr>
                <w:rFonts w:ascii="Arial" w:cs="Arial" w:eastAsia="Arial" w:hAnsi="Arial"/>
                <w:sz w:val="16"/>
                <w:szCs w:val="16"/>
                <w:b w:val="1"/>
                <w:bCs w:val="1"/>
                <w:color w:val="auto"/>
                <w:w w:val="96"/>
              </w:rPr>
              <w:t>Gulf of</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6"/>
              </w:rPr>
              <w:t>Africa</w:t>
            </w: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East</w:t>
            </w: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Latin</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Mexico)</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and Europe</w:t>
            </w:r>
          </w:p>
        </w:tc>
        <w:tc>
          <w:tcPr>
            <w:tcW w:w="16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and Asia</w:t>
            </w:r>
          </w:p>
        </w:tc>
        <w:tc>
          <w:tcPr>
            <w:tcW w:w="16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America</w:t>
            </w:r>
          </w:p>
        </w:tc>
        <w:tc>
          <w:tcPr>
            <w:tcW w:w="22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Three Months Ended September 30, 2022</w:t>
            </w:r>
          </w:p>
        </w:tc>
        <w:tc>
          <w:tcPr>
            <w:tcW w:w="6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60" w:type="dxa"/>
            <w:vAlign w:val="bottom"/>
          </w:tcPr>
          <w:p>
            <w:pPr>
              <w:spacing w:after="0"/>
              <w:rPr>
                <w:sz w:val="20"/>
                <w:szCs w:val="20"/>
                <w:color w:val="auto"/>
              </w:rPr>
            </w:pPr>
            <w:r>
              <w:rPr>
                <w:rFonts w:ascii="Arial" w:cs="Arial" w:eastAsia="Arial" w:hAnsi="Arial"/>
                <w:sz w:val="16"/>
                <w:szCs w:val="16"/>
                <w:color w:val="auto"/>
              </w:rPr>
              <w:t>Operating Revenues: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17,075</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17,551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11,712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10,162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6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6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2,161</w:t>
            </w:r>
          </w:p>
        </w:tc>
        <w:tc>
          <w:tcPr>
            <w:tcW w:w="2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319</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419</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Borders>
              <w:bottom w:val="single" w:sz="8" w:color="CFF0FC"/>
            </w:tcBorders>
          </w:tcPr>
          <w:p>
            <w:pPr>
              <w:spacing w:after="0"/>
              <w:rPr>
                <w:sz w:val="18"/>
                <w:szCs w:val="18"/>
                <w:color w:val="auto"/>
              </w:rPr>
            </w:pPr>
          </w:p>
        </w:tc>
        <w:tc>
          <w:tcPr>
            <w:tcW w:w="6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19,236</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17,611</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12,031</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10,913</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59,791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6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7,243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4,694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5,384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6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1,776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1,489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6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1,382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6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6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1,580</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13,633</w:t>
            </w:r>
          </w:p>
        </w:tc>
        <w:tc>
          <w:tcPr>
            <w:tcW w:w="2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11,410</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13,339</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5,624</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44,006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60" w:type="dxa"/>
            <w:vAlign w:val="bottom"/>
          </w:tcPr>
          <w:p>
            <w:pPr>
              <w:spacing w:after="0"/>
              <w:rPr>
                <w:sz w:val="20"/>
                <w:szCs w:val="20"/>
                <w:color w:val="auto"/>
              </w:rPr>
            </w:pPr>
            <w:r>
              <w:rPr>
                <w:rFonts w:ascii="Arial" w:cs="Arial" w:eastAsia="Arial" w:hAnsi="Arial"/>
                <w:sz w:val="16"/>
                <w:szCs w:val="16"/>
                <w:b w:val="1"/>
                <w:bCs w:val="1"/>
                <w:color w:val="auto"/>
              </w:rPr>
              <w:t>Direct Vessel Profit (Loss)</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5,603</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6,201</w:t>
            </w:r>
          </w:p>
        </w:tc>
        <w:tc>
          <w:tcPr>
            <w:tcW w:w="220" w:type="dxa"/>
            <w:vAlign w:val="bottom"/>
          </w:tcPr>
          <w:p>
            <w:pPr>
              <w:spacing w:after="0"/>
              <w:rPr>
                <w:sz w:val="21"/>
                <w:szCs w:val="21"/>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(1,308)</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5,289</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15,785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6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6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278</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455</w:t>
            </w:r>
          </w:p>
        </w:tc>
        <w:tc>
          <w:tcPr>
            <w:tcW w:w="2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35</w:t>
            </w:r>
          </w:p>
        </w:tc>
        <w:tc>
          <w:tcPr>
            <w:tcW w:w="2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64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4,332</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3,461</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3,974</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1,987</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13,754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24,900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60" w:type="dxa"/>
            <w:vAlign w:val="bottom"/>
          </w:tcPr>
          <w:p>
            <w:pPr>
              <w:spacing w:after="0"/>
              <w:rPr>
                <w:sz w:val="20"/>
                <w:szCs w:val="20"/>
                <w:color w:val="auto"/>
              </w:rPr>
            </w:pPr>
            <w:r>
              <w:rPr>
                <w:rFonts w:ascii="Arial" w:cs="Arial" w:eastAsia="Arial" w:hAnsi="Arial"/>
                <w:sz w:val="16"/>
                <w:szCs w:val="16"/>
                <w:color w:val="auto"/>
              </w:rPr>
              <w:t>Losses on Asset Dispositions and Impairments, Net</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(1,783)</w:t>
            </w:r>
          </w:p>
        </w:tc>
        <w:tc>
          <w:tcPr>
            <w:tcW w:w="0" w:type="dxa"/>
            <w:vAlign w:val="bottom"/>
          </w:tcPr>
          <w:p>
            <w:pPr>
              <w:spacing w:after="0"/>
              <w:rPr>
                <w:sz w:val="1"/>
                <w:szCs w:val="1"/>
                <w:color w:val="auto"/>
              </w:rPr>
            </w:pPr>
          </w:p>
        </w:tc>
      </w:tr>
      <w:tr>
        <w:trPr>
          <w:trHeight w:val="20"/>
        </w:trPr>
        <w:tc>
          <w:tcPr>
            <w:tcW w:w="40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6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60" w:type="dxa"/>
            <w:vAlign w:val="bottom"/>
            <w:vMerge w:val="continue"/>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(10,898)</w:t>
            </w: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3"/>
        </w:trPr>
        <w:tc>
          <w:tcPr>
            <w:tcW w:w="15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United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States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(primarily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8"/>
              </w:rPr>
              <w:t>Middle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Gulf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Africa</w:t>
            </w: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East</w:t>
            </w:r>
          </w:p>
        </w:tc>
        <w:tc>
          <w:tcPr>
            <w:tcW w:w="160" w:type="dxa"/>
            <w:vAlign w:val="bottom"/>
          </w:tcPr>
          <w:p>
            <w:pPr>
              <w:spacing w:after="0"/>
              <w:rPr>
                <w:sz w:val="17"/>
                <w:szCs w:val="17"/>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Latin</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Mexico)</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0"/>
              </w:rPr>
              <w:t>and Europe</w:t>
            </w:r>
          </w:p>
        </w:tc>
        <w:tc>
          <w:tcPr>
            <w:tcW w:w="16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and Asia</w:t>
            </w:r>
          </w:p>
        </w:tc>
        <w:tc>
          <w:tcPr>
            <w:tcW w:w="16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America</w:t>
            </w:r>
          </w:p>
        </w:tc>
        <w:tc>
          <w:tcPr>
            <w:tcW w:w="22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0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For the Nine Months Ended September 30, 2022</w:t>
            </w:r>
          </w:p>
        </w:tc>
        <w:tc>
          <w:tcPr>
            <w:tcW w:w="6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20" w:type="dxa"/>
            <w:vAlign w:val="bottom"/>
            <w:gridSpan w:val="2"/>
          </w:tcPr>
          <w:p>
            <w:pPr>
              <w:spacing w:after="0"/>
              <w:rPr>
                <w:sz w:val="20"/>
                <w:szCs w:val="20"/>
                <w:color w:val="auto"/>
              </w:rPr>
            </w:pPr>
            <w:r>
              <w:rPr>
                <w:rFonts w:ascii="Arial" w:cs="Arial" w:eastAsia="Arial" w:hAnsi="Arial"/>
                <w:sz w:val="16"/>
                <w:szCs w:val="16"/>
                <w:color w:val="auto"/>
              </w:rPr>
              <w:t>Operating Revenues: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34,698</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44,761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39,278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148,745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gridSpan w:val="2"/>
          </w:tcPr>
          <w:p>
            <w:pPr>
              <w:ind w:left="260"/>
              <w:spacing w:after="0"/>
              <w:rPr>
                <w:sz w:val="20"/>
                <w:szCs w:val="20"/>
                <w:color w:val="auto"/>
              </w:rPr>
            </w:pPr>
            <w:r>
              <w:rPr>
                <w:rFonts w:ascii="Arial" w:cs="Arial" w:eastAsia="Arial" w:hAnsi="Arial"/>
                <w:sz w:val="16"/>
                <w:szCs w:val="16"/>
                <w:color w:val="auto"/>
              </w:rPr>
              <w:t>Bareboat charter</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6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6,612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516</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828</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1,700</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00" w:type="dxa"/>
            <w:vAlign w:val="bottom"/>
            <w:tcBorders>
              <w:bottom w:val="single" w:sz="8" w:color="CFF0FC"/>
            </w:tcBorders>
          </w:tcPr>
          <w:p>
            <w:pPr>
              <w:spacing w:after="0"/>
              <w:rPr>
                <w:sz w:val="18"/>
                <w:szCs w:val="18"/>
                <w:color w:val="auto"/>
              </w:rPr>
            </w:pPr>
          </w:p>
        </w:tc>
        <w:tc>
          <w:tcPr>
            <w:tcW w:w="252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41,310</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45,277</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40,106</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32,706</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159,399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20" w:type="dxa"/>
            <w:vAlign w:val="bottom"/>
            <w:gridSpan w:val="2"/>
          </w:tcPr>
          <w:p>
            <w:pPr>
              <w:ind w:left="260"/>
              <w:spacing w:after="0"/>
              <w:rPr>
                <w:sz w:val="20"/>
                <w:szCs w:val="20"/>
                <w:color w:val="auto"/>
              </w:rPr>
            </w:pPr>
            <w:r>
              <w:rPr>
                <w:rFonts w:ascii="Arial" w:cs="Arial" w:eastAsia="Arial" w:hAnsi="Arial"/>
                <w:sz w:val="16"/>
                <w:szCs w:val="16"/>
                <w:color w:val="auto"/>
              </w:rPr>
              <w:t>Operating:</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17,939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11,756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17,106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10,132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56,933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gridSpan w:val="2"/>
          </w:tcPr>
          <w:p>
            <w:pPr>
              <w:ind w:left="500"/>
              <w:spacing w:after="0"/>
              <w:rPr>
                <w:sz w:val="20"/>
                <w:szCs w:val="20"/>
                <w:color w:val="auto"/>
              </w:rPr>
            </w:pPr>
            <w:r>
              <w:rPr>
                <w:rFonts w:ascii="Arial" w:cs="Arial" w:eastAsia="Arial" w:hAnsi="Arial"/>
                <w:sz w:val="16"/>
                <w:szCs w:val="16"/>
                <w:color w:val="auto"/>
              </w:rPr>
              <w:t>Repairs and maintenance</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6,153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5,685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8,506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6,325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gridSpan w:val="2"/>
          </w:tcPr>
          <w:p>
            <w:pPr>
              <w:ind w:left="500"/>
              <w:spacing w:after="0"/>
              <w:rPr>
                <w:sz w:val="20"/>
                <w:szCs w:val="20"/>
                <w:color w:val="auto"/>
              </w:rPr>
            </w:pPr>
            <w:r>
              <w:rPr>
                <w:rFonts w:ascii="Arial" w:cs="Arial" w:eastAsia="Arial" w:hAnsi="Arial"/>
                <w:sz w:val="16"/>
                <w:szCs w:val="16"/>
                <w:color w:val="auto"/>
              </w:rPr>
              <w:t>Insurance and loss reserves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2,017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943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5,247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tcBorders>
              <w:bottom w:val="single" w:sz="8" w:color="CFF0FC"/>
            </w:tcBorders>
            <w:gridSpan w:val="2"/>
          </w:tcPr>
          <w:p>
            <w:pPr>
              <w:ind w:left="500"/>
              <w:spacing w:after="0"/>
              <w:rPr>
                <w:sz w:val="20"/>
                <w:szCs w:val="20"/>
                <w:color w:val="auto"/>
              </w:rPr>
            </w:pPr>
            <w:r>
              <w:rPr>
                <w:rFonts w:ascii="Arial" w:cs="Arial" w:eastAsia="Arial" w:hAnsi="Arial"/>
                <w:sz w:val="16"/>
                <w:szCs w:val="16"/>
                <w:color w:val="auto"/>
              </w:rPr>
              <w:t>Other</w:t>
            </w:r>
          </w:p>
        </w:tc>
        <w:tc>
          <w:tcPr>
            <w:tcW w:w="6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5,279</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3,718</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1,781</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11,597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00" w:type="dxa"/>
            <w:vAlign w:val="bottom"/>
            <w:shd w:val="clear" w:color="auto" w:fill="CFF0FC"/>
          </w:tcPr>
          <w:p>
            <w:pPr>
              <w:spacing w:after="0"/>
              <w:rPr>
                <w:sz w:val="18"/>
                <w:szCs w:val="18"/>
                <w:color w:val="auto"/>
              </w:rPr>
            </w:pPr>
          </w:p>
        </w:tc>
        <w:tc>
          <w:tcPr>
            <w:tcW w:w="25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37,055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31,082</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39,073</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20,437</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127,647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20" w:type="dxa"/>
            <w:vAlign w:val="bottom"/>
            <w:gridSpan w:val="2"/>
          </w:tcPr>
          <w:p>
            <w:pPr>
              <w:spacing w:after="0"/>
              <w:rPr>
                <w:sz w:val="20"/>
                <w:szCs w:val="20"/>
                <w:color w:val="auto"/>
              </w:rPr>
            </w:pPr>
            <w:r>
              <w:rPr>
                <w:rFonts w:ascii="Arial" w:cs="Arial" w:eastAsia="Arial" w:hAnsi="Arial"/>
                <w:sz w:val="16"/>
                <w:szCs w:val="16"/>
                <w:b w:val="1"/>
                <w:bCs w:val="1"/>
                <w:color w:val="auto"/>
              </w:rPr>
              <w:t>Direct Vessel Profit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4,255</w:t>
            </w:r>
          </w:p>
        </w:tc>
        <w:tc>
          <w:tcPr>
            <w:tcW w:w="140" w:type="dxa"/>
            <w:vAlign w:val="bottom"/>
          </w:tcPr>
          <w:p>
            <w:pPr>
              <w:spacing w:after="0"/>
              <w:rPr>
                <w:sz w:val="21"/>
                <w:szCs w:val="21"/>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14,195</w:t>
            </w:r>
          </w:p>
        </w:tc>
        <w:tc>
          <w:tcPr>
            <w:tcW w:w="220" w:type="dxa"/>
            <w:vAlign w:val="bottom"/>
          </w:tcPr>
          <w:p>
            <w:pPr>
              <w:spacing w:after="0"/>
              <w:rPr>
                <w:sz w:val="21"/>
                <w:szCs w:val="21"/>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1,033</w:t>
            </w:r>
          </w:p>
        </w:tc>
        <w:tc>
          <w:tcPr>
            <w:tcW w:w="240" w:type="dxa"/>
            <w:vAlign w:val="bottom"/>
          </w:tcPr>
          <w:p>
            <w:pPr>
              <w:spacing w:after="0"/>
              <w:rPr>
                <w:sz w:val="21"/>
                <w:szCs w:val="21"/>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12,269</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31,752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6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20" w:type="dxa"/>
            <w:vAlign w:val="bottom"/>
            <w:gridSpan w:val="2"/>
          </w:tcPr>
          <w:p>
            <w:pPr>
              <w:ind w:left="260"/>
              <w:spacing w:after="0"/>
              <w:rPr>
                <w:sz w:val="20"/>
                <w:szCs w:val="20"/>
                <w:color w:val="auto"/>
              </w:rPr>
            </w:pPr>
            <w:r>
              <w:rPr>
                <w:rFonts w:ascii="Arial" w:cs="Arial" w:eastAsia="Arial" w:hAnsi="Arial"/>
                <w:sz w:val="16"/>
                <w:szCs w:val="16"/>
                <w:color w:val="auto"/>
              </w:rPr>
              <w:t>Lease expense</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860</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1,313</w:t>
            </w:r>
          </w:p>
        </w:tc>
        <w:tc>
          <w:tcPr>
            <w:tcW w:w="2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104</w:t>
            </w:r>
          </w:p>
        </w:tc>
        <w:tc>
          <w:tcPr>
            <w:tcW w:w="2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959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Depreciation and amortization</w:t>
            </w:r>
          </w:p>
        </w:tc>
        <w:tc>
          <w:tcPr>
            <w:tcW w:w="6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13,532</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10,025</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12,548</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6,228</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42,333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500" w:type="dxa"/>
            <w:vAlign w:val="bottom"/>
            <w:shd w:val="clear" w:color="auto" w:fill="CFF0FC"/>
          </w:tcPr>
          <w:p>
            <w:pPr>
              <w:spacing w:after="0"/>
              <w:rPr>
                <w:sz w:val="18"/>
                <w:szCs w:val="18"/>
                <w:color w:val="auto"/>
              </w:rPr>
            </w:pPr>
          </w:p>
        </w:tc>
        <w:tc>
          <w:tcPr>
            <w:tcW w:w="25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75,681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2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Gains on Asset Dispositions and Impairments, Net</w:t>
            </w:r>
          </w:p>
        </w:tc>
        <w:tc>
          <w:tcPr>
            <w:tcW w:w="68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08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96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90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90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(43,548)</w:t>
            </w: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6"/>
                <w:szCs w:val="16"/>
                <w:b w:val="1"/>
                <w:bCs w:val="1"/>
                <w:color w:val="auto"/>
              </w:rPr>
              <w:t>As of September 30, 2022</w:t>
            </w:r>
          </w:p>
        </w:tc>
        <w:tc>
          <w:tcPr>
            <w:tcW w:w="6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20" w:type="dxa"/>
            <w:vAlign w:val="bottom"/>
            <w:gridSpan w:val="2"/>
            <w:vMerge w:val="continue"/>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gridSpan w:val="2"/>
          </w:tcPr>
          <w:p>
            <w:pPr>
              <w:ind w:left="260"/>
              <w:spacing w:after="0"/>
              <w:rPr>
                <w:sz w:val="20"/>
                <w:szCs w:val="20"/>
                <w:color w:val="auto"/>
              </w:rPr>
            </w:pPr>
            <w:r>
              <w:rPr>
                <w:rFonts w:ascii="Arial" w:cs="Arial" w:eastAsia="Arial" w:hAnsi="Arial"/>
                <w:sz w:val="16"/>
                <w:szCs w:val="16"/>
                <w:color w:val="auto"/>
              </w:rPr>
              <w:t>Historical Cost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259,472</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247,967</w:t>
            </w:r>
          </w:p>
        </w:tc>
        <w:tc>
          <w:tcPr>
            <w:tcW w:w="2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305,880</w:t>
            </w:r>
          </w:p>
        </w:tc>
        <w:tc>
          <w:tcPr>
            <w:tcW w:w="2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179,104</w:t>
            </w:r>
          </w:p>
        </w:tc>
        <w:tc>
          <w:tcPr>
            <w:tcW w:w="24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992,423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(122,340)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(80,069)</w:t>
            </w: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(91,906)</w:t>
            </w: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(27,583)</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(321,898)</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5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137,132</w:t>
            </w:r>
          </w:p>
        </w:tc>
        <w:tc>
          <w:tcPr>
            <w:tcW w:w="1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167,898</w:t>
            </w:r>
          </w:p>
        </w:tc>
        <w:tc>
          <w:tcPr>
            <w:tcW w:w="22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213,974</w:t>
            </w:r>
          </w:p>
        </w:tc>
        <w:tc>
          <w:tcPr>
            <w:tcW w:w="24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151,521</w:t>
            </w:r>
          </w:p>
        </w:tc>
        <w:tc>
          <w:tcPr>
            <w:tcW w:w="24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670,525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tcBorders>
            <w:gridSpan w:val="2"/>
            <w:vMerge w:val="restart"/>
            <w:shd w:val="clear" w:color="auto" w:fill="CFF0FC"/>
          </w:tcPr>
          <w:p>
            <w:pPr>
              <w:spacing w:after="0" w:line="246" w:lineRule="exact"/>
              <w:rPr>
                <w:sz w:val="20"/>
                <w:szCs w:val="20"/>
                <w:color w:val="auto"/>
              </w:rPr>
            </w:pPr>
            <w:r>
              <w:rPr>
                <w:rFonts w:ascii="Arial" w:cs="Arial" w:eastAsia="Arial" w:hAnsi="Arial"/>
                <w:sz w:val="16"/>
                <w:szCs w:val="16"/>
                <w:color w:val="auto"/>
              </w:rPr>
              <w:t xml:space="preserve">Total Assets </w:t>
            </w:r>
            <w:r>
              <w:rPr>
                <w:rFonts w:ascii="Arial" w:cs="Arial" w:eastAsia="Arial" w:hAnsi="Arial"/>
                <w:sz w:val="27"/>
                <w:szCs w:val="27"/>
                <w:color w:val="auto"/>
                <w:vertAlign w:val="superscript"/>
              </w:rPr>
              <w:t>(1)</w:t>
            </w: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020" w:type="dxa"/>
            <w:vAlign w:val="bottom"/>
            <w:gridSpan w:val="2"/>
            <w:vMerge w:val="continue"/>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177,463</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187,495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231,165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167,021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763,144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FF0FC"/>
            </w:tcBorders>
          </w:tcPr>
          <w:p>
            <w:pPr>
              <w:spacing w:after="0" w:line="20" w:lineRule="exact"/>
              <w:rPr>
                <w:sz w:val="1"/>
                <w:szCs w:val="1"/>
                <w:color w:val="auto"/>
              </w:rPr>
            </w:pPr>
          </w:p>
        </w:tc>
        <w:tc>
          <w:tcPr>
            <w:tcW w:w="25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2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760" w:hanging="752"/>
        <w:spacing w:after="0" w:line="191" w:lineRule="auto"/>
        <w:tabs>
          <w:tab w:leader="none" w:pos="760" w:val="left"/>
        </w:tabs>
        <w:numPr>
          <w:ilvl w:val="0"/>
          <w:numId w:val="24"/>
        </w:numPr>
        <w:rPr>
          <w:rFonts w:ascii="Arial" w:cs="Arial" w:eastAsia="Arial" w:hAnsi="Arial"/>
          <w:sz w:val="28"/>
          <w:szCs w:val="28"/>
          <w:color w:val="auto"/>
          <w:vertAlign w:val="superscript"/>
        </w:rPr>
      </w:pPr>
      <w:r>
        <w:rPr>
          <w:rFonts w:ascii="Arial" w:cs="Arial" w:eastAsia="Arial" w:hAnsi="Arial"/>
          <w:sz w:val="14"/>
          <w:szCs w:val="14"/>
          <w:color w:val="auto"/>
        </w:rPr>
        <w:t>Total assets by region does not include corporate assets of $79.8 million as of September 30, 2022</w:t>
      </w:r>
      <w:r>
        <w:rPr>
          <w:rFonts w:ascii="Arial" w:cs="Arial" w:eastAsia="Arial" w:hAnsi="Arial"/>
          <w:sz w:val="17"/>
          <w:szCs w:val="17"/>
          <w:color w:val="auto"/>
        </w:rPr>
        <w: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auto"/>
                <w:w w:val="96"/>
              </w:rPr>
              <w:t>United</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auto"/>
                <w:w w:val="83"/>
              </w:rPr>
              <w:t>States</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auto"/>
                <w:w w:val="98"/>
              </w:rPr>
              <w:t>(primarily</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8"/>
              </w:rPr>
              <w:t>Middle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auto"/>
                <w:w w:val="93"/>
              </w:rPr>
              <w:t>Gulf of</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Africa</w:t>
            </w: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East</w:t>
            </w:r>
          </w:p>
        </w:tc>
        <w:tc>
          <w:tcPr>
            <w:tcW w:w="160" w:type="dxa"/>
            <w:vAlign w:val="bottom"/>
          </w:tcPr>
          <w:p>
            <w:pPr>
              <w:spacing w:after="0"/>
              <w:rPr>
                <w:sz w:val="17"/>
                <w:szCs w:val="17"/>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Latin</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auto"/>
                <w:w w:val="93"/>
              </w:rPr>
              <w:t>Mexico)</w:t>
            </w:r>
          </w:p>
        </w:tc>
        <w:tc>
          <w:tcPr>
            <w:tcW w:w="240" w:type="dxa"/>
            <w:vAlign w:val="bottom"/>
          </w:tcPr>
          <w:p>
            <w:pPr>
              <w:spacing w:after="0"/>
              <w:rPr>
                <w:sz w:val="18"/>
                <w:szCs w:val="18"/>
                <w:color w:val="auto"/>
              </w:rPr>
            </w:pPr>
          </w:p>
        </w:tc>
        <w:tc>
          <w:tcPr>
            <w:tcW w:w="1280" w:type="dxa"/>
            <w:vAlign w:val="bottom"/>
            <w:gridSpan w:val="3"/>
          </w:tcPr>
          <w:p>
            <w:pPr>
              <w:jc w:val="right"/>
              <w:ind w:right="260"/>
              <w:spacing w:after="0" w:line="217" w:lineRule="exact"/>
              <w:rPr>
                <w:sz w:val="20"/>
                <w:szCs w:val="20"/>
                <w:color w:val="auto"/>
              </w:rPr>
            </w:pPr>
            <w:r>
              <w:rPr>
                <w:rFonts w:ascii="Arial" w:cs="Arial" w:eastAsia="Arial" w:hAnsi="Arial"/>
                <w:sz w:val="16"/>
                <w:szCs w:val="16"/>
                <w:b w:val="1"/>
                <w:bCs w:val="1"/>
                <w:color w:val="auto"/>
                <w:w w:val="90"/>
              </w:rPr>
              <w:t xml:space="preserve">and Europe </w:t>
            </w:r>
            <w:r>
              <w:rPr>
                <w:rFonts w:ascii="Arial" w:cs="Arial" w:eastAsia="Arial" w:hAnsi="Arial"/>
                <w:sz w:val="22"/>
                <w:szCs w:val="22"/>
                <w:b w:val="1"/>
                <w:bCs w:val="1"/>
                <w:color w:val="auto"/>
                <w:w w:val="90"/>
                <w:vertAlign w:val="superscript"/>
              </w:rPr>
              <w:t>(2)</w:t>
            </w:r>
          </w:p>
        </w:tc>
        <w:tc>
          <w:tcPr>
            <w:tcW w:w="16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and Asia</w:t>
            </w:r>
          </w:p>
        </w:tc>
        <w:tc>
          <w:tcPr>
            <w:tcW w:w="16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America</w:t>
            </w:r>
          </w:p>
        </w:tc>
        <w:tc>
          <w:tcPr>
            <w:tcW w:w="22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Total</w:t>
            </w:r>
          </w:p>
        </w:tc>
      </w:tr>
      <w:tr>
        <w:trPr>
          <w:trHeight w:val="209"/>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Three Months Ended September 30, 2021</w:t>
            </w:r>
          </w:p>
        </w:tc>
        <w:tc>
          <w:tcPr>
            <w:tcW w:w="1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4700" w:type="dxa"/>
            <w:vAlign w:val="bottom"/>
          </w:tcPr>
          <w:p>
            <w:pPr>
              <w:spacing w:after="0"/>
              <w:rPr>
                <w:sz w:val="20"/>
                <w:szCs w:val="20"/>
                <w:color w:val="auto"/>
              </w:rPr>
            </w:pPr>
            <w:r>
              <w:rPr>
                <w:rFonts w:ascii="Arial" w:cs="Arial" w:eastAsia="Arial" w:hAnsi="Arial"/>
                <w:sz w:val="16"/>
                <w:szCs w:val="16"/>
                <w:color w:val="auto"/>
              </w:rPr>
              <w:t>Operating Revenues: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4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5,289</w:t>
            </w:r>
          </w:p>
        </w:tc>
        <w:tc>
          <w:tcPr>
            <w:tcW w:w="42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10,446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13,417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12,630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41,782</w:t>
            </w:r>
          </w:p>
        </w:tc>
        <w:tc>
          <w:tcPr>
            <w:tcW w:w="100" w:type="dxa"/>
            <w:vAlign w:val="bottom"/>
            <w:shd w:val="clear" w:color="auto" w:fill="CFF0FC"/>
          </w:tcPr>
          <w:p>
            <w:pPr>
              <w:spacing w:after="0"/>
              <w:rPr>
                <w:sz w:val="19"/>
                <w:szCs w:val="19"/>
                <w:color w:val="auto"/>
              </w:rPr>
            </w:pPr>
          </w:p>
        </w:tc>
      </w:tr>
      <w:tr>
        <w:trPr>
          <w:trHeight w:val="213"/>
        </w:trPr>
        <w:tc>
          <w:tcPr>
            <w:tcW w:w="4700" w:type="dxa"/>
            <w:vAlign w:val="bottom"/>
          </w:tcPr>
          <w:p>
            <w:pPr>
              <w:ind w:left="260"/>
              <w:spacing w:after="0"/>
              <w:rPr>
                <w:sz w:val="20"/>
                <w:szCs w:val="20"/>
                <w:color w:val="auto"/>
              </w:rPr>
            </w:pPr>
            <w:r>
              <w:rPr>
                <w:rFonts w:ascii="Arial" w:cs="Arial" w:eastAsia="Arial" w:hAnsi="Arial"/>
                <w:sz w:val="16"/>
                <w:szCs w:val="16"/>
                <w:color w:val="auto"/>
              </w:rPr>
              <w:t>Other marine services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1,215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(429)</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1,010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1,881</w:t>
            </w:r>
          </w:p>
        </w:tc>
        <w:tc>
          <w:tcPr>
            <w:tcW w:w="100" w:type="dxa"/>
            <w:vAlign w:val="bottom"/>
          </w:tcPr>
          <w:p>
            <w:pPr>
              <w:spacing w:after="0"/>
              <w:rPr>
                <w:sz w:val="18"/>
                <w:szCs w:val="18"/>
                <w:color w:val="auto"/>
              </w:rPr>
            </w:pPr>
          </w:p>
        </w:tc>
      </w:tr>
      <w:tr>
        <w:trPr>
          <w:trHeight w:val="213"/>
        </w:trPr>
        <w:tc>
          <w:tcPr>
            <w:tcW w:w="47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6,504</w:t>
            </w: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10,017</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13,502</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13,640</w:t>
            </w: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43,663</w:t>
            </w:r>
          </w:p>
        </w:tc>
        <w:tc>
          <w:tcPr>
            <w:tcW w:w="100" w:type="dxa"/>
            <w:vAlign w:val="bottom"/>
            <w:tcBorders>
              <w:top w:val="single" w:sz="8" w:color="CFF0FC"/>
            </w:tcBorders>
            <w:shd w:val="clear" w:color="auto" w:fill="CFF0FC"/>
          </w:tcPr>
          <w:p>
            <w:pPr>
              <w:spacing w:after="0"/>
              <w:rPr>
                <w:sz w:val="18"/>
                <w:szCs w:val="18"/>
                <w:color w:val="auto"/>
              </w:rPr>
            </w:pPr>
          </w:p>
        </w:tc>
      </w:tr>
      <w:tr>
        <w:trPr>
          <w:trHeight w:val="206"/>
        </w:trPr>
        <w:tc>
          <w:tcPr>
            <w:tcW w:w="4700" w:type="dxa"/>
            <w:vAlign w:val="bottom"/>
          </w:tcPr>
          <w:p>
            <w:pPr>
              <w:spacing w:after="0"/>
              <w:rPr>
                <w:sz w:val="20"/>
                <w:szCs w:val="20"/>
                <w:color w:val="auto"/>
              </w:rPr>
            </w:pPr>
            <w:r>
              <w:rPr>
                <w:rFonts w:ascii="Arial" w:cs="Arial" w:eastAsia="Arial" w:hAnsi="Arial"/>
                <w:sz w:val="16"/>
                <w:szCs w:val="16"/>
                <w:color w:val="auto"/>
              </w:rPr>
              <w:t>Direct Costs and Expenses:</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4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4700" w:type="dxa"/>
            <w:vAlign w:val="bottom"/>
          </w:tcPr>
          <w:p>
            <w:pPr>
              <w:ind w:left="500"/>
              <w:spacing w:after="0"/>
              <w:rPr>
                <w:sz w:val="20"/>
                <w:szCs w:val="20"/>
                <w:color w:val="auto"/>
              </w:rPr>
            </w:pPr>
            <w:r>
              <w:rPr>
                <w:rFonts w:ascii="Arial" w:cs="Arial" w:eastAsia="Arial" w:hAnsi="Arial"/>
                <w:sz w:val="16"/>
                <w:szCs w:val="16"/>
                <w:color w:val="auto"/>
              </w:rPr>
              <w:t>Personnel</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5,849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3,627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15,051</w:t>
            </w:r>
          </w:p>
        </w:tc>
        <w:tc>
          <w:tcPr>
            <w:tcW w:w="100" w:type="dxa"/>
            <w:vAlign w:val="bottom"/>
          </w:tcPr>
          <w:p>
            <w:pPr>
              <w:spacing w:after="0"/>
              <w:rPr>
                <w:sz w:val="18"/>
                <w:szCs w:val="18"/>
                <w:color w:val="auto"/>
              </w:rPr>
            </w:pPr>
          </w:p>
        </w:tc>
      </w:tr>
      <w:tr>
        <w:trPr>
          <w:trHeight w:val="219"/>
        </w:trPr>
        <w:tc>
          <w:tcPr>
            <w:tcW w:w="4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Repairs and maintenance</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6,536</w:t>
            </w:r>
          </w:p>
        </w:tc>
        <w:tc>
          <w:tcPr>
            <w:tcW w:w="100" w:type="dxa"/>
            <w:vAlign w:val="bottom"/>
            <w:shd w:val="clear" w:color="auto" w:fill="CFF0FC"/>
          </w:tcPr>
          <w:p>
            <w:pPr>
              <w:spacing w:after="0"/>
              <w:rPr>
                <w:sz w:val="19"/>
                <w:szCs w:val="19"/>
                <w:color w:val="auto"/>
              </w:rPr>
            </w:pPr>
          </w:p>
        </w:tc>
      </w:tr>
      <w:tr>
        <w:trPr>
          <w:trHeight w:val="213"/>
        </w:trPr>
        <w:tc>
          <w:tcPr>
            <w:tcW w:w="4700" w:type="dxa"/>
            <w:vAlign w:val="bottom"/>
          </w:tcPr>
          <w:p>
            <w:pPr>
              <w:ind w:left="500"/>
              <w:spacing w:after="0"/>
              <w:rPr>
                <w:sz w:val="20"/>
                <w:szCs w:val="20"/>
                <w:color w:val="auto"/>
              </w:rPr>
            </w:pPr>
            <w:r>
              <w:rPr>
                <w:rFonts w:ascii="Arial" w:cs="Arial" w:eastAsia="Arial" w:hAnsi="Arial"/>
                <w:sz w:val="16"/>
                <w:szCs w:val="16"/>
                <w:color w:val="auto"/>
              </w:rPr>
              <w:t>Drydocking</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771</w:t>
            </w:r>
          </w:p>
        </w:tc>
        <w:tc>
          <w:tcPr>
            <w:tcW w:w="100" w:type="dxa"/>
            <w:vAlign w:val="bottom"/>
          </w:tcPr>
          <w:p>
            <w:pPr>
              <w:spacing w:after="0"/>
              <w:rPr>
                <w:sz w:val="18"/>
                <w:szCs w:val="18"/>
                <w:color w:val="auto"/>
              </w:rPr>
            </w:pPr>
          </w:p>
        </w:tc>
      </w:tr>
      <w:tr>
        <w:trPr>
          <w:trHeight w:val="219"/>
        </w:trPr>
        <w:tc>
          <w:tcPr>
            <w:tcW w:w="4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Insurance and loss reserves</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2,189</w:t>
            </w:r>
          </w:p>
        </w:tc>
        <w:tc>
          <w:tcPr>
            <w:tcW w:w="100" w:type="dxa"/>
            <w:vAlign w:val="bottom"/>
            <w:shd w:val="clear" w:color="auto" w:fill="CFF0FC"/>
          </w:tcPr>
          <w:p>
            <w:pPr>
              <w:spacing w:after="0"/>
              <w:rPr>
                <w:sz w:val="19"/>
                <w:szCs w:val="19"/>
                <w:color w:val="auto"/>
              </w:rPr>
            </w:pPr>
          </w:p>
        </w:tc>
      </w:tr>
      <w:tr>
        <w:trPr>
          <w:trHeight w:val="213"/>
        </w:trPr>
        <w:tc>
          <w:tcPr>
            <w:tcW w:w="4700" w:type="dxa"/>
            <w:vAlign w:val="bottom"/>
          </w:tcPr>
          <w:p>
            <w:pPr>
              <w:ind w:left="500"/>
              <w:spacing w:after="0"/>
              <w:rPr>
                <w:sz w:val="20"/>
                <w:szCs w:val="20"/>
                <w:color w:val="auto"/>
              </w:rPr>
            </w:pPr>
            <w:r>
              <w:rPr>
                <w:rFonts w:ascii="Arial" w:cs="Arial" w:eastAsia="Arial" w:hAnsi="Arial"/>
                <w:sz w:val="16"/>
                <w:szCs w:val="16"/>
                <w:color w:val="auto"/>
              </w:rPr>
              <w:t>Fuel, lubes and supplies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1,017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3,684</w:t>
            </w:r>
          </w:p>
        </w:tc>
        <w:tc>
          <w:tcPr>
            <w:tcW w:w="100" w:type="dxa"/>
            <w:vAlign w:val="bottom"/>
          </w:tcPr>
          <w:p>
            <w:pPr>
              <w:spacing w:after="0"/>
              <w:rPr>
                <w:sz w:val="18"/>
                <w:szCs w:val="18"/>
                <w:color w:val="auto"/>
              </w:rPr>
            </w:pPr>
          </w:p>
        </w:tc>
      </w:tr>
      <w:tr>
        <w:trPr>
          <w:trHeight w:val="216"/>
        </w:trPr>
        <w:tc>
          <w:tcPr>
            <w:tcW w:w="47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1,424</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2,823</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823</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5,217</w:t>
            </w:r>
          </w:p>
        </w:tc>
        <w:tc>
          <w:tcPr>
            <w:tcW w:w="100" w:type="dxa"/>
            <w:vAlign w:val="bottom"/>
            <w:shd w:val="clear" w:color="auto" w:fill="CFF0FC"/>
          </w:tcPr>
          <w:p>
            <w:pPr>
              <w:spacing w:after="0"/>
              <w:rPr>
                <w:sz w:val="18"/>
                <w:szCs w:val="18"/>
                <w:color w:val="auto"/>
              </w:rPr>
            </w:pPr>
          </w:p>
        </w:tc>
      </w:tr>
      <w:tr>
        <w:trPr>
          <w:trHeight w:val="209"/>
        </w:trPr>
        <w:tc>
          <w:tcPr>
            <w:tcW w:w="47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4,801</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8,402</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11,922</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8,323</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33,448</w:t>
            </w:r>
          </w:p>
        </w:tc>
        <w:tc>
          <w:tcPr>
            <w:tcW w:w="100" w:type="dxa"/>
            <w:vAlign w:val="bottom"/>
            <w:tcBorders>
              <w:bottom w:val="single" w:sz="8" w:color="CFF0FC"/>
            </w:tcBorders>
          </w:tcPr>
          <w:p>
            <w:pPr>
              <w:spacing w:after="0"/>
              <w:rPr>
                <w:sz w:val="18"/>
                <w:szCs w:val="18"/>
                <w:color w:val="auto"/>
              </w:rPr>
            </w:pPr>
          </w:p>
        </w:tc>
      </w:tr>
      <w:tr>
        <w:trPr>
          <w:trHeight w:val="252"/>
        </w:trPr>
        <w:tc>
          <w:tcPr>
            <w:tcW w:w="4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Direct Vessel Profit from Continuing Operations</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1,703</w:t>
            </w:r>
          </w:p>
        </w:tc>
        <w:tc>
          <w:tcPr>
            <w:tcW w:w="42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1,615</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5,317</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10,215</w:t>
            </w:r>
          </w:p>
        </w:tc>
        <w:tc>
          <w:tcPr>
            <w:tcW w:w="100" w:type="dxa"/>
            <w:vAlign w:val="bottom"/>
            <w:shd w:val="clear" w:color="auto" w:fill="CFF0FC"/>
          </w:tcPr>
          <w:p>
            <w:pPr>
              <w:spacing w:after="0"/>
              <w:rPr>
                <w:sz w:val="21"/>
                <w:szCs w:val="21"/>
                <w:color w:val="auto"/>
              </w:rPr>
            </w:pPr>
          </w:p>
        </w:tc>
      </w:tr>
      <w:tr>
        <w:trPr>
          <w:trHeight w:val="193"/>
        </w:trPr>
        <w:tc>
          <w:tcPr>
            <w:tcW w:w="4700" w:type="dxa"/>
            <w:vAlign w:val="bottom"/>
            <w:tcBorders>
              <w:top w:val="single" w:sz="8" w:color="CFF0FC"/>
            </w:tcBorders>
          </w:tcPr>
          <w:p>
            <w:pPr>
              <w:spacing w:after="0"/>
              <w:rPr>
                <w:sz w:val="20"/>
                <w:szCs w:val="20"/>
                <w:color w:val="auto"/>
              </w:rPr>
            </w:pPr>
            <w:r>
              <w:rPr>
                <w:rFonts w:ascii="Arial" w:cs="Arial" w:eastAsia="Arial" w:hAnsi="Arial"/>
                <w:sz w:val="16"/>
                <w:szCs w:val="16"/>
                <w:color w:val="auto"/>
              </w:rPr>
              <w:t>Other Costs and Expenses:</w:t>
            </w: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r>
      <w:tr>
        <w:trPr>
          <w:trHeight w:val="219"/>
        </w:trPr>
        <w:tc>
          <w:tcPr>
            <w:tcW w:w="4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Lease expense</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621</w:t>
            </w:r>
          </w:p>
        </w:tc>
        <w:tc>
          <w:tcPr>
            <w:tcW w:w="42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(173)</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1,109</w:t>
            </w:r>
          </w:p>
        </w:tc>
        <w:tc>
          <w:tcPr>
            <w:tcW w:w="100" w:type="dxa"/>
            <w:vAlign w:val="bottom"/>
            <w:shd w:val="clear" w:color="auto" w:fill="CFF0FC"/>
          </w:tcPr>
          <w:p>
            <w:pPr>
              <w:spacing w:after="0"/>
              <w:rPr>
                <w:sz w:val="19"/>
                <w:szCs w:val="19"/>
                <w:color w:val="auto"/>
              </w:rPr>
            </w:pPr>
          </w:p>
        </w:tc>
      </w:tr>
      <w:tr>
        <w:trPr>
          <w:trHeight w:val="213"/>
        </w:trPr>
        <w:tc>
          <w:tcPr>
            <w:tcW w:w="4700" w:type="dxa"/>
            <w:vAlign w:val="bottom"/>
          </w:tcPr>
          <w:p>
            <w:pPr>
              <w:ind w:left="260"/>
              <w:spacing w:after="0"/>
              <w:rPr>
                <w:sz w:val="20"/>
                <w:szCs w:val="20"/>
                <w:color w:val="auto"/>
              </w:rPr>
            </w:pPr>
            <w:r>
              <w:rPr>
                <w:rFonts w:ascii="Arial" w:cs="Arial" w:eastAsia="Arial" w:hAnsi="Arial"/>
                <w:sz w:val="16"/>
                <w:szCs w:val="16"/>
                <w:color w:val="auto"/>
              </w:rPr>
              <w:t>Administrative and general</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9,134</w:t>
            </w:r>
          </w:p>
        </w:tc>
        <w:tc>
          <w:tcPr>
            <w:tcW w:w="100" w:type="dxa"/>
            <w:vAlign w:val="bottom"/>
          </w:tcPr>
          <w:p>
            <w:pPr>
              <w:spacing w:after="0"/>
              <w:rPr>
                <w:sz w:val="18"/>
                <w:szCs w:val="18"/>
                <w:color w:val="auto"/>
              </w:rPr>
            </w:pPr>
          </w:p>
        </w:tc>
      </w:tr>
      <w:tr>
        <w:trPr>
          <w:trHeight w:val="216"/>
        </w:trPr>
        <w:tc>
          <w:tcPr>
            <w:tcW w:w="4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4,456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2,618</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14,306</w:t>
            </w:r>
          </w:p>
        </w:tc>
        <w:tc>
          <w:tcPr>
            <w:tcW w:w="100" w:type="dxa"/>
            <w:vAlign w:val="bottom"/>
            <w:shd w:val="clear" w:color="auto" w:fill="CFF0FC"/>
          </w:tcPr>
          <w:p>
            <w:pPr>
              <w:spacing w:after="0"/>
              <w:rPr>
                <w:sz w:val="18"/>
                <w:szCs w:val="18"/>
                <w:color w:val="auto"/>
              </w:rPr>
            </w:pPr>
          </w:p>
        </w:tc>
      </w:tr>
      <w:tr>
        <w:trPr>
          <w:trHeight w:val="209"/>
        </w:trPr>
        <w:tc>
          <w:tcPr>
            <w:tcW w:w="470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8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24,549</w:t>
            </w:r>
          </w:p>
        </w:tc>
        <w:tc>
          <w:tcPr>
            <w:tcW w:w="100" w:type="dxa"/>
            <w:vAlign w:val="bottom"/>
            <w:tcBorders>
              <w:bottom w:val="single" w:sz="8" w:color="CFF0FC"/>
            </w:tcBorders>
          </w:tcPr>
          <w:p>
            <w:pPr>
              <w:spacing w:after="0"/>
              <w:rPr>
                <w:sz w:val="18"/>
                <w:szCs w:val="18"/>
                <w:color w:val="auto"/>
              </w:rPr>
            </w:pPr>
          </w:p>
        </w:tc>
      </w:tr>
      <w:tr>
        <w:trPr>
          <w:trHeight w:val="213"/>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Gains on Asset Dispositions and Impairments, Net</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FF0FC"/>
          </w:tcPr>
          <w:p>
            <w:pPr>
              <w:spacing w:after="0"/>
              <w:rPr>
                <w:sz w:val="18"/>
                <w:szCs w:val="18"/>
                <w:color w:val="auto"/>
              </w:rPr>
            </w:pPr>
          </w:p>
        </w:tc>
      </w:tr>
      <w:tr>
        <w:trPr>
          <w:trHeight w:val="207"/>
        </w:trPr>
        <w:tc>
          <w:tcPr>
            <w:tcW w:w="4700" w:type="dxa"/>
            <w:vAlign w:val="bottom"/>
          </w:tcPr>
          <w:p>
            <w:pPr>
              <w:spacing w:after="0"/>
              <w:rPr>
                <w:sz w:val="20"/>
                <w:szCs w:val="20"/>
                <w:color w:val="auto"/>
              </w:rPr>
            </w:pPr>
            <w:r>
              <w:rPr>
                <w:rFonts w:ascii="Arial" w:cs="Arial" w:eastAsia="Arial" w:hAnsi="Arial"/>
                <w:sz w:val="16"/>
                <w:szCs w:val="16"/>
                <w:color w:val="auto"/>
              </w:rPr>
              <w:t>Operating Loss from Continuing Operations</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(14,278)</w:t>
            </w:r>
          </w:p>
        </w:tc>
      </w:tr>
      <w:tr>
        <w:trPr>
          <w:trHeight w:val="20"/>
        </w:trPr>
        <w:tc>
          <w:tcPr>
            <w:tcW w:w="4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3"/>
        </w:trPr>
        <w:tc>
          <w:tcPr>
            <w:tcW w:w="15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United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States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Africa</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(primarily</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and Europe,</w:t>
            </w: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8"/>
              </w:rPr>
              <w:t>Middle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Gulf of</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Continuing</w:t>
            </w: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East</w:t>
            </w:r>
          </w:p>
        </w:tc>
        <w:tc>
          <w:tcPr>
            <w:tcW w:w="160" w:type="dxa"/>
            <w:vAlign w:val="bottom"/>
          </w:tcPr>
          <w:p>
            <w:pPr>
              <w:spacing w:after="0"/>
              <w:rPr>
                <w:sz w:val="17"/>
                <w:szCs w:val="17"/>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Latin</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Mexico)</w:t>
            </w:r>
          </w:p>
        </w:tc>
        <w:tc>
          <w:tcPr>
            <w:tcW w:w="100" w:type="dxa"/>
            <w:vAlign w:val="bottom"/>
          </w:tcPr>
          <w:p>
            <w:pPr>
              <w:spacing w:after="0"/>
              <w:rPr>
                <w:sz w:val="18"/>
                <w:szCs w:val="18"/>
                <w:color w:val="auto"/>
              </w:rPr>
            </w:pPr>
          </w:p>
        </w:tc>
        <w:tc>
          <w:tcPr>
            <w:tcW w:w="1280" w:type="dxa"/>
            <w:vAlign w:val="bottom"/>
            <w:gridSpan w:val="3"/>
          </w:tcPr>
          <w:p>
            <w:pPr>
              <w:jc w:val="center"/>
              <w:ind w:right="240"/>
              <w:spacing w:after="0" w:line="217" w:lineRule="exact"/>
              <w:rPr>
                <w:sz w:val="20"/>
                <w:szCs w:val="20"/>
                <w:color w:val="auto"/>
              </w:rPr>
            </w:pPr>
            <w:r>
              <w:rPr>
                <w:rFonts w:ascii="Arial" w:cs="Arial" w:eastAsia="Arial" w:hAnsi="Arial"/>
                <w:sz w:val="16"/>
                <w:szCs w:val="16"/>
                <w:b w:val="1"/>
                <w:bCs w:val="1"/>
                <w:color w:val="auto"/>
                <w:w w:val="89"/>
              </w:rPr>
              <w:t xml:space="preserve">Operations </w:t>
            </w:r>
            <w:r>
              <w:rPr>
                <w:rFonts w:ascii="Arial" w:cs="Arial" w:eastAsia="Arial" w:hAnsi="Arial"/>
                <w:sz w:val="22"/>
                <w:szCs w:val="22"/>
                <w:b w:val="1"/>
                <w:bCs w:val="1"/>
                <w:color w:val="auto"/>
                <w:w w:val="89"/>
                <w:vertAlign w:val="superscript"/>
              </w:rPr>
              <w:t>(2)</w:t>
            </w:r>
          </w:p>
        </w:tc>
        <w:tc>
          <w:tcPr>
            <w:tcW w:w="16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and Asia</w:t>
            </w:r>
          </w:p>
        </w:tc>
        <w:tc>
          <w:tcPr>
            <w:tcW w:w="16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America</w:t>
            </w:r>
          </w:p>
        </w:tc>
        <w:tc>
          <w:tcPr>
            <w:tcW w:w="22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40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For the Nine Months Ended September 30, 2021</w:t>
            </w:r>
          </w:p>
        </w:tc>
        <w:tc>
          <w:tcPr>
            <w:tcW w:w="6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20" w:type="dxa"/>
            <w:vAlign w:val="bottom"/>
            <w:gridSpan w:val="2"/>
          </w:tcPr>
          <w:p>
            <w:pPr>
              <w:spacing w:after="0"/>
              <w:rPr>
                <w:sz w:val="20"/>
                <w:szCs w:val="20"/>
                <w:color w:val="auto"/>
              </w:rPr>
            </w:pPr>
            <w:r>
              <w:rPr>
                <w:rFonts w:ascii="Arial" w:cs="Arial" w:eastAsia="Arial" w:hAnsi="Arial"/>
                <w:sz w:val="16"/>
                <w:szCs w:val="16"/>
                <w:color w:val="auto"/>
              </w:rPr>
              <w:t>Operating Revenues: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10,197</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32,385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39,744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35,220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117,546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gridSpan w:val="2"/>
          </w:tcPr>
          <w:p>
            <w:pPr>
              <w:ind w:left="260"/>
              <w:spacing w:after="0"/>
              <w:rPr>
                <w:sz w:val="20"/>
                <w:szCs w:val="20"/>
                <w:color w:val="auto"/>
              </w:rPr>
            </w:pPr>
            <w:r>
              <w:rPr>
                <w:rFonts w:ascii="Arial" w:cs="Arial" w:eastAsia="Arial" w:hAnsi="Arial"/>
                <w:sz w:val="16"/>
                <w:szCs w:val="16"/>
                <w:color w:val="auto"/>
              </w:rPr>
              <w:t>Bareboat charter</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(922)</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00" w:type="dxa"/>
            <w:vAlign w:val="bottom"/>
            <w:tcBorders>
              <w:bottom w:val="single" w:sz="8" w:color="CFF0FC"/>
            </w:tcBorders>
          </w:tcPr>
          <w:p>
            <w:pPr>
              <w:spacing w:after="0"/>
              <w:rPr>
                <w:sz w:val="18"/>
                <w:szCs w:val="18"/>
                <w:color w:val="auto"/>
              </w:rPr>
            </w:pPr>
          </w:p>
        </w:tc>
        <w:tc>
          <w:tcPr>
            <w:tcW w:w="252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13,848</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31,463</w:t>
            </w:r>
          </w:p>
        </w:tc>
        <w:tc>
          <w:tcPr>
            <w:tcW w:w="22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40,220</w:t>
            </w:r>
          </w:p>
        </w:tc>
        <w:tc>
          <w:tcPr>
            <w:tcW w:w="24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37,443</w:t>
            </w:r>
          </w:p>
        </w:tc>
        <w:tc>
          <w:tcPr>
            <w:tcW w:w="24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122,974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20" w:type="dxa"/>
            <w:vAlign w:val="bottom"/>
            <w:gridSpan w:val="2"/>
          </w:tcPr>
          <w:p>
            <w:pPr>
              <w:ind w:left="260"/>
              <w:spacing w:after="0"/>
              <w:rPr>
                <w:sz w:val="20"/>
                <w:szCs w:val="20"/>
                <w:color w:val="auto"/>
              </w:rPr>
            </w:pPr>
            <w:r>
              <w:rPr>
                <w:rFonts w:ascii="Arial" w:cs="Arial" w:eastAsia="Arial" w:hAnsi="Arial"/>
                <w:sz w:val="16"/>
                <w:szCs w:val="16"/>
                <w:color w:val="auto"/>
              </w:rPr>
              <w:t>Operating:</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10,620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16,435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10,067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gridSpan w:val="2"/>
          </w:tcPr>
          <w:p>
            <w:pPr>
              <w:ind w:left="500"/>
              <w:spacing w:after="0"/>
              <w:rPr>
                <w:sz w:val="20"/>
                <w:szCs w:val="20"/>
                <w:color w:val="auto"/>
              </w:rPr>
            </w:pPr>
            <w:r>
              <w:rPr>
                <w:rFonts w:ascii="Arial" w:cs="Arial" w:eastAsia="Arial" w:hAnsi="Arial"/>
                <w:sz w:val="16"/>
                <w:szCs w:val="16"/>
                <w:color w:val="auto"/>
              </w:rPr>
              <w:t>Repairs and maintenance</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4,926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5,319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4,781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17,335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gridSpan w:val="2"/>
          </w:tcPr>
          <w:p>
            <w:pPr>
              <w:ind w:left="500"/>
              <w:spacing w:after="0"/>
              <w:rPr>
                <w:sz w:val="20"/>
                <w:szCs w:val="20"/>
                <w:color w:val="auto"/>
              </w:rPr>
            </w:pPr>
            <w:r>
              <w:rPr>
                <w:rFonts w:ascii="Arial" w:cs="Arial" w:eastAsia="Arial" w:hAnsi="Arial"/>
                <w:sz w:val="16"/>
                <w:szCs w:val="16"/>
                <w:color w:val="auto"/>
              </w:rPr>
              <w:t>Insurance and loss reserves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1,870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1,918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tcBorders>
              <w:bottom w:val="single" w:sz="8" w:color="CFF0FC"/>
            </w:tcBorders>
            <w:gridSpan w:val="2"/>
          </w:tcPr>
          <w:p>
            <w:pPr>
              <w:ind w:left="500"/>
              <w:spacing w:after="0"/>
              <w:rPr>
                <w:sz w:val="20"/>
                <w:szCs w:val="20"/>
                <w:color w:val="auto"/>
              </w:rPr>
            </w:pPr>
            <w:r>
              <w:rPr>
                <w:rFonts w:ascii="Arial" w:cs="Arial" w:eastAsia="Arial" w:hAnsi="Arial"/>
                <w:sz w:val="16"/>
                <w:szCs w:val="16"/>
                <w:color w:val="auto"/>
              </w:rPr>
              <w:t>Other</w:t>
            </w:r>
          </w:p>
        </w:tc>
        <w:tc>
          <w:tcPr>
            <w:tcW w:w="6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4,075</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4,010</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2,313</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10,846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500" w:type="dxa"/>
            <w:vAlign w:val="bottom"/>
            <w:shd w:val="clear" w:color="auto" w:fill="CFF0FC"/>
          </w:tcPr>
          <w:p>
            <w:pPr>
              <w:spacing w:after="0"/>
              <w:rPr>
                <w:sz w:val="18"/>
                <w:szCs w:val="18"/>
                <w:color w:val="auto"/>
              </w:rPr>
            </w:pPr>
          </w:p>
        </w:tc>
        <w:tc>
          <w:tcPr>
            <w:tcW w:w="25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12,963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24,834</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32,458</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22,115</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92,370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20" w:type="dxa"/>
            <w:vAlign w:val="bottom"/>
            <w:gridSpan w:val="2"/>
          </w:tcPr>
          <w:p>
            <w:pPr>
              <w:spacing w:after="0"/>
              <w:rPr>
                <w:sz w:val="20"/>
                <w:szCs w:val="20"/>
                <w:color w:val="auto"/>
              </w:rPr>
            </w:pPr>
            <w:r>
              <w:rPr>
                <w:rFonts w:ascii="Arial" w:cs="Arial" w:eastAsia="Arial" w:hAnsi="Arial"/>
                <w:sz w:val="16"/>
                <w:szCs w:val="16"/>
                <w:b w:val="1"/>
                <w:bCs w:val="1"/>
                <w:color w:val="auto"/>
              </w:rPr>
              <w:t>Direct Vessel Profit from Continuing Operations</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885</w:t>
            </w:r>
          </w:p>
        </w:tc>
        <w:tc>
          <w:tcPr>
            <w:tcW w:w="14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6,629</w:t>
            </w:r>
          </w:p>
        </w:tc>
        <w:tc>
          <w:tcPr>
            <w:tcW w:w="220" w:type="dxa"/>
            <w:vAlign w:val="bottom"/>
          </w:tcPr>
          <w:p>
            <w:pPr>
              <w:spacing w:after="0"/>
              <w:rPr>
                <w:sz w:val="21"/>
                <w:szCs w:val="21"/>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7,762</w:t>
            </w:r>
          </w:p>
        </w:tc>
        <w:tc>
          <w:tcPr>
            <w:tcW w:w="240" w:type="dxa"/>
            <w:vAlign w:val="bottom"/>
          </w:tcPr>
          <w:p>
            <w:pPr>
              <w:spacing w:after="0"/>
              <w:rPr>
                <w:sz w:val="21"/>
                <w:szCs w:val="21"/>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15,328</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30,604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0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6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20" w:type="dxa"/>
            <w:vAlign w:val="bottom"/>
            <w:gridSpan w:val="2"/>
          </w:tcPr>
          <w:p>
            <w:pPr>
              <w:ind w:left="260"/>
              <w:spacing w:after="0"/>
              <w:rPr>
                <w:sz w:val="20"/>
                <w:szCs w:val="20"/>
                <w:color w:val="auto"/>
              </w:rPr>
            </w:pPr>
            <w:r>
              <w:rPr>
                <w:rFonts w:ascii="Arial" w:cs="Arial" w:eastAsia="Arial" w:hAnsi="Arial"/>
                <w:sz w:val="16"/>
                <w:szCs w:val="16"/>
                <w:color w:val="auto"/>
              </w:rPr>
              <w:t>Lease expense</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1,988</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910</w:t>
            </w:r>
          </w:p>
        </w:tc>
        <w:tc>
          <w:tcPr>
            <w:tcW w:w="2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434</w:t>
            </w:r>
          </w:p>
        </w:tc>
        <w:tc>
          <w:tcPr>
            <w:tcW w:w="2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Depreciation and amortization</w:t>
            </w:r>
          </w:p>
        </w:tc>
        <w:tc>
          <w:tcPr>
            <w:tcW w:w="6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11,387</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9,908</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13,829</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8,073</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43,197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00" w:type="dxa"/>
            <w:vAlign w:val="bottom"/>
            <w:shd w:val="clear" w:color="auto" w:fill="CFF0FC"/>
          </w:tcPr>
          <w:p>
            <w:pPr>
              <w:spacing w:after="0"/>
              <w:rPr>
                <w:sz w:val="18"/>
                <w:szCs w:val="18"/>
                <w:color w:val="auto"/>
              </w:rPr>
            </w:pPr>
          </w:p>
        </w:tc>
        <w:tc>
          <w:tcPr>
            <w:tcW w:w="25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73,515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2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Gains on Asset Dispositions and Impairments, Net</w:t>
            </w:r>
          </w:p>
        </w:tc>
        <w:tc>
          <w:tcPr>
            <w:tcW w:w="68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08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98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90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90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20,436</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Operating Loss from Continuing Operations</w:t>
            </w: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(22,475)</w:t>
            </w: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6"/>
                <w:szCs w:val="16"/>
                <w:b w:val="1"/>
                <w:bCs w:val="1"/>
                <w:color w:val="auto"/>
              </w:rPr>
              <w:t>As of September 30, 2021</w:t>
            </w:r>
          </w:p>
        </w:tc>
        <w:tc>
          <w:tcPr>
            <w:tcW w:w="6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20" w:type="dxa"/>
            <w:vAlign w:val="bottom"/>
            <w:gridSpan w:val="2"/>
            <w:vMerge w:val="continue"/>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gridSpan w:val="2"/>
          </w:tcPr>
          <w:p>
            <w:pPr>
              <w:ind w:left="260"/>
              <w:spacing w:after="0"/>
              <w:rPr>
                <w:sz w:val="20"/>
                <w:szCs w:val="20"/>
                <w:color w:val="auto"/>
              </w:rPr>
            </w:pPr>
            <w:r>
              <w:rPr>
                <w:rFonts w:ascii="Arial" w:cs="Arial" w:eastAsia="Arial" w:hAnsi="Arial"/>
                <w:sz w:val="16"/>
                <w:szCs w:val="16"/>
                <w:color w:val="auto"/>
              </w:rPr>
              <w:t>Historical Cost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248,125</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212,491</w:t>
            </w:r>
          </w:p>
        </w:tc>
        <w:tc>
          <w:tcPr>
            <w:tcW w:w="2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358,356</w:t>
            </w:r>
          </w:p>
        </w:tc>
        <w:tc>
          <w:tcPr>
            <w:tcW w:w="2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170,938</w:t>
            </w:r>
          </w:p>
        </w:tc>
        <w:tc>
          <w:tcPr>
            <w:tcW w:w="24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989,910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(122,437)</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(66,424)</w:t>
            </w: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(85,054)</w:t>
            </w: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(29,263)</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(303,178)</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5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125,688</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146,067</w:t>
            </w:r>
          </w:p>
        </w:tc>
        <w:tc>
          <w:tcPr>
            <w:tcW w:w="22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273,302</w:t>
            </w:r>
          </w:p>
        </w:tc>
        <w:tc>
          <w:tcPr>
            <w:tcW w:w="24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141,675</w:t>
            </w:r>
          </w:p>
        </w:tc>
        <w:tc>
          <w:tcPr>
            <w:tcW w:w="24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686,732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tcBorders>
            <w:gridSpan w:val="2"/>
            <w:vMerge w:val="restart"/>
            <w:shd w:val="clear" w:color="auto" w:fill="CFF0FC"/>
          </w:tcPr>
          <w:p>
            <w:pPr>
              <w:spacing w:after="0" w:line="220" w:lineRule="exact"/>
              <w:rPr>
                <w:sz w:val="20"/>
                <w:szCs w:val="20"/>
                <w:color w:val="auto"/>
              </w:rPr>
            </w:pPr>
            <w:r>
              <w:rPr>
                <w:rFonts w:ascii="Arial" w:cs="Arial" w:eastAsia="Arial" w:hAnsi="Arial"/>
                <w:sz w:val="15"/>
                <w:szCs w:val="15"/>
                <w:color w:val="auto"/>
              </w:rPr>
              <w:t xml:space="preserve">Total Assets </w:t>
            </w:r>
            <w:r>
              <w:rPr>
                <w:rFonts w:ascii="Arial" w:cs="Arial" w:eastAsia="Arial" w:hAnsi="Arial"/>
                <w:sz w:val="25"/>
                <w:szCs w:val="25"/>
                <w:color w:val="auto"/>
                <w:vertAlign w:val="superscript"/>
              </w:rPr>
              <w:t>(1)</w:t>
            </w: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20" w:type="dxa"/>
            <w:vAlign w:val="bottom"/>
            <w:gridSpan w:val="2"/>
            <w:vMerge w:val="continue"/>
            <w:shd w:val="clear" w:color="auto" w:fill="CFF0FC"/>
          </w:tcPr>
          <w:p>
            <w:pPr>
              <w:spacing w:after="0"/>
              <w:rPr>
                <w:sz w:val="17"/>
                <w:szCs w:val="17"/>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149,286</w:t>
            </w:r>
          </w:p>
        </w:tc>
        <w:tc>
          <w:tcPr>
            <w:tcW w:w="14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162,815</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274,324</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211,909</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798,334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FF0FC"/>
            </w:tcBorders>
          </w:tcPr>
          <w:p>
            <w:pPr>
              <w:spacing w:after="0" w:line="20" w:lineRule="exact"/>
              <w:rPr>
                <w:sz w:val="1"/>
                <w:szCs w:val="1"/>
                <w:color w:val="auto"/>
              </w:rPr>
            </w:pPr>
          </w:p>
        </w:tc>
        <w:tc>
          <w:tcPr>
            <w:tcW w:w="25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2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760" w:hanging="752"/>
        <w:spacing w:after="0" w:line="192" w:lineRule="auto"/>
        <w:tabs>
          <w:tab w:leader="none" w:pos="760" w:val="left"/>
        </w:tabs>
        <w:numPr>
          <w:ilvl w:val="0"/>
          <w:numId w:val="25"/>
        </w:numPr>
        <w:rPr>
          <w:rFonts w:ascii="Arial" w:cs="Arial" w:eastAsia="Arial" w:hAnsi="Arial"/>
          <w:sz w:val="28"/>
          <w:szCs w:val="28"/>
          <w:color w:val="auto"/>
          <w:vertAlign w:val="superscript"/>
        </w:rPr>
      </w:pPr>
      <w:r>
        <w:rPr>
          <w:rFonts w:ascii="Arial" w:cs="Arial" w:eastAsia="Arial" w:hAnsi="Arial"/>
          <w:sz w:val="14"/>
          <w:szCs w:val="14"/>
          <w:color w:val="auto"/>
        </w:rPr>
        <w:t>Total assets by region does not include corporate assets of $103.7 million as of September 30, 2021.</w:t>
      </w:r>
    </w:p>
    <w:p>
      <w:pPr>
        <w:spacing w:after="0" w:line="5" w:lineRule="exact"/>
        <w:rPr>
          <w:rFonts w:ascii="Arial" w:cs="Arial" w:eastAsia="Arial" w:hAnsi="Arial"/>
          <w:sz w:val="28"/>
          <w:szCs w:val="28"/>
          <w:color w:val="auto"/>
          <w:vertAlign w:val="superscript"/>
        </w:rPr>
      </w:pPr>
    </w:p>
    <w:p>
      <w:pPr>
        <w:jc w:val="both"/>
        <w:ind w:left="760" w:hanging="752"/>
        <w:spacing w:after="0" w:line="255" w:lineRule="auto"/>
        <w:tabs>
          <w:tab w:leader="none" w:pos="7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 prior periods Africa and Europe were reported as separate segments. Due to the sale of Windcat Workboats, the Company’s European operations are no longer analyzed by the chief operating decision maker on a standalone basis but rather as part of the Africa and Europe segment. As a result, for purposes of segment reporting European operations are now consolidated with Africa and reported as a consolidated segment and prior period information has been conformed to the new consolidated reporting segment.</w:t>
      </w:r>
    </w:p>
    <w:p>
      <w:pPr>
        <w:spacing w:after="0" w:line="17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The Company’s investments in 50% or less owned companies, which are accounted for under the equity method, also contribute to its consolidated results of operations. As of September 30, 2022, and 2021, the Company’s investments, at equity and advances to 50% or less owned companies in its other 50% or less owned companies were $1.9 million and $77.4 million, respectively. The significant decrease is the result of the sale of the Company’s interests in MexMar and OVH in the Framework Transactions. Equity in earnings gains of 50% or less owned companies for the nine months ended September 30, 2022 and 2021 were $5.8 million and $10.6 million, respectively.</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28" w:name="page29"/>
    <w:bookmarkEnd w:id="28"/>
    <w:p>
      <w:pPr>
        <w:ind w:left="920" w:hanging="912"/>
        <w:spacing w:after="0"/>
        <w:tabs>
          <w:tab w:leader="none" w:pos="920"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DISCONTINUED OPERATIONS</w:t>
      </w:r>
    </w:p>
    <w:p>
      <w:pPr>
        <w:spacing w:after="0" w:line="212"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On January 12, 2021, the Company completed the sale of Windcat Workboats, which was previously classified as assets held for sale. The Company has no continuing involvement in this business, which is considered a strategic shift in the Company’s operations. During the first twelve days of 2021, the Company recognized $0.2 million in net income from operations of Windcat Workboats that was utilized to calculate the gain on the sale of Windcat Workboats. Summarized selected operating results of the Company’s assets held for sale and discontinued operations were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Nine Months Ended</w:t>
            </w:r>
          </w:p>
        </w:tc>
      </w:tr>
      <w:tr>
        <w:trPr>
          <w:trHeight w:val="213"/>
        </w:trPr>
        <w:tc>
          <w:tcPr>
            <w:tcW w:w="8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r>
      <w:tr>
        <w:trPr>
          <w:trHeight w:val="210"/>
        </w:trPr>
        <w:tc>
          <w:tcPr>
            <w:tcW w:w="890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000" w:type="dxa"/>
            <w:vAlign w:val="bottom"/>
            <w:tcBorders>
              <w:top w:val="single" w:sz="8" w:color="auto"/>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FF0FC"/>
            </w:tcBorders>
          </w:tcPr>
          <w:p>
            <w:pPr>
              <w:spacing w:after="0"/>
              <w:rPr>
                <w:sz w:val="18"/>
                <w:szCs w:val="18"/>
                <w:color w:val="auto"/>
              </w:rPr>
            </w:pPr>
          </w:p>
        </w:tc>
      </w:tr>
      <w:tr>
        <w:trPr>
          <w:trHeight w:val="212"/>
        </w:trPr>
        <w:tc>
          <w:tcPr>
            <w:tcW w:w="89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Windcat Workboats</w:t>
            </w:r>
          </w:p>
        </w:tc>
        <w:tc>
          <w:tcPr>
            <w:tcW w:w="24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8900" w:type="dxa"/>
            <w:vAlign w:val="bottom"/>
          </w:tcPr>
          <w:p>
            <w:pPr>
              <w:spacing w:after="0"/>
              <w:rPr>
                <w:sz w:val="20"/>
                <w:szCs w:val="20"/>
                <w:color w:val="auto"/>
              </w:rPr>
            </w:pPr>
            <w:r>
              <w:rPr>
                <w:rFonts w:ascii="Arial" w:cs="Arial" w:eastAsia="Arial" w:hAnsi="Arial"/>
                <w:sz w:val="16"/>
                <w:szCs w:val="16"/>
                <w:color w:val="auto"/>
              </w:rPr>
              <w:t>Operating Revenues:</w:t>
            </w: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8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2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903</w:t>
            </w:r>
          </w:p>
        </w:tc>
        <w:tc>
          <w:tcPr>
            <w:tcW w:w="100" w:type="dxa"/>
            <w:vAlign w:val="bottom"/>
            <w:shd w:val="clear" w:color="auto" w:fill="CFF0FC"/>
          </w:tcPr>
          <w:p>
            <w:pPr>
              <w:spacing w:after="0"/>
              <w:rPr>
                <w:sz w:val="19"/>
                <w:szCs w:val="19"/>
                <w:color w:val="auto"/>
              </w:rPr>
            </w:pPr>
          </w:p>
        </w:tc>
      </w:tr>
      <w:tr>
        <w:trPr>
          <w:trHeight w:val="213"/>
        </w:trPr>
        <w:tc>
          <w:tcPr>
            <w:tcW w:w="89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revenue</w:t>
            </w:r>
          </w:p>
        </w:tc>
        <w:tc>
          <w:tcPr>
            <w:tcW w:w="2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FF0FC"/>
            </w:tcBorders>
          </w:tcPr>
          <w:p>
            <w:pPr>
              <w:spacing w:after="0"/>
              <w:rPr>
                <w:sz w:val="18"/>
                <w:szCs w:val="18"/>
                <w:color w:val="auto"/>
              </w:rPr>
            </w:pPr>
          </w:p>
        </w:tc>
      </w:tr>
      <w:tr>
        <w:trPr>
          <w:trHeight w:val="212"/>
        </w:trPr>
        <w:tc>
          <w:tcPr>
            <w:tcW w:w="89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2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973</w:t>
            </w:r>
          </w:p>
        </w:tc>
        <w:tc>
          <w:tcPr>
            <w:tcW w:w="100" w:type="dxa"/>
            <w:vAlign w:val="bottom"/>
            <w:shd w:val="clear" w:color="auto" w:fill="CFF0FC"/>
          </w:tcPr>
          <w:p>
            <w:pPr>
              <w:spacing w:after="0"/>
              <w:rPr>
                <w:sz w:val="18"/>
                <w:szCs w:val="18"/>
                <w:color w:val="auto"/>
              </w:rPr>
            </w:pPr>
          </w:p>
        </w:tc>
      </w:tr>
      <w:tr>
        <w:trPr>
          <w:trHeight w:val="207"/>
        </w:trPr>
        <w:tc>
          <w:tcPr>
            <w:tcW w:w="8900" w:type="dxa"/>
            <w:vAlign w:val="bottom"/>
          </w:tcPr>
          <w:p>
            <w:pPr>
              <w:spacing w:after="0"/>
              <w:rPr>
                <w:sz w:val="20"/>
                <w:szCs w:val="20"/>
                <w:color w:val="auto"/>
              </w:rPr>
            </w:pPr>
            <w:r>
              <w:rPr>
                <w:rFonts w:ascii="Arial" w:cs="Arial" w:eastAsia="Arial" w:hAnsi="Arial"/>
                <w:sz w:val="16"/>
                <w:szCs w:val="16"/>
                <w:color w:val="auto"/>
              </w:rPr>
              <w:t>Costs and Expenses:</w:t>
            </w:r>
          </w:p>
        </w:tc>
        <w:tc>
          <w:tcPr>
            <w:tcW w:w="2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8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w:t>
            </w:r>
          </w:p>
        </w:tc>
        <w:tc>
          <w:tcPr>
            <w:tcW w:w="240" w:type="dxa"/>
            <w:vAlign w:val="bottom"/>
            <w:tcBorders>
              <w:bottom w:val="single" w:sz="8" w:color="auto"/>
            </w:tcBorders>
            <w:shd w:val="clear" w:color="auto" w:fill="CFF0FC"/>
          </w:tcPr>
          <w:p>
            <w:pPr>
              <w:spacing w:after="0"/>
              <w:rPr>
                <w:sz w:val="19"/>
                <w:szCs w:val="19"/>
                <w:color w:val="auto"/>
              </w:rPr>
            </w:pPr>
          </w:p>
        </w:tc>
        <w:tc>
          <w:tcPr>
            <w:tcW w:w="2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578</w:t>
            </w:r>
          </w:p>
        </w:tc>
        <w:tc>
          <w:tcPr>
            <w:tcW w:w="100" w:type="dxa"/>
            <w:vAlign w:val="bottom"/>
            <w:shd w:val="clear" w:color="auto" w:fill="CFF0FC"/>
          </w:tcPr>
          <w:p>
            <w:pPr>
              <w:spacing w:after="0"/>
              <w:rPr>
                <w:sz w:val="19"/>
                <w:szCs w:val="19"/>
                <w:color w:val="auto"/>
              </w:rPr>
            </w:pPr>
          </w:p>
        </w:tc>
      </w:tr>
      <w:tr>
        <w:trPr>
          <w:trHeight w:val="207"/>
        </w:trPr>
        <w:tc>
          <w:tcPr>
            <w:tcW w:w="8900" w:type="dxa"/>
            <w:vAlign w:val="bottom"/>
          </w:tcPr>
          <w:p>
            <w:pPr>
              <w:spacing w:after="0"/>
              <w:rPr>
                <w:sz w:val="20"/>
                <w:szCs w:val="20"/>
                <w:color w:val="auto"/>
              </w:rPr>
            </w:pPr>
            <w:r>
              <w:rPr>
                <w:rFonts w:ascii="Arial" w:cs="Arial" w:eastAsia="Arial" w:hAnsi="Arial"/>
                <w:sz w:val="16"/>
                <w:szCs w:val="16"/>
                <w:b w:val="1"/>
                <w:bCs w:val="1"/>
                <w:color w:val="auto"/>
              </w:rPr>
              <w:t>Direct Vessel Profit</w:t>
            </w:r>
          </w:p>
        </w:tc>
        <w:tc>
          <w:tcPr>
            <w:tcW w:w="24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17"/>
                <w:szCs w:val="17"/>
                <w:color w:val="auto"/>
              </w:rPr>
            </w:pPr>
          </w:p>
        </w:tc>
      </w:tr>
      <w:tr>
        <w:trPr>
          <w:trHeight w:val="219"/>
        </w:trPr>
        <w:tc>
          <w:tcPr>
            <w:tcW w:w="8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890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2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r>
      <w:tr>
        <w:trPr>
          <w:trHeight w:val="216"/>
        </w:trPr>
        <w:tc>
          <w:tcPr>
            <w:tcW w:w="8900" w:type="dxa"/>
            <w:vAlign w:val="bottom"/>
            <w:shd w:val="clear" w:color="auto" w:fill="CFF0FC"/>
          </w:tcPr>
          <w:p>
            <w:pPr>
              <w:spacing w:after="0"/>
              <w:rPr>
                <w:sz w:val="20"/>
                <w:szCs w:val="20"/>
                <w:color w:val="auto"/>
              </w:rPr>
            </w:pPr>
            <w:r>
              <w:rPr>
                <w:rFonts w:ascii="Arial" w:cs="Arial" w:eastAsia="Arial" w:hAnsi="Arial"/>
                <w:sz w:val="16"/>
                <w:szCs w:val="16"/>
                <w:color w:val="auto"/>
              </w:rPr>
              <w:t>Lease Expense</w:t>
            </w:r>
          </w:p>
        </w:tc>
        <w:tc>
          <w:tcPr>
            <w:tcW w:w="240" w:type="dxa"/>
            <w:vAlign w:val="bottom"/>
            <w:tcBorders>
              <w:bottom w:val="single" w:sz="8" w:color="auto"/>
            </w:tcBorders>
            <w:shd w:val="clear" w:color="auto" w:fill="CFF0FC"/>
          </w:tcPr>
          <w:p>
            <w:pPr>
              <w:spacing w:after="0"/>
              <w:rPr>
                <w:sz w:val="18"/>
                <w:szCs w:val="18"/>
                <w:color w:val="auto"/>
              </w:rPr>
            </w:pPr>
          </w:p>
        </w:tc>
        <w:tc>
          <w:tcPr>
            <w:tcW w:w="2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FF0FC"/>
          </w:tcPr>
          <w:p>
            <w:pPr>
              <w:spacing w:after="0"/>
              <w:rPr>
                <w:sz w:val="18"/>
                <w:szCs w:val="18"/>
                <w:color w:val="auto"/>
              </w:rPr>
            </w:pPr>
          </w:p>
        </w:tc>
      </w:tr>
      <w:tr>
        <w:trPr>
          <w:trHeight w:val="210"/>
        </w:trPr>
        <w:tc>
          <w:tcPr>
            <w:tcW w:w="89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Borders>
              <w:bottom w:val="single" w:sz="8" w:color="CFF0FC"/>
            </w:tcBorders>
          </w:tcPr>
          <w:p>
            <w:pPr>
              <w:spacing w:after="0"/>
              <w:rPr>
                <w:sz w:val="18"/>
                <w:szCs w:val="18"/>
                <w:color w:val="auto"/>
              </w:rPr>
            </w:pPr>
          </w:p>
        </w:tc>
      </w:tr>
      <w:tr>
        <w:trPr>
          <w:trHeight w:val="212"/>
        </w:trPr>
        <w:tc>
          <w:tcPr>
            <w:tcW w:w="8900" w:type="dxa"/>
            <w:vAlign w:val="bottom"/>
            <w:shd w:val="clear" w:color="auto" w:fill="CFF0FC"/>
          </w:tcPr>
          <w:p>
            <w:pPr>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auto"/>
            </w:tcBorders>
            <w:shd w:val="clear" w:color="auto" w:fill="CFF0FC"/>
          </w:tcPr>
          <w:p>
            <w:pPr>
              <w:spacing w:after="0"/>
              <w:rPr>
                <w:sz w:val="18"/>
                <w:szCs w:val="18"/>
                <w:color w:val="auto"/>
              </w:rPr>
            </w:pPr>
          </w:p>
        </w:tc>
        <w:tc>
          <w:tcPr>
            <w:tcW w:w="2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FF0FC"/>
          </w:tcPr>
          <w:p>
            <w:pPr>
              <w:spacing w:after="0"/>
              <w:rPr>
                <w:sz w:val="18"/>
                <w:szCs w:val="18"/>
                <w:color w:val="auto"/>
              </w:rPr>
            </w:pPr>
          </w:p>
        </w:tc>
      </w:tr>
      <w:tr>
        <w:trPr>
          <w:trHeight w:val="207"/>
        </w:trPr>
        <w:tc>
          <w:tcPr>
            <w:tcW w:w="8900" w:type="dxa"/>
            <w:vAlign w:val="bottom"/>
          </w:tcPr>
          <w:p>
            <w:pPr>
              <w:spacing w:after="0"/>
              <w:rPr>
                <w:sz w:val="20"/>
                <w:szCs w:val="20"/>
                <w:color w:val="auto"/>
              </w:rPr>
            </w:pPr>
            <w:r>
              <w:rPr>
                <w:rFonts w:ascii="Arial" w:cs="Arial" w:eastAsia="Arial" w:hAnsi="Arial"/>
                <w:sz w:val="16"/>
                <w:szCs w:val="16"/>
                <w:color w:val="auto"/>
              </w:rPr>
              <w:t>Other Income (Expense)</w:t>
            </w:r>
          </w:p>
        </w:tc>
        <w:tc>
          <w:tcPr>
            <w:tcW w:w="2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8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income</w:t>
            </w:r>
          </w:p>
        </w:tc>
        <w:tc>
          <w:tcPr>
            <w:tcW w:w="240" w:type="dxa"/>
            <w:vAlign w:val="bottom"/>
            <w:shd w:val="clear" w:color="auto" w:fill="CFF0FC"/>
          </w:tcPr>
          <w:p>
            <w:pPr>
              <w:spacing w:after="0"/>
              <w:rPr>
                <w:sz w:val="19"/>
                <w:szCs w:val="19"/>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9"/>
                <w:szCs w:val="19"/>
                <w:color w:val="auto"/>
              </w:rPr>
            </w:pPr>
          </w:p>
        </w:tc>
      </w:tr>
      <w:tr>
        <w:trPr>
          <w:trHeight w:val="213"/>
        </w:trPr>
        <w:tc>
          <w:tcPr>
            <w:tcW w:w="8900" w:type="dxa"/>
            <w:vAlign w:val="bottom"/>
          </w:tcPr>
          <w:p>
            <w:pPr>
              <w:ind w:left="26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2100" w:type="dxa"/>
            <w:vAlign w:val="bottom"/>
            <w:gridSpan w:val="2"/>
          </w:tcPr>
          <w:p>
            <w:pPr>
              <w:jc w:val="right"/>
              <w:ind w:right="60"/>
              <w:spacing w:after="0"/>
              <w:rPr>
                <w:sz w:val="20"/>
                <w:szCs w:val="20"/>
                <w:color w:val="auto"/>
              </w:rPr>
            </w:pPr>
            <w:r>
              <w:rPr>
                <w:rFonts w:ascii="Arial" w:cs="Arial" w:eastAsia="Arial" w:hAnsi="Arial"/>
                <w:sz w:val="16"/>
                <w:szCs w:val="16"/>
                <w:color w:val="auto"/>
              </w:rPr>
              <w:t>(39)</w:t>
            </w:r>
          </w:p>
        </w:tc>
      </w:tr>
      <w:tr>
        <w:trPr>
          <w:trHeight w:val="216"/>
        </w:trPr>
        <w:tc>
          <w:tcPr>
            <w:tcW w:w="8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currency translation loss</w:t>
            </w:r>
          </w:p>
        </w:tc>
        <w:tc>
          <w:tcPr>
            <w:tcW w:w="240" w:type="dxa"/>
            <w:vAlign w:val="bottom"/>
            <w:tcBorders>
              <w:bottom w:val="single" w:sz="8" w:color="auto"/>
            </w:tcBorders>
            <w:shd w:val="clear" w:color="auto" w:fill="CFF0FC"/>
          </w:tcPr>
          <w:p>
            <w:pPr>
              <w:spacing w:after="0"/>
              <w:rPr>
                <w:sz w:val="18"/>
                <w:szCs w:val="18"/>
                <w:color w:val="auto"/>
              </w:rPr>
            </w:pPr>
          </w:p>
        </w:tc>
        <w:tc>
          <w:tcPr>
            <w:tcW w:w="2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FF0FC"/>
          </w:tcPr>
          <w:p>
            <w:pPr>
              <w:spacing w:after="0"/>
              <w:rPr>
                <w:sz w:val="18"/>
                <w:szCs w:val="18"/>
                <w:color w:val="auto"/>
              </w:rPr>
            </w:pPr>
          </w:p>
        </w:tc>
      </w:tr>
      <w:tr>
        <w:trPr>
          <w:trHeight w:val="210"/>
        </w:trPr>
        <w:tc>
          <w:tcPr>
            <w:tcW w:w="89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FF0FC"/>
            </w:tcBorders>
          </w:tcPr>
          <w:p>
            <w:pPr>
              <w:spacing w:after="0"/>
              <w:rPr>
                <w:sz w:val="18"/>
                <w:szCs w:val="18"/>
                <w:color w:val="auto"/>
              </w:rPr>
            </w:pPr>
          </w:p>
        </w:tc>
      </w:tr>
      <w:tr>
        <w:trPr>
          <w:trHeight w:val="213"/>
        </w:trPr>
        <w:tc>
          <w:tcPr>
            <w:tcW w:w="8900" w:type="dxa"/>
            <w:vAlign w:val="bottom"/>
            <w:shd w:val="clear" w:color="auto" w:fill="CFF0FC"/>
          </w:tcPr>
          <w:p>
            <w:pPr>
              <w:spacing w:after="0"/>
              <w:rPr>
                <w:sz w:val="20"/>
                <w:szCs w:val="20"/>
                <w:color w:val="auto"/>
              </w:rPr>
            </w:pPr>
            <w:r>
              <w:rPr>
                <w:rFonts w:ascii="Arial" w:cs="Arial" w:eastAsia="Arial" w:hAnsi="Arial"/>
                <w:sz w:val="16"/>
                <w:szCs w:val="16"/>
                <w:color w:val="auto"/>
              </w:rPr>
              <w:t>Operating Income Before Equity Earnings of 50% or Less Owned Companies, Net of Tax</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2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FF0FC"/>
          </w:tcPr>
          <w:p>
            <w:pPr>
              <w:spacing w:after="0"/>
              <w:rPr>
                <w:sz w:val="18"/>
                <w:szCs w:val="18"/>
                <w:color w:val="auto"/>
              </w:rPr>
            </w:pPr>
          </w:p>
        </w:tc>
      </w:tr>
      <w:tr>
        <w:trPr>
          <w:trHeight w:val="213"/>
        </w:trPr>
        <w:tc>
          <w:tcPr>
            <w:tcW w:w="8900" w:type="dxa"/>
            <w:vAlign w:val="bottom"/>
          </w:tcPr>
          <w:p>
            <w:pPr>
              <w:spacing w:after="0"/>
              <w:rPr>
                <w:sz w:val="20"/>
                <w:szCs w:val="20"/>
                <w:color w:val="auto"/>
              </w:rPr>
            </w:pPr>
            <w:r>
              <w:rPr>
                <w:rFonts w:ascii="Arial" w:cs="Arial" w:eastAsia="Arial" w:hAnsi="Arial"/>
                <w:sz w:val="16"/>
                <w:szCs w:val="16"/>
                <w:color w:val="auto"/>
              </w:rPr>
              <w:t>Income Tax Expense</w:t>
            </w:r>
          </w:p>
        </w:tc>
        <w:tc>
          <w:tcPr>
            <w:tcW w:w="240" w:type="dxa"/>
            <w:vAlign w:val="bottom"/>
          </w:tcPr>
          <w:p>
            <w:pPr>
              <w:spacing w:after="0"/>
              <w:rPr>
                <w:sz w:val="18"/>
                <w:szCs w:val="18"/>
                <w:color w:val="auto"/>
              </w:rPr>
            </w:pPr>
          </w:p>
        </w:tc>
        <w:tc>
          <w:tcPr>
            <w:tcW w:w="2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8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Operating Income Before Equity Earnings of 50% or Less Owned Companies</w:t>
            </w:r>
          </w:p>
        </w:tc>
        <w:tc>
          <w:tcPr>
            <w:tcW w:w="240" w:type="dxa"/>
            <w:vAlign w:val="bottom"/>
            <w:tcBorders>
              <w:top w:val="single" w:sz="8" w:color="auto"/>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2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top w:val="single" w:sz="8" w:color="CFF0FC"/>
            </w:tcBorders>
            <w:shd w:val="clear" w:color="auto" w:fill="CFF0FC"/>
          </w:tcPr>
          <w:p>
            <w:pPr>
              <w:spacing w:after="0"/>
              <w:rPr>
                <w:sz w:val="18"/>
                <w:szCs w:val="18"/>
                <w:color w:val="auto"/>
              </w:rPr>
            </w:pPr>
          </w:p>
        </w:tc>
      </w:tr>
      <w:tr>
        <w:trPr>
          <w:trHeight w:val="206"/>
        </w:trPr>
        <w:tc>
          <w:tcPr>
            <w:tcW w:w="8900" w:type="dxa"/>
            <w:vAlign w:val="bottom"/>
          </w:tcPr>
          <w:p>
            <w:pPr>
              <w:spacing w:after="0"/>
              <w:rPr>
                <w:sz w:val="20"/>
                <w:szCs w:val="20"/>
                <w:color w:val="auto"/>
              </w:rPr>
            </w:pPr>
            <w:r>
              <w:rPr>
                <w:rFonts w:ascii="Arial" w:cs="Arial" w:eastAsia="Arial" w:hAnsi="Arial"/>
                <w:sz w:val="16"/>
                <w:szCs w:val="16"/>
                <w:color w:val="auto"/>
              </w:rPr>
              <w:t>Equity in Earnings (Losses) of 50% or Less Owned Companies, Net of Tax</w:t>
            </w:r>
          </w:p>
        </w:tc>
        <w:tc>
          <w:tcPr>
            <w:tcW w:w="240" w:type="dxa"/>
            <w:vAlign w:val="bottom"/>
          </w:tcPr>
          <w:p>
            <w:pPr>
              <w:spacing w:after="0"/>
              <w:rPr>
                <w:sz w:val="17"/>
                <w:szCs w:val="17"/>
                <w:color w:val="auto"/>
              </w:rPr>
            </w:pPr>
          </w:p>
        </w:tc>
        <w:tc>
          <w:tcPr>
            <w:tcW w:w="2100" w:type="dxa"/>
            <w:vAlign w:val="bottom"/>
            <w:gridSpan w:val="2"/>
          </w:tcPr>
          <w:p>
            <w:pPr>
              <w:jc w:val="right"/>
              <w:ind w:right="60"/>
              <w:spacing w:after="0"/>
              <w:rPr>
                <w:sz w:val="20"/>
                <w:szCs w:val="20"/>
                <w:color w:val="auto"/>
              </w:rPr>
            </w:pPr>
            <w:r>
              <w:rPr>
                <w:rFonts w:ascii="Arial" w:cs="Arial" w:eastAsia="Arial" w:hAnsi="Arial"/>
                <w:sz w:val="16"/>
                <w:szCs w:val="16"/>
                <w:color w:val="auto"/>
              </w:rPr>
              <w:t>(16)</w:t>
            </w:r>
          </w:p>
        </w:tc>
      </w:tr>
      <w:tr>
        <w:trPr>
          <w:trHeight w:val="210"/>
        </w:trPr>
        <w:tc>
          <w:tcPr>
            <w:tcW w:w="8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Income from Discontinued Operations</w:t>
            </w:r>
          </w:p>
        </w:tc>
        <w:tc>
          <w:tcPr>
            <w:tcW w:w="240" w:type="dxa"/>
            <w:vAlign w:val="bottom"/>
            <w:tcBorders>
              <w:top w:val="single" w:sz="8" w:color="auto"/>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2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8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6" w:lineRule="exact"/>
        <w:rPr>
          <w:sz w:val="20"/>
          <w:szCs w:val="20"/>
          <w:color w:val="auto"/>
        </w:rPr>
      </w:pPr>
    </w:p>
    <w:p>
      <w:pPr>
        <w:ind w:left="920" w:hanging="912"/>
        <w:spacing w:after="0"/>
        <w:tabs>
          <w:tab w:leader="none" w:pos="920"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SUBSEQUENT EVENTS</w:t>
      </w:r>
    </w:p>
    <w:p>
      <w:pPr>
        <w:spacing w:after="0" w:line="172"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The Company has evaluated subsequent events through the filing of this Quarterly Report on Form 10-Q and determined that there have been no material events that have occurred that are not properly recognized and/or disclosed in the consolidated financial statements except for the consummation of the Exchange Transactions described in Note 5. Long-Term Debt.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9" w:name="page30"/>
    <w:bookmarkEnd w:id="29"/>
    <w:p>
      <w:pPr>
        <w:jc w:val="both"/>
        <w:ind w:left="800" w:hanging="795"/>
        <w:spacing w:after="0" w:line="257" w:lineRule="auto"/>
        <w:rPr>
          <w:sz w:val="20"/>
          <w:szCs w:val="20"/>
          <w:color w:val="auto"/>
        </w:rPr>
      </w:pPr>
      <w:r>
        <w:rPr>
          <w:rFonts w:ascii="Arial" w:cs="Arial" w:eastAsia="Arial" w:hAnsi="Arial"/>
          <w:sz w:val="22"/>
          <w:szCs w:val="22"/>
          <w:b w:val="1"/>
          <w:bCs w:val="1"/>
          <w:color w:val="auto"/>
        </w:rPr>
        <w:t>ITEM 2.MANAGEMENT’S DISCUSSION AND ANALYSIS OF FINANCIAL CONDITION AND RESULTS OF OPERATIONS</w:t>
      </w:r>
    </w:p>
    <w:p>
      <w:pPr>
        <w:spacing w:after="0" w:line="126"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9"/>
          <w:szCs w:val="19"/>
          <w:i w:val="1"/>
          <w:iCs w:val="1"/>
          <w:color w:val="auto"/>
        </w:rPr>
        <w:t>This Form 10-Q includes “forward-looking statements” within the meaning of the Private Securities Litigation Reform Act of 1995. Such forward-looking statements concern management’s expectations, strategic objectives, business prospects, anticipated economic performance and financial condition and other similar matters and involve significant known and unknown risks, uncertainties and other important factors that could cause the actual results, performance or achievements of results to differ materially from any future results, performance or achievements discussed or implied by such forward-looking statements. Certain of these risks, uncertainties and other important factors are discussed in the Risk Factors and Management’s Discussion and Analysis of Financial Condition and Results of Operations of the Company’s 2021 Annual Report on Form 10-K and this Quarterly Report on Form 10-Q. However, it should be understood that it is not possible to identify or predict all such risks, uncertainties and factors, and others may arise from time to time. All of these forward-looking statements constitute the Company’s cautionary statements under the Private Securities Litigation Reform Act of 1995. The words “anticipate,” “estimate,” “expect,” “project,” “intend,” “believe,” “plan,” “target,” “forecast” and similar expressions are intended to identify forward-looking statements. Forward looking statements speak only as of the date of the document in which they are made. The Company disclaims any obligation or undertaking to provide any updates or revisions to any forward-looking statement to reflect any change in the Company’s expectations or any change in events, conditions or circumstances on which the forward-looking statement is based. It is advisable, however, to consult any further disclosures the Company makes on related subjects in its Annual Reports on Form 10-K, Quarterly Reports on Form 10-Q and Current Reports on Form 8-K filed with the Securities and Exchange Commission.</w:t>
      </w:r>
    </w:p>
    <w:p>
      <w:pPr>
        <w:spacing w:after="0" w:line="38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Overview</w:t>
      </w:r>
    </w:p>
    <w:p>
      <w:pPr>
        <w:spacing w:after="0" w:line="172"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The following Management’s Discussion and Analysis (the “MD&amp;A”) is intended to help the reader understand the Company’s financial condition and results of operations. The MD&amp;A is provided as a supplement to and should be read in conjunction with the unaudited consolidated financial statements and notes thereto included in this Quarterly Report on Form 10-Q, as well as “Management’s Discussion and Analysis of Financial Condition and Results of Operations” contained in the 2021 Annual Report.</w:t>
      </w:r>
    </w:p>
    <w:p>
      <w:pPr>
        <w:spacing w:after="0" w:line="14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The Company provides global marine and support transportation services to offshore energy facilities worldwide. As of September 30, 2022, the Company operated a diverse fleet of 60 support vessels, of which 58 were owned or leased-in, and two were managed on behalf of unaffiliated third-parties. The primary users of the Company’s services are major integrated oil companies, large independent oil and natural gas exploration and production companies and emerging independent companies, as well as windfarm operators and installation contractors.</w:t>
      </w:r>
    </w:p>
    <w:p>
      <w:pPr>
        <w:spacing w:after="0" w:line="151"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The Company operates and manages a diverse fleet of offshore support vessels that (i) deliver cargo and personnel to offshore installations including wind farms, (ii) handle anchors and mooring equipment required to tether rigs to the seabed, and assist in placing them on location and moving them between regions, (iii) provide construction, well work-over, maintenance and decommissioning support and (iv) carry and launch equipment used underwater in drilling and well installation, maintenance, inspection and repair. Additionally, the Company’s vessels provide accommodations for technicians and specialists.</w:t>
      </w:r>
    </w:p>
    <w:p>
      <w:pPr>
        <w:spacing w:after="0" w:line="107"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The Company operates its fleet in four principal geographic regions: the U.S., primarily in the Gulf of Mexico; Africa and Europe; the Middle East and Asia; and Latin America, primarily in Mexico, Brazil and Guyana. The Company’s vessels are highly mobile and regularly and routinely move between countries within a geographic region. In addition, the Company’s vessels are redeployed among geographic regions, subject to flag restrictions, as changes in market conditions dictate.</w:t>
      </w:r>
    </w:p>
    <w:p>
      <w:pPr>
        <w:spacing w:after="0" w:line="102" w:lineRule="exact"/>
        <w:rPr>
          <w:sz w:val="20"/>
          <w:szCs w:val="20"/>
          <w:color w:val="auto"/>
        </w:rPr>
      </w:pPr>
    </w:p>
    <w:p>
      <w:pPr>
        <w:ind w:left="760"/>
        <w:spacing w:after="0"/>
        <w:rPr>
          <w:sz w:val="20"/>
          <w:szCs w:val="20"/>
          <w:color w:val="auto"/>
        </w:rPr>
      </w:pPr>
      <w:r>
        <w:rPr>
          <w:rFonts w:ascii="Arial" w:cs="Arial" w:eastAsia="Arial" w:hAnsi="Arial"/>
          <w:sz w:val="22"/>
          <w:szCs w:val="22"/>
          <w:b w:val="1"/>
          <w:bCs w:val="1"/>
          <w:i w:val="1"/>
          <w:iCs w:val="1"/>
          <w:color w:val="auto"/>
        </w:rPr>
        <w:t>Significant items affecting our results of operations</w:t>
      </w:r>
    </w:p>
    <w:p>
      <w:pPr>
        <w:spacing w:after="0" w:line="179"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The number and type of vessels operated, their rates per day worked and their utilization levels are the key determinants of the Company’s operating results and cash flows. Unless a vessel is cold-stacked, there is little reduction in daily running costs for the vessels and, consequently, operating margins are most sensitive to changes in rates per day worked and utilization. The Company manages its fleet utilizing a global network of shore side support, administrative and finance personnel.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p>
      <w:pPr>
        <w:jc w:val="both"/>
        <w:ind w:firstLine="749"/>
        <w:spacing w:after="0" w:line="246" w:lineRule="auto"/>
        <w:rPr>
          <w:sz w:val="20"/>
          <w:szCs w:val="20"/>
          <w:color w:val="auto"/>
        </w:rPr>
      </w:pPr>
      <w:r>
        <w:rPr>
          <w:rFonts w:ascii="Arial" w:cs="Arial" w:eastAsia="Arial" w:hAnsi="Arial"/>
          <w:sz w:val="21"/>
          <w:szCs w:val="21"/>
          <w:color w:val="auto"/>
        </w:rPr>
        <w:t>Offshore oil and natural gas market conditions are highly volatile. Prices deteriorated beginning in the second half of 2014 and continued to deteriorate when oil prices hit a thirteen-year low of less than $27 per barrel (on the New York Mercantile Exchange) in February 2016. Oil prices experienced unprecedented volatility during 2020 due to the COVID-19 pandemic and the related effects on the global economy, with the price per barrel going negative for a short period of time. Oil prices have steadily increased since the lows hit at the beginning of the COVID-19 pandemic and hit a multi-year high of $122 per barrel primarily as a result of the conflict between Russia and Ukraine as well as the related economic sanctions and economic uncertainty but have recently decreased to the mid $80 per barrel range.</w:t>
      </w:r>
    </w:p>
    <w:p>
      <w:pPr>
        <w:spacing w:after="0" w:line="15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While the Company has experienced difficult market conditions over the past few years due to low and volatile oil and natural gas prices and the focus of oil and natural gas producing companies on cost and capital spending budget reductions, the increases since the lows experienced during the COVID-19 pandemic in oil and natural gas prices has led to an increase in utilization, day rates and customer inquiries about potential new charters. The Company continues to closely monitor the dynamics related to the COVID-19 pandemic so that it may adjust its operations if necessary.</w:t>
      </w:r>
    </w:p>
    <w:p>
      <w:pPr>
        <w:spacing w:after="0" w:line="138"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Certain macro drivers somewhat independent of oil and natural gas prices may support the Company’s business, including: (i) underspending by oil and gas producers during the recent industry downturn leading to pent up demand for maintenance and growth capital expenditures; (ii) improved extraction technologies; and (iii) the need for offshore wind facilities support as the industry grows. While we expect that alternative forms of energy will continue to grow and add to the world’s energy mix, especially as governments, supranational groups and various other parties focus on climate change causes and concerns, the Company believes that for the foreseeable future demand for gasoline and oil will be sustained, as will demand for electricity from natural gas. Some alternative forms of energy such as offshore wind facilities support some of the Company’s businesses and we expect such support to increase as development of such energy expands. Low oil prices and the subsequent decline in offshore exploration have forced many operators in the industry to restructure or liquidate assets. The Company continues to closely monitor the delivery of newly built offshore support vessels to the industry-wide fleet, which in the recent past contributed to an oversaturated market, thereby further lowering the demand for the Company’s existing offshore support vessel fleet. A continuation of (i) low customer exploration and drilling activity levels, and (ii) continued excess supply of offshore support vessels whether from laid up fleets or newly built vessels could, in isolation or together, have a material adverse effect on the Company’s business, financial position, results of operations, cash flows and growth prospects.</w:t>
      </w:r>
    </w:p>
    <w:p>
      <w:pPr>
        <w:spacing w:after="0" w:line="124"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The Company adheres to a strategy of cold-stacking vessels (removing from active service) during periods of weak utilization in order to reduce the daily running costs of operating the fleet, primarily personnel, repairs and maintenance costs, as well as to defer some drydocking costs into future periods. The Company considers various factors in determining which vessels to cold-stack, including upcoming dates for regulatory vessel inspections and related docking requirements. The Company may maintain class certification on certain cold-stacked vessels, thereby incurring some drydocking costs while cold-stacked. Cold-stacked vessels are returned to active service when market conditions improve, or management anticipates improvement, typically leading to increased costs for drydocking, personnel, repair and maintenance in the periods immediately preceding the vessels’ return to active service. Depending on market conditions, vessels with similar characteristics and capabilities may be rotated between active service and cold-stack. On an ongoing basis, the Company reviews its cold-stacked vessels to determine if any should be designated as retired and removed from service based on the vessel’s physical condition, the expected costs to reactivate and restore class certification, if any, and its viability to operate within current and projected market conditions. As of September 30, 2022, two of the Company’s 58 owned and leased-in, in-service vessels were cold-stacked worldwide.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31" w:name="page32"/>
    <w:bookmarkEnd w:id="31"/>
    <w:p>
      <w:pPr>
        <w:ind w:left="760"/>
        <w:spacing w:after="0"/>
        <w:rPr>
          <w:sz w:val="20"/>
          <w:szCs w:val="20"/>
          <w:color w:val="auto"/>
        </w:rPr>
      </w:pPr>
      <w:r>
        <w:rPr>
          <w:rFonts w:ascii="Arial" w:cs="Arial" w:eastAsia="Arial" w:hAnsi="Arial"/>
          <w:sz w:val="22"/>
          <w:szCs w:val="22"/>
          <w:b w:val="1"/>
          <w:bCs w:val="1"/>
          <w:color w:val="auto"/>
        </w:rPr>
        <w:t>Recent Developments</w:t>
      </w:r>
    </w:p>
    <w:p>
      <w:pPr>
        <w:spacing w:after="0" w:line="172"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At the end of the third quarter and beginning of the fourth quarter, the Company entered into a series of transactions described in more detail below that resulted in the Company (i) extending $177.4 million that was due in 2023 until 2026, (ii) receiving $66.0 million in proceeds from the sale of its interest in certain joint ventures and (iii) deploying $20.0 million of the sale proceeds as a loan to its former joint venture that will be repaid within the next 12 months.</w:t>
      </w:r>
    </w:p>
    <w:p>
      <w:pPr>
        <w:spacing w:after="0" w:line="116"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b w:val="1"/>
          <w:bCs w:val="1"/>
          <w:i w:val="1"/>
          <w:iCs w:val="1"/>
          <w:color w:val="auto"/>
        </w:rPr>
        <w:t xml:space="preserve">Exchange Transactions. </w:t>
      </w:r>
      <w:r>
        <w:rPr>
          <w:rFonts w:ascii="Arial" w:cs="Arial" w:eastAsia="Arial" w:hAnsi="Arial"/>
          <w:sz w:val="22"/>
          <w:szCs w:val="22"/>
          <w:color w:val="auto"/>
        </w:rPr>
        <w:t>On October 5, 2022, SEACOR Marine and the Carlyle Investors entered into two agreements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pursuant to which SEACOR Marine issued the Carlyle Investors (i) $90.0 million in aggregate principal amount of the Guaranteed Notes and (ii) $35.0 million aggregate principal amount of the New Convertible Notes in exchange for all $125.0 million in aggregate principal amount of SEACOR Marine’s Old Convertible Notes (the “Exchange Transactions”). The Exchange Transactions extended the maturity of $125.0 million of SEACOR Marine’s indebtedness by over 2.5 years from December 2023 to July 2026. For additional information and a summary of the terms of the New Convertible Notes and Guaranteed Notes, see “Note 5. Long Term Debt”.</w:t>
      </w:r>
    </w:p>
    <w:p>
      <w:pPr>
        <w:spacing w:after="0" w:line="150"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b w:val="1"/>
          <w:bCs w:val="1"/>
          <w:i w:val="1"/>
          <w:iCs w:val="1"/>
          <w:color w:val="auto"/>
        </w:rPr>
        <w:t xml:space="preserve">Framework Agreement Transactions. </w:t>
      </w:r>
      <w:r>
        <w:rPr>
          <w:rFonts w:ascii="Arial" w:cs="Arial" w:eastAsia="Arial" w:hAnsi="Arial"/>
          <w:sz w:val="22"/>
          <w:szCs w:val="22"/>
          <w:color w:val="auto"/>
        </w:rPr>
        <w:t>On September 29, 2022, SEACOR Marine and certain of its subsidiaries, on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one hand, and OTM, CME Ireland, and OVH, on the other hand, entered into the Framework Agreement. OTM and CME Ireland are affiliates of CME. Alfredo Miguel Bejos is the President and Chief Executive Officer of CME and also serves as a member of the board of directors of SEACOR Marine. Prior to the closing of the Framework Agreement Transactions (defined below), the Company indirectly owned 49% of each of MexMar and OVH and the remaining 51% ownership interests were held by OTM. The Company also owned a minority interest in the owner of the PSV SEACOR Marlin, with the remaining ownership interests held by MexMar.</w:t>
      </w:r>
    </w:p>
    <w:p>
      <w:pPr>
        <w:spacing w:after="0" w:line="150"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The Framework Agreement provided for, among other things, (i) the sale by SEACOR Marine of the entity that holds its interest in MexMar and OVH to OTM for a purchase price of $66.0 million, (ii) the sale of the AHTS SEACOR Davis to CME Ireland in exchange for the remaining equity interests in the owner of the PSV SEACOR Marlin resulting in SEACOR Marine becoming the sole owner of the PSV SEACOR Marlin, (iii) the transfer of a hybrid battery system from OVH to the Company as repayment in full for a certain vessel loan made by the Company to OVH, and (iv) entry into a bareboat charter agreement between SEACOR Marlin LLC and MexMar (collectively, the “Framework Agreement Transactions”).</w:t>
      </w:r>
    </w:p>
    <w:p>
      <w:pPr>
        <w:spacing w:after="0" w:line="123" w:lineRule="exact"/>
        <w:rPr>
          <w:sz w:val="20"/>
          <w:szCs w:val="20"/>
          <w:color w:val="auto"/>
        </w:rPr>
      </w:pPr>
    </w:p>
    <w:p>
      <w:pPr>
        <w:jc w:val="both"/>
        <w:ind w:right="20" w:firstLine="749"/>
        <w:spacing w:after="0"/>
        <w:rPr>
          <w:sz w:val="20"/>
          <w:szCs w:val="20"/>
          <w:color w:val="auto"/>
        </w:rPr>
      </w:pPr>
      <w:r>
        <w:rPr>
          <w:rFonts w:ascii="Arial" w:cs="Arial" w:eastAsia="Arial" w:hAnsi="Arial"/>
          <w:sz w:val="22"/>
          <w:szCs w:val="22"/>
          <w:color w:val="auto"/>
        </w:rPr>
        <w:t>Each of the Framework Agreement Transactions were consummated on September 29, 2022. As a result of the consummation of each of the Framework Agreement Transactions, the Company no longer owns any equity interest in either MexMar or in OVH, and the Company owns all of the equity interests in SEACOR Marlin LLC.</w:t>
      </w:r>
    </w:p>
    <w:p>
      <w:pPr>
        <w:spacing w:after="0" w:line="146"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b w:val="1"/>
          <w:bCs w:val="1"/>
          <w:i w:val="1"/>
          <w:iCs w:val="1"/>
          <w:color w:val="auto"/>
        </w:rPr>
        <w:t xml:space="preserve">Note Receivable. </w:t>
      </w:r>
      <w:r>
        <w:rPr>
          <w:rFonts w:ascii="Arial" w:cs="Arial" w:eastAsia="Arial" w:hAnsi="Arial"/>
          <w:sz w:val="22"/>
          <w:szCs w:val="22"/>
          <w:color w:val="222222"/>
        </w:rPr>
        <w:t>In connection with the closing of the Framework Agreement Transactions, on September 29, 2022,</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222222"/>
        </w:rPr>
        <w:t>SEACOR Marine Capital purchased all of the outstanding loans under the MexMar Original Facility Agreement for an aggregate amount of $28,831,148.32, representing par value of the loan using proceeds received from the Framework Agreement Transactions. On the same date the MexMar Original Facility Agreement was amended and restated in the MexMar Third A&amp;R Facility Agreement pursuant to which, among other things, MexMar paid down approximately $8.8 million of the loan and agreed to repay the $20.0 million of the loan that remains outstanding by September 30, 2023, through four equal quarterly installments of $5.0 million.</w:t>
      </w:r>
    </w:p>
    <w:p>
      <w:pPr>
        <w:spacing w:after="0" w:line="150" w:lineRule="exact"/>
        <w:rPr>
          <w:sz w:val="20"/>
          <w:szCs w:val="20"/>
          <w:color w:val="auto"/>
        </w:rPr>
      </w:pPr>
    </w:p>
    <w:p>
      <w:pPr>
        <w:jc w:val="both"/>
        <w:ind w:firstLine="749"/>
        <w:spacing w:after="0"/>
        <w:rPr>
          <w:sz w:val="20"/>
          <w:szCs w:val="20"/>
          <w:color w:val="auto"/>
        </w:rPr>
      </w:pPr>
      <w:r>
        <w:rPr>
          <w:rFonts w:ascii="Arial" w:cs="Arial" w:eastAsia="Arial" w:hAnsi="Arial"/>
          <w:sz w:val="22"/>
          <w:szCs w:val="22"/>
          <w:b w:val="1"/>
          <w:bCs w:val="1"/>
          <w:i w:val="1"/>
          <w:iCs w:val="1"/>
          <w:color w:val="auto"/>
        </w:rPr>
        <w:t xml:space="preserve">SEACOR Marine Foreign Holdings Credit Facility. </w:t>
      </w:r>
      <w:r>
        <w:rPr>
          <w:rFonts w:ascii="Arial" w:cs="Arial" w:eastAsia="Arial" w:hAnsi="Arial"/>
          <w:sz w:val="22"/>
          <w:szCs w:val="22"/>
          <w:color w:val="auto"/>
        </w:rPr>
        <w:t>On September 29, 2022, SEACOR Marine, SMFH, and certain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vessel-owning subsidiaries of the Company, entered into SMFH Amendment No. 5 to the SMFH Credit Facility, and in connection therewith the Company entered into the Second A&amp;R SMFH Credit Facility Guaranty.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2" w:name="page33"/>
    <w:bookmarkEnd w:id="32"/>
    <w:p>
      <w:pPr>
        <w:jc w:val="both"/>
        <w:ind w:firstLine="749"/>
        <w:spacing w:after="0" w:line="245" w:lineRule="auto"/>
        <w:rPr>
          <w:sz w:val="20"/>
          <w:szCs w:val="20"/>
          <w:color w:val="auto"/>
        </w:rPr>
      </w:pPr>
      <w:r>
        <w:rPr>
          <w:rFonts w:ascii="Arial" w:cs="Arial" w:eastAsia="Arial" w:hAnsi="Arial"/>
          <w:sz w:val="21"/>
          <w:szCs w:val="21"/>
          <w:color w:val="auto"/>
        </w:rPr>
        <w:t>SMFH Amendment No. 5 and the Second A&amp;R SMFH Credit Facility Guaranty provided for, among other things, (i) a $5.3 million prepayment of the SMFH Credit Facility thereby reducing the amount outstanding thereunder to approximately $74.7 million, (ii) the establishment of Tranche A and Tranche B loans under the SMFH Credit Facility (each as defined in the SMFH Credit Facility) and (iii) the change in the reference rate for Tranche B from LIBOR to SOFR. Tranche A is comprised of approximately $19.8 million of the principal amount of the loan and will maintain the same Margin (as defined in the SMFH Credit Facility) over LIBOR of 4.75% per annum through December 31, 2022, thereafter reverting to 3.75% per annum and the same maturity date of September 30, 2023. Tranche B is comprised of approximately $54.9 million of the principal amount of the loan and permanently maintains the Margin over SOFR (previously LIBOR) at 4.75% per annum and extends the maturity date from September 30, 2023 to March 31, 2026.</w:t>
      </w:r>
    </w:p>
    <w:p>
      <w:pPr>
        <w:spacing w:after="0" w:line="157"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On June 15, 2022, SEACOR Marine, SMFH, and certain vessel-owning subsidiaries of SEACOR Marine, entered into SMFH Amendment No. 4 to the SMFH Credit Facility and, in connection therewith, SEACOR Marine entered into the A&amp;R SMFH Credit Facility Guaranty. SMFH Amendment No. 4 and the A&amp;R SMFH Credit Facility Guaranty provide for, among other things, the modification of certain financial maintenance and restrictive covenants contained in the guaranty provided by SEACOR Marine with respect to the SMFH Credit Facility, including to amend the definition of Cash and Cash Equivalents to include 35% of the accounts receivable as reported in SEACOR Marine’s financial statements for the second, third and fourth quarter of fiscal year 2022 and to amend the interest coverage ratio through December 31, 2022.</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33" w:name="page34"/>
    <w:bookmarkEnd w:id="33"/>
    <w:p>
      <w:pPr>
        <w:spacing w:after="0"/>
        <w:rPr>
          <w:sz w:val="20"/>
          <w:szCs w:val="20"/>
          <w:color w:val="auto"/>
        </w:rPr>
      </w:pPr>
      <w:r>
        <w:rPr>
          <w:rFonts w:ascii="Arial" w:cs="Arial" w:eastAsia="Arial" w:hAnsi="Arial"/>
          <w:sz w:val="22"/>
          <w:szCs w:val="22"/>
          <w:b w:val="1"/>
          <w:bCs w:val="1"/>
          <w:color w:val="auto"/>
        </w:rPr>
        <w:t>Consolidated Results of Operations</w:t>
      </w:r>
    </w:p>
    <w:p>
      <w:pPr>
        <w:spacing w:after="0" w:line="17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The sections below provide an analysis of the Company’s results of operations for the three and nine months (“Current Year Quarter” and “Current Year Nine Months”) ended September 30, 2022 compared with the three and nine months (“Prior Year Quarter” and “Prior Year Nine Months”) ended September 30, 2021. For the periods indicated, the Company’s consolidated results of operations were as follows (in thousands, except statistics):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4"/>
                <w:szCs w:val="14"/>
                <w:b w:val="1"/>
                <w:bCs w:val="1"/>
                <w:color w:val="auto"/>
              </w:rPr>
              <w:t>Nine Months Ended September 30,</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60"/>
              <w:spacing w:after="0"/>
              <w:rPr>
                <w:sz w:val="20"/>
                <w:szCs w:val="20"/>
                <w:color w:val="auto"/>
              </w:rPr>
            </w:pPr>
            <w:r>
              <w:rPr>
                <w:rFonts w:ascii="Arial" w:cs="Arial" w:eastAsia="Arial" w:hAnsi="Arial"/>
                <w:sz w:val="16"/>
                <w:szCs w:val="16"/>
                <w:color w:val="auto"/>
              </w:rPr>
              <w:t>Average Rates Per Day</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13,340</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12,120</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12,305</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11,837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Fleet Utilization</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79%</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68%</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75%</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63%</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60"/>
              <w:spacing w:after="0"/>
              <w:rPr>
                <w:sz w:val="20"/>
                <w:szCs w:val="20"/>
                <w:color w:val="auto"/>
              </w:rPr>
            </w:pPr>
            <w:r>
              <w:rPr>
                <w:rFonts w:ascii="Arial" w:cs="Arial" w:eastAsia="Arial" w:hAnsi="Arial"/>
                <w:sz w:val="16"/>
                <w:szCs w:val="16"/>
                <w:color w:val="auto"/>
              </w:rPr>
              <w:t>Fleet Available Days</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5,336</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5,108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16,047</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15,790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60"/>
              <w:spacing w:after="0"/>
              <w:rPr>
                <w:sz w:val="20"/>
                <w:szCs w:val="20"/>
                <w:color w:val="auto"/>
              </w:rPr>
            </w:pPr>
            <w:r>
              <w:rPr>
                <w:rFonts w:ascii="Arial" w:cs="Arial" w:eastAsia="Arial" w:hAnsi="Arial"/>
                <w:sz w:val="16"/>
                <w:szCs w:val="16"/>
                <w:color w:val="auto"/>
              </w:rPr>
              <w:t>Time charter</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56,500</w:t>
            </w:r>
          </w:p>
        </w:tc>
        <w:tc>
          <w:tcPr>
            <w:tcW w:w="2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94%</w:t>
            </w:r>
          </w:p>
        </w:tc>
        <w:tc>
          <w:tcPr>
            <w:tcW w:w="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41,782</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96%</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148,745</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93%</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117,546</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Bareboat charter</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332</w:t>
            </w:r>
          </w:p>
        </w:tc>
        <w:tc>
          <w:tcPr>
            <w:tcW w:w="2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998</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1,163</w:t>
            </w: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40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marine services</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2,959</w:t>
            </w:r>
          </w:p>
        </w:tc>
        <w:tc>
          <w:tcPr>
            <w:tcW w:w="26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6"/>
                <w:szCs w:val="16"/>
                <w:color w:val="auto"/>
              </w:rPr>
              <w:t>5%</w:t>
            </w:r>
          </w:p>
        </w:tc>
        <w:tc>
          <w:tcPr>
            <w:tcW w:w="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1,881</w:t>
            </w:r>
          </w:p>
        </w:tc>
        <w:tc>
          <w:tcPr>
            <w:tcW w:w="26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9,656</w:t>
            </w:r>
          </w:p>
        </w:tc>
        <w:tc>
          <w:tcPr>
            <w:tcW w:w="26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4,265</w:t>
            </w:r>
          </w:p>
        </w:tc>
        <w:tc>
          <w:tcPr>
            <w:tcW w:w="240" w:type="dxa"/>
            <w:vAlign w:val="bottom"/>
            <w:tcBorders>
              <w:bottom w:val="single" w:sz="8" w:color="CFF0FC"/>
            </w:tcBorders>
          </w:tcPr>
          <w:p>
            <w:pPr>
              <w:spacing w:after="0"/>
              <w:rPr>
                <w:sz w:val="18"/>
                <w:szCs w:val="18"/>
                <w:color w:val="auto"/>
              </w:rPr>
            </w:pPr>
          </w:p>
        </w:tc>
        <w:tc>
          <w:tcPr>
            <w:tcW w:w="58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40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59,791</w:t>
            </w:r>
          </w:p>
        </w:tc>
        <w:tc>
          <w:tcPr>
            <w:tcW w:w="2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w:t>
            </w:r>
          </w:p>
        </w:tc>
        <w:tc>
          <w:tcPr>
            <w:tcW w:w="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43,663</w:t>
            </w:r>
          </w:p>
        </w:tc>
        <w:tc>
          <w:tcPr>
            <w:tcW w:w="2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100%</w:t>
            </w:r>
          </w:p>
        </w:tc>
        <w:tc>
          <w:tcPr>
            <w:tcW w:w="2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159,399</w:t>
            </w:r>
          </w:p>
        </w:tc>
        <w:tc>
          <w:tcPr>
            <w:tcW w:w="2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100%</w:t>
            </w:r>
          </w:p>
        </w:tc>
        <w:tc>
          <w:tcPr>
            <w:tcW w:w="2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122,974</w:t>
            </w:r>
          </w:p>
        </w:tc>
        <w:tc>
          <w:tcPr>
            <w:tcW w:w="24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6"/>
        </w:trPr>
        <w:tc>
          <w:tcPr>
            <w:tcW w:w="4040" w:type="dxa"/>
            <w:vAlign w:val="bottom"/>
          </w:tcPr>
          <w:p>
            <w:pPr>
              <w:spacing w:after="0"/>
              <w:rPr>
                <w:sz w:val="20"/>
                <w:szCs w:val="20"/>
                <w:color w:val="auto"/>
              </w:rPr>
            </w:pPr>
            <w:r>
              <w:rPr>
                <w:rFonts w:ascii="Arial" w:cs="Arial" w:eastAsia="Arial" w:hAnsi="Arial"/>
                <w:sz w:val="16"/>
                <w:szCs w:val="16"/>
                <w:color w:val="auto"/>
              </w:rPr>
              <w:t>Costs and Expenses:</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500"/>
              <w:spacing w:after="0"/>
              <w:rPr>
                <w:sz w:val="20"/>
                <w:szCs w:val="20"/>
                <w:color w:val="auto"/>
              </w:rPr>
            </w:pPr>
            <w:r>
              <w:rPr>
                <w:rFonts w:ascii="Arial" w:cs="Arial" w:eastAsia="Arial" w:hAnsi="Arial"/>
                <w:sz w:val="16"/>
                <w:szCs w:val="16"/>
                <w:color w:val="auto"/>
              </w:rPr>
              <w:t>Personnel</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20,152</w:t>
            </w:r>
          </w:p>
        </w:tc>
        <w:tc>
          <w:tcPr>
            <w:tcW w:w="2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34%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15,051</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56,933</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36%</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42,822</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Repairs and maintenance</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7,377</w:t>
            </w:r>
          </w:p>
        </w:tc>
        <w:tc>
          <w:tcPr>
            <w:tcW w:w="2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12%</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6,536</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15%</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22,548</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14%</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17,335</w:t>
            </w: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4040" w:type="dxa"/>
            <w:vAlign w:val="bottom"/>
          </w:tcPr>
          <w:p>
            <w:pPr>
              <w:ind w:left="500"/>
              <w:spacing w:after="0"/>
              <w:rPr>
                <w:sz w:val="20"/>
                <w:szCs w:val="20"/>
                <w:color w:val="auto"/>
              </w:rPr>
            </w:pPr>
            <w:r>
              <w:rPr>
                <w:rFonts w:ascii="Arial" w:cs="Arial" w:eastAsia="Arial" w:hAnsi="Arial"/>
                <w:sz w:val="16"/>
                <w:szCs w:val="16"/>
                <w:color w:val="auto"/>
              </w:rPr>
              <w:t>Drydocking</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5,046</w:t>
            </w:r>
          </w:p>
        </w:tc>
        <w:tc>
          <w:tcPr>
            <w:tcW w:w="2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771</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16,493</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5,780</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Insurance and loss reserves</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2,850</w:t>
            </w:r>
          </w:p>
        </w:tc>
        <w:tc>
          <w:tcPr>
            <w:tcW w:w="2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2,189</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6,581</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6,808</w:t>
            </w: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4040" w:type="dxa"/>
            <w:vAlign w:val="bottom"/>
          </w:tcPr>
          <w:p>
            <w:pPr>
              <w:ind w:left="500"/>
              <w:spacing w:after="0"/>
              <w:rPr>
                <w:sz w:val="20"/>
                <w:szCs w:val="20"/>
                <w:color w:val="auto"/>
              </w:rPr>
            </w:pPr>
            <w:r>
              <w:rPr>
                <w:rFonts w:ascii="Arial" w:cs="Arial" w:eastAsia="Arial" w:hAnsi="Arial"/>
                <w:sz w:val="16"/>
                <w:szCs w:val="16"/>
                <w:color w:val="auto"/>
              </w:rPr>
              <w:t>Fuel, lubes and supplies</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5,416</w:t>
            </w:r>
          </w:p>
        </w:tc>
        <w:tc>
          <w:tcPr>
            <w:tcW w:w="2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3,684</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13,495</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8,779</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3,165</w:t>
            </w:r>
          </w:p>
        </w:tc>
        <w:tc>
          <w:tcPr>
            <w:tcW w:w="2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w:t>
            </w: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5,217</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11,597</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10,846</w:t>
            </w: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7"/>
        </w:trPr>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44,006</w:t>
            </w:r>
          </w:p>
        </w:tc>
        <w:tc>
          <w:tcPr>
            <w:tcW w:w="26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74%</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33,448</w:t>
            </w:r>
          </w:p>
        </w:tc>
        <w:tc>
          <w:tcPr>
            <w:tcW w:w="26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77%</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127,647</w:t>
            </w:r>
          </w:p>
        </w:tc>
        <w:tc>
          <w:tcPr>
            <w:tcW w:w="26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80%</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92,370</w:t>
            </w:r>
          </w:p>
        </w:tc>
        <w:tc>
          <w:tcPr>
            <w:tcW w:w="2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Lease expense - operating</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1,168</w:t>
            </w:r>
          </w:p>
        </w:tc>
        <w:tc>
          <w:tcPr>
            <w:tcW w:w="2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1,109</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3,236</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3,421</w:t>
            </w: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4040" w:type="dxa"/>
            <w:vAlign w:val="bottom"/>
          </w:tcPr>
          <w:p>
            <w:pPr>
              <w:ind w:left="260"/>
              <w:spacing w:after="0"/>
              <w:rPr>
                <w:sz w:val="20"/>
                <w:szCs w:val="20"/>
                <w:color w:val="auto"/>
              </w:rPr>
            </w:pPr>
            <w:r>
              <w:rPr>
                <w:rFonts w:ascii="Arial" w:cs="Arial" w:eastAsia="Arial" w:hAnsi="Arial"/>
                <w:sz w:val="16"/>
                <w:szCs w:val="16"/>
                <w:color w:val="auto"/>
              </w:rPr>
              <w:t>Administrative and general</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9,978</w:t>
            </w:r>
          </w:p>
        </w:tc>
        <w:tc>
          <w:tcPr>
            <w:tcW w:w="2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17%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9,134</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30,112</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26,897</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13,754</w:t>
            </w:r>
          </w:p>
        </w:tc>
        <w:tc>
          <w:tcPr>
            <w:tcW w:w="2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23%</w:t>
            </w: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14,306</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33%</w:t>
            </w: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42,333</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27%</w:t>
            </w: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43,197</w:t>
            </w: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6"/>
        </w:trPr>
        <w:tc>
          <w:tcPr>
            <w:tcW w:w="40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68,906</w:t>
            </w:r>
          </w:p>
        </w:tc>
        <w:tc>
          <w:tcPr>
            <w:tcW w:w="260" w:type="dxa"/>
            <w:vAlign w:val="bottom"/>
            <w:tcBorders>
              <w:bottom w:val="single" w:sz="8" w:color="CFF0FC"/>
            </w:tcBorders>
          </w:tcPr>
          <w:p>
            <w:pPr>
              <w:spacing w:after="0"/>
              <w:rPr>
                <w:sz w:val="17"/>
                <w:szCs w:val="17"/>
                <w:color w:val="auto"/>
              </w:rPr>
            </w:pPr>
          </w:p>
        </w:tc>
        <w:tc>
          <w:tcPr>
            <w:tcW w:w="62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6"/>
                <w:szCs w:val="16"/>
                <w:color w:val="auto"/>
              </w:rPr>
              <w:t>115%</w:t>
            </w:r>
          </w:p>
        </w:tc>
        <w:tc>
          <w:tcPr>
            <w:tcW w:w="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57,997</w:t>
            </w:r>
          </w:p>
        </w:tc>
        <w:tc>
          <w:tcPr>
            <w:tcW w:w="260" w:type="dxa"/>
            <w:vAlign w:val="bottom"/>
            <w:tcBorders>
              <w:bottom w:val="single" w:sz="8" w:color="CFF0FC"/>
            </w:tcBorders>
          </w:tcPr>
          <w:p>
            <w:pPr>
              <w:spacing w:after="0"/>
              <w:rPr>
                <w:sz w:val="17"/>
                <w:szCs w:val="17"/>
                <w:color w:val="auto"/>
              </w:rPr>
            </w:pPr>
          </w:p>
        </w:tc>
        <w:tc>
          <w:tcPr>
            <w:tcW w:w="68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6"/>
                <w:szCs w:val="16"/>
                <w:color w:val="auto"/>
              </w:rPr>
              <w:t>133%</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203,328</w:t>
            </w:r>
          </w:p>
        </w:tc>
        <w:tc>
          <w:tcPr>
            <w:tcW w:w="260" w:type="dxa"/>
            <w:vAlign w:val="bottom"/>
            <w:tcBorders>
              <w:bottom w:val="single" w:sz="8" w:color="CFF0FC"/>
            </w:tcBorders>
          </w:tcPr>
          <w:p>
            <w:pPr>
              <w:spacing w:after="0"/>
              <w:rPr>
                <w:sz w:val="17"/>
                <w:szCs w:val="17"/>
                <w:color w:val="auto"/>
              </w:rPr>
            </w:pPr>
          </w:p>
        </w:tc>
        <w:tc>
          <w:tcPr>
            <w:tcW w:w="68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6"/>
                <w:szCs w:val="16"/>
                <w:color w:val="auto"/>
              </w:rPr>
              <w:t>128%</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165,885</w:t>
            </w:r>
          </w:p>
        </w:tc>
        <w:tc>
          <w:tcPr>
            <w:tcW w:w="240" w:type="dxa"/>
            <w:vAlign w:val="bottom"/>
            <w:tcBorders>
              <w:bottom w:val="single" w:sz="8" w:color="CFF0FC"/>
            </w:tcBorders>
          </w:tcPr>
          <w:p>
            <w:pPr>
              <w:spacing w:after="0"/>
              <w:rPr>
                <w:sz w:val="17"/>
                <w:szCs w:val="17"/>
                <w:color w:val="auto"/>
              </w:rPr>
            </w:pPr>
          </w:p>
        </w:tc>
        <w:tc>
          <w:tcPr>
            <w:tcW w:w="58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03"/>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(Losses) Gains on Asset Dispositions and</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Impairments, Net</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(1,783)</w:t>
            </w: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2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w:t>
            </w:r>
          </w:p>
        </w:tc>
        <w:tc>
          <w:tcPr>
            <w:tcW w:w="2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20,436</w:t>
            </w:r>
          </w:p>
        </w:tc>
        <w:tc>
          <w:tcPr>
            <w:tcW w:w="24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6"/>
                <w:szCs w:val="16"/>
                <w:color w:val="auto"/>
              </w:rPr>
              <w:t>Operating Loss</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(18)%</w:t>
            </w: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(33)%</w:t>
            </w: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(27)%</w:t>
            </w: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line="20" w:lineRule="exact"/>
              <w:rPr>
                <w:sz w:val="1"/>
                <w:szCs w:val="1"/>
                <w:color w:val="auto"/>
              </w:rPr>
            </w:pPr>
          </w:p>
        </w:tc>
      </w:tr>
      <w:tr>
        <w:trPr>
          <w:trHeight w:val="207"/>
        </w:trPr>
        <w:tc>
          <w:tcPr>
            <w:tcW w:w="40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(10,898)</w:t>
            </w:r>
          </w:p>
        </w:tc>
        <w:tc>
          <w:tcPr>
            <w:tcW w:w="6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(14,278)</w:t>
            </w: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(43,548)</w:t>
            </w: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(22,475)</w:t>
            </w:r>
          </w:p>
        </w:tc>
        <w:tc>
          <w:tcPr>
            <w:tcW w:w="5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Other (Expense) Income, Net</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(4,783)</w:t>
            </w: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3,410</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(16,231)</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50,451</w:t>
            </w: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0"/>
        </w:trPr>
        <w:tc>
          <w:tcPr>
            <w:tcW w:w="4040" w:type="dxa"/>
            <w:vAlign w:val="bottom"/>
          </w:tcPr>
          <w:p>
            <w:pPr>
              <w:spacing w:after="0"/>
              <w:rPr>
                <w:sz w:val="20"/>
                <w:szCs w:val="20"/>
                <w:color w:val="auto"/>
              </w:rPr>
            </w:pPr>
            <w:r>
              <w:rPr>
                <w:rFonts w:ascii="Arial" w:cs="Arial" w:eastAsia="Arial" w:hAnsi="Arial"/>
                <w:sz w:val="16"/>
                <w:szCs w:val="16"/>
                <w:color w:val="auto"/>
              </w:rPr>
              <w:t>(Loss) Income from Continuing Operations Before</w:t>
            </w: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40" w:type="dxa"/>
            <w:vAlign w:val="bottom"/>
          </w:tcPr>
          <w:p>
            <w:pPr>
              <w:spacing w:after="0"/>
              <w:rPr>
                <w:sz w:val="20"/>
                <w:szCs w:val="20"/>
                <w:color w:val="auto"/>
              </w:rPr>
            </w:pPr>
            <w:r>
              <w:rPr>
                <w:rFonts w:ascii="Arial" w:cs="Arial" w:eastAsia="Arial" w:hAnsi="Arial"/>
                <w:sz w:val="16"/>
                <w:szCs w:val="16"/>
                <w:color w:val="auto"/>
              </w:rPr>
              <w:t>Income Tax Expense (Benefit) and Equity in</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40" w:type="dxa"/>
            <w:vAlign w:val="bottom"/>
          </w:tcPr>
          <w:p>
            <w:pPr>
              <w:spacing w:after="0"/>
              <w:rPr>
                <w:sz w:val="20"/>
                <w:szCs w:val="20"/>
                <w:color w:val="auto"/>
              </w:rPr>
            </w:pPr>
            <w:r>
              <w:rPr>
                <w:rFonts w:ascii="Arial" w:cs="Arial" w:eastAsia="Arial" w:hAnsi="Arial"/>
                <w:sz w:val="16"/>
                <w:szCs w:val="16"/>
                <w:color w:val="auto"/>
              </w:rPr>
              <w:t>Earnings of 50% or Less Owned Companies</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(15,681)</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(26)%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(10,868)</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(59,779)</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(38)%</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27,976</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Income Tax Expense (Benefit)</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8,418</w:t>
            </w:r>
          </w:p>
        </w:tc>
        <w:tc>
          <w:tcPr>
            <w:tcW w:w="2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14%</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(725)</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4,363</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12,502</w:t>
            </w: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0"/>
        </w:trPr>
        <w:tc>
          <w:tcPr>
            <w:tcW w:w="4040" w:type="dxa"/>
            <w:vAlign w:val="bottom"/>
          </w:tcPr>
          <w:p>
            <w:pPr>
              <w:spacing w:after="0"/>
              <w:rPr>
                <w:sz w:val="20"/>
                <w:szCs w:val="20"/>
                <w:color w:val="auto"/>
              </w:rPr>
            </w:pPr>
            <w:r>
              <w:rPr>
                <w:rFonts w:ascii="Arial" w:cs="Arial" w:eastAsia="Arial" w:hAnsi="Arial"/>
                <w:sz w:val="16"/>
                <w:szCs w:val="16"/>
                <w:color w:val="auto"/>
              </w:rPr>
              <w:t>(Loss) Income from Continuing Operations Before</w:t>
            </w: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spacing w:after="0"/>
              <w:rPr>
                <w:sz w:val="20"/>
                <w:szCs w:val="20"/>
                <w:color w:val="auto"/>
              </w:rPr>
            </w:pPr>
            <w:r>
              <w:rPr>
                <w:rFonts w:ascii="Arial" w:cs="Arial" w:eastAsia="Arial" w:hAnsi="Arial"/>
                <w:sz w:val="16"/>
                <w:szCs w:val="16"/>
                <w:color w:val="auto"/>
              </w:rPr>
              <w:t>Equity in Earnings of 50% or Less Owned</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40" w:type="dxa"/>
            <w:vAlign w:val="bottom"/>
          </w:tcPr>
          <w:p>
            <w:pPr>
              <w:spacing w:after="0"/>
              <w:rPr>
                <w:sz w:val="20"/>
                <w:szCs w:val="20"/>
                <w:color w:val="auto"/>
              </w:rPr>
            </w:pPr>
            <w:r>
              <w:rPr>
                <w:rFonts w:ascii="Arial" w:cs="Arial" w:eastAsia="Arial" w:hAnsi="Arial"/>
                <w:sz w:val="16"/>
                <w:szCs w:val="16"/>
                <w:color w:val="auto"/>
              </w:rPr>
              <w:t>Companies</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(24,099)</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(40)%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(10,143)</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(64,142)</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(40)%</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15,474</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Equity in Earnings (Losses) Gains of 50% or Less</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Owned Companies</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(254)</w:t>
            </w: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4,314</w:t>
            </w:r>
          </w:p>
        </w:tc>
        <w:tc>
          <w:tcPr>
            <w:tcW w:w="2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5,835</w:t>
            </w:r>
          </w:p>
        </w:tc>
        <w:tc>
          <w:tcPr>
            <w:tcW w:w="2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10,584</w:t>
            </w:r>
          </w:p>
        </w:tc>
        <w:tc>
          <w:tcPr>
            <w:tcW w:w="24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6"/>
                <w:szCs w:val="16"/>
                <w:color w:val="auto"/>
              </w:rPr>
              <w:t>(Loss) Income from Continuing Operations</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(41)%</w:t>
            </w: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(13)%</w:t>
            </w: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(37)%</w:t>
            </w: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21%</w:t>
            </w:r>
          </w:p>
        </w:tc>
        <w:tc>
          <w:tcPr>
            <w:tcW w:w="0" w:type="dxa"/>
            <w:vAlign w:val="bottom"/>
          </w:tcPr>
          <w:p>
            <w:pPr>
              <w:spacing w:after="0" w:line="20" w:lineRule="exact"/>
              <w:rPr>
                <w:sz w:val="1"/>
                <w:szCs w:val="1"/>
                <w:color w:val="auto"/>
              </w:rPr>
            </w:pPr>
          </w:p>
        </w:tc>
      </w:tr>
      <w:tr>
        <w:trPr>
          <w:trHeight w:val="206"/>
        </w:trPr>
        <w:tc>
          <w:tcPr>
            <w:tcW w:w="40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(24,353)</w:t>
            </w:r>
          </w:p>
        </w:tc>
        <w:tc>
          <w:tcPr>
            <w:tcW w:w="6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(5,829)</w:t>
            </w: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(58,307)</w:t>
            </w: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26,058</w:t>
            </w:r>
          </w:p>
        </w:tc>
        <w:tc>
          <w:tcPr>
            <w:tcW w:w="24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Income from discontinued operations, Net of Tax</w:t>
            </w: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22,925</w:t>
            </w: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7"/>
        </w:trPr>
        <w:tc>
          <w:tcPr>
            <w:tcW w:w="4040" w:type="dxa"/>
            <w:vAlign w:val="bottom"/>
          </w:tcPr>
          <w:p>
            <w:pPr>
              <w:spacing w:after="0"/>
              <w:rPr>
                <w:sz w:val="20"/>
                <w:szCs w:val="20"/>
                <w:color w:val="auto"/>
              </w:rPr>
            </w:pPr>
            <w:r>
              <w:rPr>
                <w:rFonts w:ascii="Arial" w:cs="Arial" w:eastAsia="Arial" w:hAnsi="Arial"/>
                <w:sz w:val="16"/>
                <w:szCs w:val="16"/>
                <w:color w:val="auto"/>
              </w:rPr>
              <w:t>Net (Loss) Income</w:t>
            </w:r>
          </w:p>
        </w:tc>
        <w:tc>
          <w:tcPr>
            <w:tcW w:w="2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(24,353)</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(41)%</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(5,829)</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(58,307)</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(37)%</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48,983</w:t>
            </w:r>
          </w:p>
        </w:tc>
        <w:tc>
          <w:tcPr>
            <w:tcW w:w="2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Net (Loss) Income attributable to Noncontrolling</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Interests in Subsidiaries</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w:t>
            </w: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0"/>
        </w:trPr>
        <w:tc>
          <w:tcPr>
            <w:tcW w:w="4040" w:type="dxa"/>
            <w:vAlign w:val="bottom"/>
          </w:tcPr>
          <w:p>
            <w:pPr>
              <w:spacing w:after="0"/>
              <w:rPr>
                <w:sz w:val="20"/>
                <w:szCs w:val="20"/>
                <w:color w:val="auto"/>
              </w:rPr>
            </w:pPr>
            <w:r>
              <w:rPr>
                <w:rFonts w:ascii="Arial" w:cs="Arial" w:eastAsia="Arial" w:hAnsi="Arial"/>
                <w:sz w:val="16"/>
                <w:szCs w:val="16"/>
                <w:color w:val="auto"/>
              </w:rPr>
              <w:t>Net (Loss) Income attributable to SEACOR Marine</w:t>
            </w: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40" w:type="dxa"/>
            <w:vAlign w:val="bottom"/>
          </w:tcPr>
          <w:p>
            <w:pPr>
              <w:spacing w:after="0"/>
              <w:rPr>
                <w:sz w:val="20"/>
                <w:szCs w:val="20"/>
                <w:color w:val="auto"/>
              </w:rPr>
            </w:pPr>
            <w:r>
              <w:rPr>
                <w:rFonts w:ascii="Arial" w:cs="Arial" w:eastAsia="Arial" w:hAnsi="Arial"/>
                <w:sz w:val="16"/>
                <w:szCs w:val="16"/>
                <w:color w:val="auto"/>
              </w:rPr>
              <w:t>Holdings Inc.</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(24,351)</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(41)%</w:t>
            </w:r>
          </w:p>
        </w:tc>
        <w:tc>
          <w:tcPr>
            <w:tcW w:w="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(5,829)</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(58,308)</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(37)%</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48,982</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b w:val="1"/>
          <w:bCs w:val="1"/>
          <w:i w:val="1"/>
          <w:iCs w:val="1"/>
          <w:color w:val="auto"/>
        </w:rPr>
        <w:t xml:space="preserve">Direct Vessel Profit. </w:t>
      </w:r>
      <w:r>
        <w:rPr>
          <w:rFonts w:ascii="Arial" w:cs="Arial" w:eastAsia="Arial" w:hAnsi="Arial"/>
          <w:sz w:val="22"/>
          <w:szCs w:val="22"/>
          <w:color w:val="auto"/>
        </w:rPr>
        <w:t>Direct vessel profit (defined as operating revenues less operating expenses excluding leased-in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equipment, “DVP”) is the Company’s measure of segment profitability. DVP is a critical financial measure used by the Company to analyze and compare the operating performance of its regions, without regard to financing decisions (depreciation and interest expense for owned vessels vs. lease expense for leased-in vessels). See “Note 12. Segment Information” to the Unaudited Consolidated Financial Statements included in Part I. Item 1. “Financial Statements” elsewhere in the Quarterly Report on Form 10-Q.</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34" w:name="page35"/>
    <w:bookmarkEnd w:id="34"/>
    <w:p>
      <w:pPr>
        <w:ind w:firstLine="749"/>
        <w:spacing w:after="0" w:line="250" w:lineRule="auto"/>
        <w:rPr>
          <w:sz w:val="20"/>
          <w:szCs w:val="20"/>
          <w:color w:val="auto"/>
        </w:rPr>
      </w:pPr>
      <w:r>
        <w:rPr>
          <w:rFonts w:ascii="Arial" w:cs="Arial" w:eastAsia="Arial" w:hAnsi="Arial"/>
          <w:sz w:val="22"/>
          <w:szCs w:val="22"/>
          <w:color w:val="auto"/>
        </w:rPr>
        <w:t>The following tables summarize the operating results and property and equipment for the Company’s reportable segments for the periods indicated (in thousands, except statistics):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United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States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(primarily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Middle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Gulf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Africa</w:t>
            </w:r>
          </w:p>
        </w:tc>
        <w:tc>
          <w:tcPr>
            <w:tcW w:w="14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East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Latin</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Mexico)</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0"/>
              </w:rPr>
              <w:t>and Europe</w:t>
            </w:r>
          </w:p>
        </w:tc>
        <w:tc>
          <w:tcPr>
            <w:tcW w:w="14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and Asia</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America</w:t>
            </w:r>
          </w:p>
        </w:tc>
        <w:tc>
          <w:tcPr>
            <w:tcW w:w="2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Three Months Ended September 30, 2022</w:t>
            </w: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6"/>
                <w:szCs w:val="16"/>
                <w:color w:val="auto"/>
              </w:rPr>
              <w:t>Time Charter Statistics: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Average Rates Per Day</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21,551</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11,813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9,507</w:t>
            </w: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14,010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13,340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Fleet Utilization</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91%</w:t>
            </w: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79%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93%</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Fleet Available Days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5,336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6"/>
                <w:szCs w:val="16"/>
                <w:color w:val="auto"/>
              </w:rPr>
              <w:t>Operating Revenues: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17,075</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17,551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11,712</w:t>
            </w: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10,162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56,500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2,161</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2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319</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419</w:t>
            </w: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2,959</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19,236</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17,611</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12,031</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10,913</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59,791</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7,243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4,694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5,384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20,152</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2,002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2,110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1,776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1,489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7,377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1,549</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3,113</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5,046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1,382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563</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5,416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1,580</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3,165</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13,633</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11,410</w:t>
            </w:r>
          </w:p>
        </w:tc>
        <w:tc>
          <w:tcPr>
            <w:tcW w:w="2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13,339</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5,624</w:t>
            </w: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44,006</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80" w:type="dxa"/>
            <w:vAlign w:val="bottom"/>
          </w:tcPr>
          <w:p>
            <w:pPr>
              <w:spacing w:after="0"/>
              <w:rPr>
                <w:sz w:val="20"/>
                <w:szCs w:val="20"/>
                <w:color w:val="auto"/>
              </w:rPr>
            </w:pPr>
            <w:r>
              <w:rPr>
                <w:rFonts w:ascii="Arial" w:cs="Arial" w:eastAsia="Arial" w:hAnsi="Arial"/>
                <w:sz w:val="16"/>
                <w:szCs w:val="16"/>
                <w:b w:val="1"/>
                <w:bCs w:val="1"/>
                <w:color w:val="auto"/>
              </w:rPr>
              <w:t>Direct Vessel Profit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5,603</w:t>
            </w:r>
          </w:p>
        </w:tc>
        <w:tc>
          <w:tcPr>
            <w:tcW w:w="20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6,201</w:t>
            </w: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(1,308)</w:t>
            </w:r>
          </w:p>
        </w:tc>
        <w:tc>
          <w:tcPr>
            <w:tcW w:w="2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5,289</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15,785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1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278</w:t>
            </w:r>
          </w:p>
        </w:tc>
        <w:tc>
          <w:tcPr>
            <w:tcW w:w="20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455</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35</w:t>
            </w:r>
          </w:p>
        </w:tc>
        <w:tc>
          <w:tcPr>
            <w:tcW w:w="2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1,168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9,978</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46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4,332</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3,461</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3,974</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1,987</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13,754</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24,900</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80" w:type="dxa"/>
            <w:vAlign w:val="bottom"/>
          </w:tcPr>
          <w:p>
            <w:pPr>
              <w:spacing w:after="0"/>
              <w:rPr>
                <w:sz w:val="20"/>
                <w:szCs w:val="20"/>
                <w:color w:val="auto"/>
              </w:rPr>
            </w:pPr>
            <w:r>
              <w:rPr>
                <w:rFonts w:ascii="Arial" w:cs="Arial" w:eastAsia="Arial" w:hAnsi="Arial"/>
                <w:sz w:val="16"/>
                <w:szCs w:val="16"/>
                <w:color w:val="auto"/>
              </w:rPr>
              <w:t>Losses on Asset Dispositions and Impairments, Net</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(1,783)</w:t>
            </w:r>
          </w:p>
        </w:tc>
        <w:tc>
          <w:tcPr>
            <w:tcW w:w="0" w:type="dxa"/>
            <w:vAlign w:val="bottom"/>
          </w:tcPr>
          <w:p>
            <w:pPr>
              <w:spacing w:after="0"/>
              <w:rPr>
                <w:sz w:val="1"/>
                <w:szCs w:val="1"/>
                <w:color w:val="auto"/>
              </w:rPr>
            </w:pPr>
          </w:p>
        </w:tc>
      </w:tr>
      <w:tr>
        <w:trPr>
          <w:trHeight w:val="20"/>
        </w:trPr>
        <w:tc>
          <w:tcPr>
            <w:tcW w:w="46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(10,898)</w:t>
            </w: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3"/>
        </w:trPr>
        <w:tc>
          <w:tcPr>
            <w:tcW w:w="15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United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States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(primarily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Middle</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Gulf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Africa</w:t>
            </w:r>
          </w:p>
        </w:tc>
        <w:tc>
          <w:tcPr>
            <w:tcW w:w="10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East</w:t>
            </w:r>
          </w:p>
        </w:tc>
        <w:tc>
          <w:tcPr>
            <w:tcW w:w="160" w:type="dxa"/>
            <w:vAlign w:val="bottom"/>
          </w:tcPr>
          <w:p>
            <w:pPr>
              <w:spacing w:after="0"/>
              <w:rPr>
                <w:sz w:val="17"/>
                <w:szCs w:val="17"/>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Latin</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5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Mexico)</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0"/>
              </w:rPr>
              <w:t>and Europe</w:t>
            </w:r>
          </w:p>
        </w:tc>
        <w:tc>
          <w:tcPr>
            <w:tcW w:w="100" w:type="dxa"/>
            <w:vAlign w:val="bottom"/>
          </w:tcPr>
          <w:p>
            <w:pPr>
              <w:spacing w:after="0"/>
              <w:rPr>
                <w:sz w:val="19"/>
                <w:szCs w:val="19"/>
                <w:color w:val="auto"/>
              </w:rPr>
            </w:pPr>
          </w:p>
        </w:tc>
        <w:tc>
          <w:tcPr>
            <w:tcW w:w="1220" w:type="dxa"/>
            <w:vAlign w:val="bottom"/>
            <w:gridSpan w:val="2"/>
          </w:tcPr>
          <w:p>
            <w:pPr>
              <w:jc w:val="center"/>
              <w:ind w:right="380"/>
              <w:spacing w:after="0" w:line="220" w:lineRule="exact"/>
              <w:rPr>
                <w:sz w:val="20"/>
                <w:szCs w:val="20"/>
                <w:color w:val="auto"/>
              </w:rPr>
            </w:pPr>
            <w:r>
              <w:rPr>
                <w:rFonts w:ascii="Arial" w:cs="Arial" w:eastAsia="Arial" w:hAnsi="Arial"/>
                <w:sz w:val="15"/>
                <w:szCs w:val="15"/>
                <w:b w:val="1"/>
                <w:bCs w:val="1"/>
                <w:color w:val="auto"/>
                <w:w w:val="91"/>
              </w:rPr>
              <w:t xml:space="preserve">and Asia </w:t>
            </w:r>
            <w:r>
              <w:rPr>
                <w:rFonts w:ascii="Arial" w:cs="Arial" w:eastAsia="Arial" w:hAnsi="Arial"/>
                <w:sz w:val="25"/>
                <w:szCs w:val="25"/>
                <w:b w:val="1"/>
                <w:bCs w:val="1"/>
                <w:color w:val="auto"/>
                <w:w w:val="91"/>
                <w:vertAlign w:val="superscript"/>
              </w:rPr>
              <w:t>(2)</w:t>
            </w:r>
          </w:p>
        </w:tc>
        <w:tc>
          <w:tcPr>
            <w:tcW w:w="16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America</w:t>
            </w:r>
          </w:p>
        </w:tc>
        <w:tc>
          <w:tcPr>
            <w:tcW w:w="220" w:type="dxa"/>
            <w:vAlign w:val="bottom"/>
          </w:tcPr>
          <w:p>
            <w:pPr>
              <w:spacing w:after="0"/>
              <w:rPr>
                <w:sz w:val="19"/>
                <w:szCs w:val="19"/>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46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For the Nine Months Ended September 30, 2022</w:t>
            </w: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gridSpan w:val="2"/>
          </w:tcPr>
          <w:p>
            <w:pPr>
              <w:spacing w:after="0"/>
              <w:rPr>
                <w:sz w:val="20"/>
                <w:szCs w:val="20"/>
                <w:color w:val="auto"/>
              </w:rPr>
            </w:pPr>
            <w:r>
              <w:rPr>
                <w:rFonts w:ascii="Arial" w:cs="Arial" w:eastAsia="Arial" w:hAnsi="Arial"/>
                <w:sz w:val="16"/>
                <w:szCs w:val="16"/>
                <w:color w:val="auto"/>
              </w:rPr>
              <w:t>Time Charter Statistics: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Average Rates Per Day</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18,806</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11,089</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9,694</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13,927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12,305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gridSpan w:val="2"/>
          </w:tcPr>
          <w:p>
            <w:pPr>
              <w:ind w:left="260"/>
              <w:spacing w:after="0"/>
              <w:rPr>
                <w:sz w:val="20"/>
                <w:szCs w:val="20"/>
                <w:color w:val="auto"/>
              </w:rPr>
            </w:pPr>
            <w:r>
              <w:rPr>
                <w:rFonts w:ascii="Arial" w:cs="Arial" w:eastAsia="Arial" w:hAnsi="Arial"/>
                <w:sz w:val="16"/>
                <w:szCs w:val="16"/>
                <w:color w:val="auto"/>
              </w:rPr>
              <w:t>Fleet Utilization</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81%</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90%</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9"/>
        </w:trPr>
        <w:tc>
          <w:tcPr>
            <w:tcW w:w="46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Fleet Available Days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3,955</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4,695</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5,015</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16,047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gridSpan w:val="2"/>
          </w:tcPr>
          <w:p>
            <w:pPr>
              <w:spacing w:after="0"/>
              <w:rPr>
                <w:sz w:val="20"/>
                <w:szCs w:val="20"/>
                <w:color w:val="auto"/>
              </w:rPr>
            </w:pPr>
            <w:r>
              <w:rPr>
                <w:rFonts w:ascii="Arial" w:cs="Arial" w:eastAsia="Arial" w:hAnsi="Arial"/>
                <w:sz w:val="16"/>
                <w:szCs w:val="16"/>
                <w:color w:val="auto"/>
              </w:rPr>
              <w:t>Operating Revenues: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34,698</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44,761</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39,278</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148,745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gridSpan w:val="2"/>
          </w:tcPr>
          <w:p>
            <w:pPr>
              <w:ind w:left="260"/>
              <w:spacing w:after="0"/>
              <w:rPr>
                <w:sz w:val="20"/>
                <w:szCs w:val="20"/>
                <w:color w:val="auto"/>
              </w:rPr>
            </w:pPr>
            <w:r>
              <w:rPr>
                <w:rFonts w:ascii="Arial" w:cs="Arial" w:eastAsia="Arial" w:hAnsi="Arial"/>
                <w:sz w:val="16"/>
                <w:szCs w:val="16"/>
                <w:color w:val="auto"/>
              </w:rPr>
              <w:t>Bareboat charter</w:t>
            </w: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998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6,612</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516</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828</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1,700</w:t>
            </w: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9,656</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00" w:type="dxa"/>
            <w:vAlign w:val="bottom"/>
            <w:tcBorders>
              <w:bottom w:val="single" w:sz="8" w:color="CFF0FC"/>
            </w:tcBorders>
          </w:tcPr>
          <w:p>
            <w:pPr>
              <w:spacing w:after="0"/>
              <w:rPr>
                <w:sz w:val="18"/>
                <w:szCs w:val="18"/>
                <w:color w:val="auto"/>
              </w:rPr>
            </w:pPr>
          </w:p>
        </w:tc>
        <w:tc>
          <w:tcPr>
            <w:tcW w:w="31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41,310</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45,277</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40,106</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32,706</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159,399</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gridSpan w:val="2"/>
          </w:tcPr>
          <w:p>
            <w:pPr>
              <w:ind w:left="260"/>
              <w:spacing w:after="0"/>
              <w:rPr>
                <w:sz w:val="20"/>
                <w:szCs w:val="20"/>
                <w:color w:val="auto"/>
              </w:rPr>
            </w:pPr>
            <w:r>
              <w:rPr>
                <w:rFonts w:ascii="Arial" w:cs="Arial" w:eastAsia="Arial" w:hAnsi="Arial"/>
                <w:sz w:val="16"/>
                <w:szCs w:val="16"/>
                <w:color w:val="auto"/>
              </w:rPr>
              <w:t>Operating:</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17,939</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11,756</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17,106</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10,132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56,933</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gridSpan w:val="2"/>
          </w:tcPr>
          <w:p>
            <w:pPr>
              <w:ind w:left="500"/>
              <w:spacing w:after="0"/>
              <w:rPr>
                <w:sz w:val="20"/>
                <w:szCs w:val="20"/>
                <w:color w:val="auto"/>
              </w:rPr>
            </w:pPr>
            <w:r>
              <w:rPr>
                <w:rFonts w:ascii="Arial" w:cs="Arial" w:eastAsia="Arial" w:hAnsi="Arial"/>
                <w:sz w:val="16"/>
                <w:szCs w:val="16"/>
                <w:color w:val="auto"/>
              </w:rPr>
              <w:t>Repairs and maintenance</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4,383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6,327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6,153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5,685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22,548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8,506</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1,661</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6,325</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16,493</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gridSpan w:val="2"/>
          </w:tcPr>
          <w:p>
            <w:pPr>
              <w:ind w:left="500"/>
              <w:spacing w:after="0"/>
              <w:rPr>
                <w:sz w:val="20"/>
                <w:szCs w:val="20"/>
                <w:color w:val="auto"/>
              </w:rPr>
            </w:pPr>
            <w:r>
              <w:rPr>
                <w:rFonts w:ascii="Arial" w:cs="Arial" w:eastAsia="Arial" w:hAnsi="Arial"/>
                <w:sz w:val="16"/>
                <w:szCs w:val="16"/>
                <w:color w:val="auto"/>
              </w:rPr>
              <w:t>Insurance and loss reserves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2,809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2,017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943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2,599</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5,247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3,754</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13,495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Borders>
              <w:bottom w:val="single" w:sz="8" w:color="CFF0FC"/>
            </w:tcBorders>
            <w:gridSpan w:val="2"/>
          </w:tcPr>
          <w:p>
            <w:pPr>
              <w:ind w:left="50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5,279</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3,718</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1,781</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11,597</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00" w:type="dxa"/>
            <w:vAlign w:val="bottom"/>
            <w:shd w:val="clear" w:color="auto" w:fill="CFF0FC"/>
          </w:tcPr>
          <w:p>
            <w:pPr>
              <w:spacing w:after="0"/>
              <w:rPr>
                <w:sz w:val="18"/>
                <w:szCs w:val="18"/>
                <w:color w:val="auto"/>
              </w:rPr>
            </w:pPr>
          </w:p>
        </w:tc>
        <w:tc>
          <w:tcPr>
            <w:tcW w:w="31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37,055</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31,082</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39,073</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20,437</w:t>
            </w: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127,647</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80" w:type="dxa"/>
            <w:vAlign w:val="bottom"/>
            <w:gridSpan w:val="2"/>
          </w:tcPr>
          <w:p>
            <w:pPr>
              <w:spacing w:after="0"/>
              <w:rPr>
                <w:sz w:val="20"/>
                <w:szCs w:val="20"/>
                <w:color w:val="auto"/>
              </w:rPr>
            </w:pPr>
            <w:r>
              <w:rPr>
                <w:rFonts w:ascii="Arial" w:cs="Arial" w:eastAsia="Arial" w:hAnsi="Arial"/>
                <w:sz w:val="16"/>
                <w:szCs w:val="16"/>
                <w:b w:val="1"/>
                <w:bCs w:val="1"/>
                <w:color w:val="auto"/>
              </w:rPr>
              <w:t>Direct Vessel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4,255</w:t>
            </w:r>
          </w:p>
        </w:tc>
        <w:tc>
          <w:tcPr>
            <w:tcW w:w="20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14,195</w:t>
            </w:r>
          </w:p>
        </w:tc>
        <w:tc>
          <w:tcPr>
            <w:tcW w:w="2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1,033</w:t>
            </w:r>
          </w:p>
        </w:tc>
        <w:tc>
          <w:tcPr>
            <w:tcW w:w="260" w:type="dxa"/>
            <w:vAlign w:val="bottom"/>
          </w:tcPr>
          <w:p>
            <w:pPr>
              <w:spacing w:after="0"/>
              <w:rPr>
                <w:sz w:val="21"/>
                <w:szCs w:val="21"/>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12,269</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31,752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6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1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80" w:type="dxa"/>
            <w:vAlign w:val="bottom"/>
            <w:gridSpan w:val="2"/>
          </w:tcPr>
          <w:p>
            <w:pPr>
              <w:ind w:left="260"/>
              <w:spacing w:after="0"/>
              <w:rPr>
                <w:sz w:val="20"/>
                <w:szCs w:val="20"/>
                <w:color w:val="auto"/>
              </w:rPr>
            </w:pPr>
            <w:r>
              <w:rPr>
                <w:rFonts w:ascii="Arial" w:cs="Arial" w:eastAsia="Arial" w:hAnsi="Arial"/>
                <w:sz w:val="16"/>
                <w:szCs w:val="16"/>
                <w:color w:val="auto"/>
              </w:rPr>
              <w:t>Lease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860</w:t>
            </w:r>
          </w:p>
        </w:tc>
        <w:tc>
          <w:tcPr>
            <w:tcW w:w="20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1,313</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104</w:t>
            </w:r>
          </w:p>
        </w:tc>
        <w:tc>
          <w:tcPr>
            <w:tcW w:w="2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959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3,236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30,112</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13,532</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10,025</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12,548</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6,228</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42,333</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00" w:type="dxa"/>
            <w:vAlign w:val="bottom"/>
            <w:shd w:val="clear" w:color="auto" w:fill="CFF0FC"/>
          </w:tcPr>
          <w:p>
            <w:pPr>
              <w:spacing w:after="0"/>
              <w:rPr>
                <w:sz w:val="18"/>
                <w:szCs w:val="18"/>
                <w:color w:val="auto"/>
              </w:rPr>
            </w:pPr>
          </w:p>
        </w:tc>
        <w:tc>
          <w:tcPr>
            <w:tcW w:w="3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75,681</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8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Gains on Asset Dispositions and Impairments</w:t>
            </w:r>
          </w:p>
        </w:tc>
        <w:tc>
          <w:tcPr>
            <w:tcW w:w="120" w:type="dxa"/>
            <w:vAlign w:val="bottom"/>
            <w:tcBorders>
              <w:bottom w:val="single" w:sz="8" w:color="CFF0FC"/>
            </w:tcBorders>
          </w:tcPr>
          <w:p>
            <w:pPr>
              <w:spacing w:after="0"/>
              <w:rPr>
                <w:sz w:val="17"/>
                <w:szCs w:val="17"/>
                <w:color w:val="auto"/>
              </w:rPr>
            </w:pPr>
          </w:p>
        </w:tc>
        <w:tc>
          <w:tcPr>
            <w:tcW w:w="9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9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96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92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1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(43,548)</w:t>
            </w: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6"/>
                <w:szCs w:val="16"/>
                <w:b w:val="1"/>
                <w:bCs w:val="1"/>
                <w:color w:val="auto"/>
              </w:rPr>
              <w:t>As of September 30, 2022</w:t>
            </w:r>
          </w:p>
        </w:tc>
        <w:tc>
          <w:tcPr>
            <w:tcW w:w="1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6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gridSpan w:val="2"/>
          </w:tcPr>
          <w:p>
            <w:pPr>
              <w:ind w:left="260"/>
              <w:spacing w:after="0"/>
              <w:rPr>
                <w:sz w:val="20"/>
                <w:szCs w:val="20"/>
                <w:color w:val="auto"/>
              </w:rPr>
            </w:pPr>
            <w:r>
              <w:rPr>
                <w:rFonts w:ascii="Arial" w:cs="Arial" w:eastAsia="Arial" w:hAnsi="Arial"/>
                <w:sz w:val="16"/>
                <w:szCs w:val="16"/>
                <w:color w:val="auto"/>
              </w:rPr>
              <w:t>Historical cost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259,472</w:t>
            </w:r>
          </w:p>
        </w:tc>
        <w:tc>
          <w:tcPr>
            <w:tcW w:w="20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247,967</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305,880</w:t>
            </w:r>
          </w:p>
        </w:tc>
        <w:tc>
          <w:tcPr>
            <w:tcW w:w="2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179,104</w:t>
            </w:r>
          </w:p>
        </w:tc>
        <w:tc>
          <w:tcPr>
            <w:tcW w:w="26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992,423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(122,340)</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(80,069)</w:t>
            </w:r>
          </w:p>
        </w:tc>
        <w:tc>
          <w:tcPr>
            <w:tcW w:w="10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(91,906)</w:t>
            </w: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(27,583)</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(321,898)</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5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137,132</w:t>
            </w:r>
          </w:p>
        </w:tc>
        <w:tc>
          <w:tcPr>
            <w:tcW w:w="20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167,898</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213,974</w:t>
            </w:r>
          </w:p>
        </w:tc>
        <w:tc>
          <w:tcPr>
            <w:tcW w:w="26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151,521</w:t>
            </w:r>
          </w:p>
        </w:tc>
        <w:tc>
          <w:tcPr>
            <w:tcW w:w="26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670,525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gridSpan w:val="2"/>
            <w:vMerge w:val="restart"/>
            <w:shd w:val="clear" w:color="auto" w:fill="CFF0FC"/>
          </w:tcPr>
          <w:p>
            <w:pPr>
              <w:spacing w:after="0" w:line="220" w:lineRule="exact"/>
              <w:rPr>
                <w:sz w:val="20"/>
                <w:szCs w:val="20"/>
                <w:color w:val="auto"/>
              </w:rPr>
            </w:pPr>
            <w:r>
              <w:rPr>
                <w:rFonts w:ascii="Arial" w:cs="Arial" w:eastAsia="Arial" w:hAnsi="Arial"/>
                <w:sz w:val="15"/>
                <w:szCs w:val="15"/>
                <w:color w:val="auto"/>
              </w:rPr>
              <w:t xml:space="preserve">Total Assets </w:t>
            </w:r>
            <w:r>
              <w:rPr>
                <w:rFonts w:ascii="Arial" w:cs="Arial" w:eastAsia="Arial" w:hAnsi="Arial"/>
                <w:sz w:val="25"/>
                <w:szCs w:val="25"/>
                <w:color w:val="auto"/>
                <w:vertAlign w:val="superscript"/>
              </w:rPr>
              <w:t>(1)</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680" w:type="dxa"/>
            <w:vAlign w:val="bottom"/>
            <w:gridSpan w:val="2"/>
            <w:vMerge w:val="continue"/>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177,463</w:t>
            </w:r>
          </w:p>
        </w:tc>
        <w:tc>
          <w:tcPr>
            <w:tcW w:w="20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187,495</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231,165</w:t>
            </w:r>
          </w:p>
        </w:tc>
        <w:tc>
          <w:tcPr>
            <w:tcW w:w="2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167,021</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763,144</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FF0FC"/>
            </w:tcBorders>
          </w:tcPr>
          <w:p>
            <w:pPr>
              <w:spacing w:after="0" w:line="20" w:lineRule="exact"/>
              <w:rPr>
                <w:sz w:val="1"/>
                <w:szCs w:val="1"/>
                <w:color w:val="auto"/>
              </w:rPr>
            </w:pPr>
          </w:p>
        </w:tc>
        <w:tc>
          <w:tcPr>
            <w:tcW w:w="3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3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760" w:hanging="752"/>
        <w:spacing w:after="0" w:line="186" w:lineRule="auto"/>
        <w:tabs>
          <w:tab w:leader="none" w:pos="760" w:val="left"/>
        </w:tabs>
        <w:numPr>
          <w:ilvl w:val="0"/>
          <w:numId w:val="28"/>
        </w:numPr>
        <w:rPr>
          <w:rFonts w:ascii="Arial" w:cs="Arial" w:eastAsia="Arial" w:hAnsi="Arial"/>
          <w:sz w:val="28"/>
          <w:szCs w:val="28"/>
          <w:color w:val="auto"/>
          <w:vertAlign w:val="superscript"/>
        </w:rPr>
      </w:pPr>
      <w:r>
        <w:rPr>
          <w:rFonts w:ascii="Arial" w:cs="Arial" w:eastAsia="Arial" w:hAnsi="Arial"/>
          <w:sz w:val="14"/>
          <w:szCs w:val="14"/>
          <w:color w:val="auto"/>
        </w:rPr>
        <w:t>Total assets by region does not include corporate assets of $79.8 million as of September 30, 2022</w:t>
      </w:r>
      <w:r>
        <w:rPr>
          <w:rFonts w:ascii="Arial" w:cs="Arial" w:eastAsia="Arial" w:hAnsi="Arial"/>
          <w:sz w:val="17"/>
          <w:szCs w:val="17"/>
          <w:color w:val="auto"/>
        </w:rPr>
        <w:t>.</w:t>
      </w:r>
    </w:p>
    <w:p>
      <w:pPr>
        <w:ind w:left="760" w:hanging="752"/>
        <w:spacing w:after="0"/>
        <w:tabs>
          <w:tab w:leader="none" w:pos="7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In the second quarter of 2022, the Company removed from service one specialty vessel in this region. Regional statistics reflect the removed from service status of this vessel.</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3"/>
        </w:trPr>
        <w:tc>
          <w:tcPr>
            <w:tcW w:w="15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United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States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15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(primarily</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Middle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9"/>
        </w:trPr>
        <w:tc>
          <w:tcPr>
            <w:tcW w:w="15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Gulf of</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Africa</w:t>
            </w:r>
          </w:p>
        </w:tc>
        <w:tc>
          <w:tcPr>
            <w:tcW w:w="14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East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Latin</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0"/>
        </w:trPr>
        <w:tc>
          <w:tcPr>
            <w:tcW w:w="15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Mexico)</w:t>
            </w:r>
          </w:p>
        </w:tc>
        <w:tc>
          <w:tcPr>
            <w:tcW w:w="80" w:type="dxa"/>
            <w:vAlign w:val="bottom"/>
          </w:tcPr>
          <w:p>
            <w:pPr>
              <w:spacing w:after="0"/>
              <w:rPr>
                <w:sz w:val="19"/>
                <w:szCs w:val="19"/>
                <w:color w:val="auto"/>
              </w:rPr>
            </w:pPr>
          </w:p>
        </w:tc>
        <w:tc>
          <w:tcPr>
            <w:tcW w:w="1340" w:type="dxa"/>
            <w:vAlign w:val="bottom"/>
            <w:gridSpan w:val="3"/>
          </w:tcPr>
          <w:p>
            <w:pPr>
              <w:jc w:val="right"/>
              <w:ind w:right="320"/>
              <w:spacing w:after="0" w:line="220" w:lineRule="exact"/>
              <w:rPr>
                <w:sz w:val="20"/>
                <w:szCs w:val="20"/>
                <w:color w:val="auto"/>
              </w:rPr>
            </w:pPr>
            <w:r>
              <w:rPr>
                <w:rFonts w:ascii="Arial" w:cs="Arial" w:eastAsia="Arial" w:hAnsi="Arial"/>
                <w:sz w:val="15"/>
                <w:szCs w:val="15"/>
                <w:b w:val="1"/>
                <w:bCs w:val="1"/>
                <w:color w:val="auto"/>
                <w:w w:val="93"/>
              </w:rPr>
              <w:t xml:space="preserve">and Europe </w:t>
            </w:r>
            <w:r>
              <w:rPr>
                <w:rFonts w:ascii="Arial" w:cs="Arial" w:eastAsia="Arial" w:hAnsi="Arial"/>
                <w:sz w:val="25"/>
                <w:szCs w:val="25"/>
                <w:b w:val="1"/>
                <w:bCs w:val="1"/>
                <w:color w:val="auto"/>
                <w:w w:val="93"/>
                <w:vertAlign w:val="superscript"/>
              </w:rPr>
              <w:t>(1)</w:t>
            </w:r>
          </w:p>
        </w:tc>
        <w:tc>
          <w:tcPr>
            <w:tcW w:w="14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and Asia</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America</w:t>
            </w:r>
          </w:p>
        </w:tc>
        <w:tc>
          <w:tcPr>
            <w:tcW w:w="220" w:type="dxa"/>
            <w:vAlign w:val="bottom"/>
          </w:tcPr>
          <w:p>
            <w:pPr>
              <w:spacing w:after="0"/>
              <w:rPr>
                <w:sz w:val="19"/>
                <w:szCs w:val="19"/>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Total</w:t>
            </w:r>
          </w:p>
        </w:tc>
      </w:tr>
      <w:tr>
        <w:trPr>
          <w:trHeight w:val="209"/>
        </w:trPr>
        <w:tc>
          <w:tcPr>
            <w:tcW w:w="46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For the Three Months Ended September 30, 2021</w:t>
            </w: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3"/>
        </w:trPr>
        <w:tc>
          <w:tcPr>
            <w:tcW w:w="4680" w:type="dxa"/>
            <w:vAlign w:val="bottom"/>
            <w:gridSpan w:val="2"/>
          </w:tcPr>
          <w:p>
            <w:pPr>
              <w:spacing w:after="0"/>
              <w:rPr>
                <w:sz w:val="20"/>
                <w:szCs w:val="20"/>
                <w:color w:val="auto"/>
              </w:rPr>
            </w:pPr>
            <w:r>
              <w:rPr>
                <w:rFonts w:ascii="Arial" w:cs="Arial" w:eastAsia="Arial" w:hAnsi="Arial"/>
                <w:sz w:val="16"/>
                <w:szCs w:val="16"/>
                <w:color w:val="auto"/>
              </w:rPr>
              <w:t>Time Charter Statistics: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6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Average Rates Per Day</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18,702</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9,551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10,374</w:t>
            </w: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16,240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12,120</w:t>
            </w:r>
          </w:p>
        </w:tc>
        <w:tc>
          <w:tcPr>
            <w:tcW w:w="140" w:type="dxa"/>
            <w:vAlign w:val="bottom"/>
            <w:shd w:val="clear" w:color="auto" w:fill="CFF0FC"/>
          </w:tcPr>
          <w:p>
            <w:pPr>
              <w:spacing w:after="0"/>
              <w:rPr>
                <w:sz w:val="19"/>
                <w:szCs w:val="19"/>
                <w:color w:val="auto"/>
              </w:rPr>
            </w:pPr>
          </w:p>
        </w:tc>
      </w:tr>
      <w:tr>
        <w:trPr>
          <w:trHeight w:val="213"/>
        </w:trPr>
        <w:tc>
          <w:tcPr>
            <w:tcW w:w="4680" w:type="dxa"/>
            <w:vAlign w:val="bottom"/>
            <w:gridSpan w:val="2"/>
          </w:tcPr>
          <w:p>
            <w:pPr>
              <w:ind w:left="260"/>
              <w:spacing w:after="0"/>
              <w:rPr>
                <w:sz w:val="20"/>
                <w:szCs w:val="20"/>
                <w:color w:val="auto"/>
              </w:rPr>
            </w:pPr>
            <w:r>
              <w:rPr>
                <w:rFonts w:ascii="Arial" w:cs="Arial" w:eastAsia="Arial" w:hAnsi="Arial"/>
                <w:sz w:val="16"/>
                <w:szCs w:val="16"/>
                <w:color w:val="auto"/>
              </w:rPr>
              <w:t>Fleet Utilization</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77%</w:t>
            </w: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73%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92%</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68%</w:t>
            </w:r>
          </w:p>
        </w:tc>
      </w:tr>
      <w:tr>
        <w:trPr>
          <w:trHeight w:val="219"/>
        </w:trPr>
        <w:tc>
          <w:tcPr>
            <w:tcW w:w="46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Fleet Available Days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5,108</w:t>
            </w:r>
          </w:p>
        </w:tc>
        <w:tc>
          <w:tcPr>
            <w:tcW w:w="140" w:type="dxa"/>
            <w:vAlign w:val="bottom"/>
            <w:shd w:val="clear" w:color="auto" w:fill="CFF0FC"/>
          </w:tcPr>
          <w:p>
            <w:pPr>
              <w:spacing w:after="0"/>
              <w:rPr>
                <w:sz w:val="19"/>
                <w:szCs w:val="19"/>
                <w:color w:val="auto"/>
              </w:rPr>
            </w:pPr>
          </w:p>
        </w:tc>
      </w:tr>
      <w:tr>
        <w:trPr>
          <w:trHeight w:val="213"/>
        </w:trPr>
        <w:tc>
          <w:tcPr>
            <w:tcW w:w="4680" w:type="dxa"/>
            <w:vAlign w:val="bottom"/>
            <w:gridSpan w:val="2"/>
          </w:tcPr>
          <w:p>
            <w:pPr>
              <w:spacing w:after="0"/>
              <w:rPr>
                <w:sz w:val="20"/>
                <w:szCs w:val="20"/>
                <w:color w:val="auto"/>
              </w:rPr>
            </w:pPr>
            <w:r>
              <w:rPr>
                <w:rFonts w:ascii="Arial" w:cs="Arial" w:eastAsia="Arial" w:hAnsi="Arial"/>
                <w:sz w:val="16"/>
                <w:szCs w:val="16"/>
                <w:color w:val="auto"/>
              </w:rPr>
              <w:t>Operating Revenues: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6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5,289</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10,446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13,417</w:t>
            </w: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12,630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41,782</w:t>
            </w:r>
          </w:p>
        </w:tc>
        <w:tc>
          <w:tcPr>
            <w:tcW w:w="140" w:type="dxa"/>
            <w:vAlign w:val="bottom"/>
            <w:shd w:val="clear" w:color="auto" w:fill="CFF0FC"/>
          </w:tcPr>
          <w:p>
            <w:pPr>
              <w:spacing w:after="0"/>
              <w:rPr>
                <w:sz w:val="19"/>
                <w:szCs w:val="19"/>
                <w:color w:val="auto"/>
              </w:rPr>
            </w:pPr>
          </w:p>
        </w:tc>
      </w:tr>
      <w:tr>
        <w:trPr>
          <w:trHeight w:val="213"/>
        </w:trPr>
        <w:tc>
          <w:tcPr>
            <w:tcW w:w="4680" w:type="dxa"/>
            <w:vAlign w:val="bottom"/>
            <w:gridSpan w:val="2"/>
          </w:tcPr>
          <w:p>
            <w:pPr>
              <w:ind w:left="26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1,215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(429)</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1,881</w:t>
            </w:r>
          </w:p>
        </w:tc>
        <w:tc>
          <w:tcPr>
            <w:tcW w:w="140" w:type="dxa"/>
            <w:vAlign w:val="bottom"/>
          </w:tcPr>
          <w:p>
            <w:pPr>
              <w:spacing w:after="0"/>
              <w:rPr>
                <w:sz w:val="18"/>
                <w:szCs w:val="18"/>
                <w:color w:val="auto"/>
              </w:rPr>
            </w:pPr>
          </w:p>
        </w:tc>
      </w:tr>
      <w:tr>
        <w:trPr>
          <w:trHeight w:val="213"/>
        </w:trPr>
        <w:tc>
          <w:tcPr>
            <w:tcW w:w="1500" w:type="dxa"/>
            <w:vAlign w:val="bottom"/>
            <w:tcBorders>
              <w:top w:val="single" w:sz="8" w:color="CFF0FC"/>
            </w:tcBorders>
            <w:shd w:val="clear" w:color="auto" w:fill="CFF0FC"/>
          </w:tcPr>
          <w:p>
            <w:pPr>
              <w:spacing w:after="0"/>
              <w:rPr>
                <w:sz w:val="18"/>
                <w:szCs w:val="18"/>
                <w:color w:val="auto"/>
              </w:rPr>
            </w:pPr>
          </w:p>
        </w:tc>
        <w:tc>
          <w:tcPr>
            <w:tcW w:w="3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6,504</w:t>
            </w: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10,017</w:t>
            </w: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13,502</w:t>
            </w: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13,640</w:t>
            </w: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43,663</w:t>
            </w:r>
          </w:p>
        </w:tc>
        <w:tc>
          <w:tcPr>
            <w:tcW w:w="140" w:type="dxa"/>
            <w:vAlign w:val="bottom"/>
            <w:tcBorders>
              <w:top w:val="single" w:sz="8" w:color="CFF0FC"/>
            </w:tcBorders>
            <w:shd w:val="clear" w:color="auto" w:fill="CFF0FC"/>
          </w:tcPr>
          <w:p>
            <w:pPr>
              <w:spacing w:after="0"/>
              <w:rPr>
                <w:sz w:val="18"/>
                <w:szCs w:val="18"/>
                <w:color w:val="auto"/>
              </w:rPr>
            </w:pPr>
          </w:p>
        </w:tc>
      </w:tr>
      <w:tr>
        <w:trPr>
          <w:trHeight w:val="207"/>
        </w:trPr>
        <w:tc>
          <w:tcPr>
            <w:tcW w:w="4680" w:type="dxa"/>
            <w:vAlign w:val="bottom"/>
            <w:gridSpan w:val="2"/>
          </w:tcPr>
          <w:p>
            <w:pPr>
              <w:spacing w:after="0"/>
              <w:rPr>
                <w:sz w:val="20"/>
                <w:szCs w:val="20"/>
                <w:color w:val="auto"/>
              </w:rPr>
            </w:pPr>
            <w:r>
              <w:rPr>
                <w:rFonts w:ascii="Arial" w:cs="Arial" w:eastAsia="Arial" w:hAnsi="Arial"/>
                <w:sz w:val="16"/>
                <w:szCs w:val="16"/>
                <w:color w:val="auto"/>
              </w:rPr>
              <w:t>Direct Costs and Expenses:</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9"/>
        </w:trPr>
        <w:tc>
          <w:tcPr>
            <w:tcW w:w="46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Operating:</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3"/>
        </w:trPr>
        <w:tc>
          <w:tcPr>
            <w:tcW w:w="4680" w:type="dxa"/>
            <w:vAlign w:val="bottom"/>
            <w:gridSpan w:val="2"/>
          </w:tcPr>
          <w:p>
            <w:pPr>
              <w:ind w:left="500"/>
              <w:spacing w:after="0"/>
              <w:rPr>
                <w:sz w:val="20"/>
                <w:szCs w:val="20"/>
                <w:color w:val="auto"/>
              </w:rPr>
            </w:pPr>
            <w:r>
              <w:rPr>
                <w:rFonts w:ascii="Arial" w:cs="Arial" w:eastAsia="Arial" w:hAnsi="Arial"/>
                <w:sz w:val="16"/>
                <w:szCs w:val="16"/>
                <w:color w:val="auto"/>
              </w:rPr>
              <w:t>Personnel</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2,428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3,147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5,849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3,627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15,051</w:t>
            </w:r>
          </w:p>
        </w:tc>
        <w:tc>
          <w:tcPr>
            <w:tcW w:w="140" w:type="dxa"/>
            <w:vAlign w:val="bottom"/>
          </w:tcPr>
          <w:p>
            <w:pPr>
              <w:spacing w:after="0"/>
              <w:rPr>
                <w:sz w:val="18"/>
                <w:szCs w:val="18"/>
                <w:color w:val="auto"/>
              </w:rPr>
            </w:pPr>
          </w:p>
        </w:tc>
      </w:tr>
      <w:tr>
        <w:trPr>
          <w:trHeight w:val="219"/>
        </w:trPr>
        <w:tc>
          <w:tcPr>
            <w:tcW w:w="468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Repairs and maintenance</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1,266</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6,536</w:t>
            </w:r>
          </w:p>
        </w:tc>
        <w:tc>
          <w:tcPr>
            <w:tcW w:w="140" w:type="dxa"/>
            <w:vAlign w:val="bottom"/>
            <w:shd w:val="clear" w:color="auto" w:fill="CFF0FC"/>
          </w:tcPr>
          <w:p>
            <w:pPr>
              <w:spacing w:after="0"/>
              <w:rPr>
                <w:sz w:val="19"/>
                <w:szCs w:val="19"/>
                <w:color w:val="auto"/>
              </w:rPr>
            </w:pPr>
          </w:p>
        </w:tc>
      </w:tr>
      <w:tr>
        <w:trPr>
          <w:trHeight w:val="213"/>
        </w:trPr>
        <w:tc>
          <w:tcPr>
            <w:tcW w:w="4680" w:type="dxa"/>
            <w:vAlign w:val="bottom"/>
            <w:gridSpan w:val="2"/>
          </w:tcPr>
          <w:p>
            <w:pPr>
              <w:ind w:left="500"/>
              <w:spacing w:after="0"/>
              <w:rPr>
                <w:sz w:val="20"/>
                <w:szCs w:val="20"/>
                <w:color w:val="auto"/>
              </w:rPr>
            </w:pPr>
            <w:r>
              <w:rPr>
                <w:rFonts w:ascii="Arial" w:cs="Arial" w:eastAsia="Arial" w:hAnsi="Arial"/>
                <w:sz w:val="16"/>
                <w:szCs w:val="16"/>
                <w:color w:val="auto"/>
              </w:rPr>
              <w:t>Drydocking</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771</w:t>
            </w:r>
          </w:p>
        </w:tc>
        <w:tc>
          <w:tcPr>
            <w:tcW w:w="140" w:type="dxa"/>
            <w:vAlign w:val="bottom"/>
          </w:tcPr>
          <w:p>
            <w:pPr>
              <w:spacing w:after="0"/>
              <w:rPr>
                <w:sz w:val="18"/>
                <w:szCs w:val="18"/>
                <w:color w:val="auto"/>
              </w:rPr>
            </w:pPr>
          </w:p>
        </w:tc>
      </w:tr>
      <w:tr>
        <w:trPr>
          <w:trHeight w:val="219"/>
        </w:trPr>
        <w:tc>
          <w:tcPr>
            <w:tcW w:w="468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Insurance and loss reserves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2,189</w:t>
            </w:r>
          </w:p>
        </w:tc>
        <w:tc>
          <w:tcPr>
            <w:tcW w:w="140" w:type="dxa"/>
            <w:vAlign w:val="bottom"/>
            <w:shd w:val="clear" w:color="auto" w:fill="CFF0FC"/>
          </w:tcPr>
          <w:p>
            <w:pPr>
              <w:spacing w:after="0"/>
              <w:rPr>
                <w:sz w:val="19"/>
                <w:szCs w:val="19"/>
                <w:color w:val="auto"/>
              </w:rPr>
            </w:pPr>
          </w:p>
        </w:tc>
      </w:tr>
      <w:tr>
        <w:trPr>
          <w:trHeight w:val="213"/>
        </w:trPr>
        <w:tc>
          <w:tcPr>
            <w:tcW w:w="4680" w:type="dxa"/>
            <w:vAlign w:val="bottom"/>
            <w:gridSpan w:val="2"/>
          </w:tcPr>
          <w:p>
            <w:pPr>
              <w:ind w:left="500"/>
              <w:spacing w:after="0"/>
              <w:rPr>
                <w:sz w:val="20"/>
                <w:szCs w:val="20"/>
                <w:color w:val="auto"/>
              </w:rPr>
            </w:pPr>
            <w:r>
              <w:rPr>
                <w:rFonts w:ascii="Arial" w:cs="Arial" w:eastAsia="Arial" w:hAnsi="Arial"/>
                <w:sz w:val="16"/>
                <w:szCs w:val="16"/>
                <w:color w:val="auto"/>
              </w:rPr>
              <w:t>Fuel, lubes and supplies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1,631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777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3,684</w:t>
            </w:r>
          </w:p>
        </w:tc>
        <w:tc>
          <w:tcPr>
            <w:tcW w:w="140" w:type="dxa"/>
            <w:vAlign w:val="bottom"/>
          </w:tcPr>
          <w:p>
            <w:pPr>
              <w:spacing w:after="0"/>
              <w:rPr>
                <w:sz w:val="18"/>
                <w:szCs w:val="18"/>
                <w:color w:val="auto"/>
              </w:rPr>
            </w:pPr>
          </w:p>
        </w:tc>
      </w:tr>
      <w:tr>
        <w:trPr>
          <w:trHeight w:val="216"/>
        </w:trPr>
        <w:tc>
          <w:tcPr>
            <w:tcW w:w="468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1,424</w:t>
            </w:r>
          </w:p>
        </w:tc>
        <w:tc>
          <w:tcPr>
            <w:tcW w:w="2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2,823</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823</w:t>
            </w: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5,217</w:t>
            </w:r>
          </w:p>
        </w:tc>
        <w:tc>
          <w:tcPr>
            <w:tcW w:w="140" w:type="dxa"/>
            <w:vAlign w:val="bottom"/>
            <w:shd w:val="clear" w:color="auto" w:fill="CFF0FC"/>
          </w:tcPr>
          <w:p>
            <w:pPr>
              <w:spacing w:after="0"/>
              <w:rPr>
                <w:sz w:val="18"/>
                <w:szCs w:val="18"/>
                <w:color w:val="auto"/>
              </w:rPr>
            </w:pPr>
          </w:p>
        </w:tc>
      </w:tr>
      <w:tr>
        <w:trPr>
          <w:trHeight w:val="209"/>
        </w:trPr>
        <w:tc>
          <w:tcPr>
            <w:tcW w:w="1500" w:type="dxa"/>
            <w:vAlign w:val="bottom"/>
            <w:tcBorders>
              <w:bottom w:val="single" w:sz="8" w:color="CFF0FC"/>
            </w:tcBorders>
          </w:tcPr>
          <w:p>
            <w:pPr>
              <w:spacing w:after="0"/>
              <w:rPr>
                <w:sz w:val="18"/>
                <w:szCs w:val="18"/>
                <w:color w:val="auto"/>
              </w:rPr>
            </w:pPr>
          </w:p>
        </w:tc>
        <w:tc>
          <w:tcPr>
            <w:tcW w:w="31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4,801</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8,402</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11,922</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8,323</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33,448</w:t>
            </w:r>
          </w:p>
        </w:tc>
        <w:tc>
          <w:tcPr>
            <w:tcW w:w="140" w:type="dxa"/>
            <w:vAlign w:val="bottom"/>
            <w:tcBorders>
              <w:bottom w:val="single" w:sz="8" w:color="CFF0FC"/>
            </w:tcBorders>
          </w:tcPr>
          <w:p>
            <w:pPr>
              <w:spacing w:after="0"/>
              <w:rPr>
                <w:sz w:val="18"/>
                <w:szCs w:val="18"/>
                <w:color w:val="auto"/>
              </w:rPr>
            </w:pPr>
          </w:p>
        </w:tc>
      </w:tr>
      <w:tr>
        <w:trPr>
          <w:trHeight w:val="253"/>
        </w:trPr>
        <w:tc>
          <w:tcPr>
            <w:tcW w:w="468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Direct Vessel Profit from Continuing Operations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1,703</w:t>
            </w:r>
          </w:p>
        </w:tc>
        <w:tc>
          <w:tcPr>
            <w:tcW w:w="20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1,615</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1,580</w:t>
            </w:r>
          </w:p>
        </w:tc>
        <w:tc>
          <w:tcPr>
            <w:tcW w:w="20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5,317</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10,215</w:t>
            </w:r>
          </w:p>
        </w:tc>
        <w:tc>
          <w:tcPr>
            <w:tcW w:w="140" w:type="dxa"/>
            <w:vAlign w:val="bottom"/>
            <w:shd w:val="clear" w:color="auto" w:fill="CFF0FC"/>
          </w:tcPr>
          <w:p>
            <w:pPr>
              <w:spacing w:after="0"/>
              <w:rPr>
                <w:sz w:val="21"/>
                <w:szCs w:val="21"/>
                <w:color w:val="auto"/>
              </w:rPr>
            </w:pPr>
          </w:p>
        </w:tc>
      </w:tr>
      <w:tr>
        <w:trPr>
          <w:trHeight w:val="194"/>
        </w:trPr>
        <w:tc>
          <w:tcPr>
            <w:tcW w:w="4680" w:type="dxa"/>
            <w:vAlign w:val="bottom"/>
            <w:tcBorders>
              <w:top w:val="single" w:sz="8" w:color="CFF0FC"/>
            </w:tcBorders>
            <w:gridSpan w:val="2"/>
          </w:tcPr>
          <w:p>
            <w:pPr>
              <w:spacing w:after="0"/>
              <w:rPr>
                <w:sz w:val="20"/>
                <w:szCs w:val="20"/>
                <w:color w:val="auto"/>
              </w:rPr>
            </w:pPr>
            <w:r>
              <w:rPr>
                <w:rFonts w:ascii="Arial" w:cs="Arial" w:eastAsia="Arial" w:hAnsi="Arial"/>
                <w:sz w:val="16"/>
                <w:szCs w:val="16"/>
                <w:color w:val="auto"/>
              </w:rPr>
              <w:t>Other Costs and Expenses:</w:t>
            </w: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6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r>
      <w:tr>
        <w:trPr>
          <w:trHeight w:val="219"/>
        </w:trPr>
        <w:tc>
          <w:tcPr>
            <w:tcW w:w="46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Lease expense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621</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377</w:t>
            </w: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(173)</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1,109</w:t>
            </w:r>
          </w:p>
        </w:tc>
        <w:tc>
          <w:tcPr>
            <w:tcW w:w="140" w:type="dxa"/>
            <w:vAlign w:val="bottom"/>
            <w:shd w:val="clear" w:color="auto" w:fill="CFF0FC"/>
          </w:tcPr>
          <w:p>
            <w:pPr>
              <w:spacing w:after="0"/>
              <w:rPr>
                <w:sz w:val="19"/>
                <w:szCs w:val="19"/>
                <w:color w:val="auto"/>
              </w:rPr>
            </w:pPr>
          </w:p>
        </w:tc>
      </w:tr>
      <w:tr>
        <w:trPr>
          <w:trHeight w:val="213"/>
        </w:trPr>
        <w:tc>
          <w:tcPr>
            <w:tcW w:w="4680" w:type="dxa"/>
            <w:vAlign w:val="bottom"/>
            <w:gridSpan w:val="2"/>
          </w:tcPr>
          <w:p>
            <w:pPr>
              <w:ind w:left="260"/>
              <w:spacing w:after="0"/>
              <w:rPr>
                <w:sz w:val="20"/>
                <w:szCs w:val="20"/>
                <w:color w:val="auto"/>
              </w:rPr>
            </w:pPr>
            <w:r>
              <w:rPr>
                <w:rFonts w:ascii="Arial" w:cs="Arial" w:eastAsia="Arial" w:hAnsi="Arial"/>
                <w:sz w:val="16"/>
                <w:szCs w:val="16"/>
                <w:color w:val="auto"/>
              </w:rPr>
              <w:t>Administrative and general</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9,134</w:t>
            </w:r>
          </w:p>
        </w:tc>
        <w:tc>
          <w:tcPr>
            <w:tcW w:w="140" w:type="dxa"/>
            <w:vAlign w:val="bottom"/>
          </w:tcPr>
          <w:p>
            <w:pPr>
              <w:spacing w:after="0"/>
              <w:rPr>
                <w:sz w:val="18"/>
                <w:szCs w:val="18"/>
                <w:color w:val="auto"/>
              </w:rPr>
            </w:pPr>
          </w:p>
        </w:tc>
      </w:tr>
      <w:tr>
        <w:trPr>
          <w:trHeight w:val="216"/>
        </w:trPr>
        <w:tc>
          <w:tcPr>
            <w:tcW w:w="46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3,936</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3,296</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4,456</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2,618</w:t>
            </w: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14,306</w:t>
            </w:r>
          </w:p>
        </w:tc>
        <w:tc>
          <w:tcPr>
            <w:tcW w:w="140" w:type="dxa"/>
            <w:vAlign w:val="bottom"/>
            <w:shd w:val="clear" w:color="auto" w:fill="CFF0FC"/>
          </w:tcPr>
          <w:p>
            <w:pPr>
              <w:spacing w:after="0"/>
              <w:rPr>
                <w:sz w:val="18"/>
                <w:szCs w:val="18"/>
                <w:color w:val="auto"/>
              </w:rPr>
            </w:pPr>
          </w:p>
        </w:tc>
      </w:tr>
      <w:tr>
        <w:trPr>
          <w:trHeight w:val="210"/>
        </w:trPr>
        <w:tc>
          <w:tcPr>
            <w:tcW w:w="1500" w:type="dxa"/>
            <w:vAlign w:val="bottom"/>
            <w:tcBorders>
              <w:bottom w:val="single" w:sz="8" w:color="CFF0FC"/>
            </w:tcBorders>
          </w:tcPr>
          <w:p>
            <w:pPr>
              <w:spacing w:after="0"/>
              <w:rPr>
                <w:sz w:val="18"/>
                <w:szCs w:val="18"/>
                <w:color w:val="auto"/>
              </w:rPr>
            </w:pPr>
          </w:p>
        </w:tc>
        <w:tc>
          <w:tcPr>
            <w:tcW w:w="3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88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24,549</w:t>
            </w:r>
          </w:p>
        </w:tc>
        <w:tc>
          <w:tcPr>
            <w:tcW w:w="140" w:type="dxa"/>
            <w:vAlign w:val="bottom"/>
            <w:tcBorders>
              <w:bottom w:val="single" w:sz="8" w:color="CFF0FC"/>
            </w:tcBorders>
          </w:tcPr>
          <w:p>
            <w:pPr>
              <w:spacing w:after="0"/>
              <w:rPr>
                <w:sz w:val="18"/>
                <w:szCs w:val="18"/>
                <w:color w:val="auto"/>
              </w:rPr>
            </w:pPr>
          </w:p>
        </w:tc>
      </w:tr>
      <w:tr>
        <w:trPr>
          <w:trHeight w:val="213"/>
        </w:trPr>
        <w:tc>
          <w:tcPr>
            <w:tcW w:w="46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Gains on Asset Dispositions and Impairments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140" w:type="dxa"/>
            <w:vAlign w:val="bottom"/>
            <w:shd w:val="clear" w:color="auto" w:fill="CFF0FC"/>
          </w:tcPr>
          <w:p>
            <w:pPr>
              <w:spacing w:after="0"/>
              <w:rPr>
                <w:sz w:val="18"/>
                <w:szCs w:val="18"/>
                <w:color w:val="auto"/>
              </w:rPr>
            </w:pPr>
          </w:p>
        </w:tc>
      </w:tr>
      <w:tr>
        <w:trPr>
          <w:trHeight w:val="207"/>
        </w:trPr>
        <w:tc>
          <w:tcPr>
            <w:tcW w:w="4680" w:type="dxa"/>
            <w:vAlign w:val="bottom"/>
            <w:gridSpan w:val="2"/>
          </w:tcPr>
          <w:p>
            <w:pPr>
              <w:spacing w:after="0"/>
              <w:rPr>
                <w:sz w:val="20"/>
                <w:szCs w:val="20"/>
                <w:color w:val="auto"/>
              </w:rPr>
            </w:pPr>
            <w:r>
              <w:rPr>
                <w:rFonts w:ascii="Arial" w:cs="Arial" w:eastAsia="Arial" w:hAnsi="Arial"/>
                <w:sz w:val="16"/>
                <w:szCs w:val="16"/>
                <w:color w:val="auto"/>
              </w:rPr>
              <w:t>Operating Loss from Continuing Operations</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(14,278)</w:t>
            </w:r>
          </w:p>
        </w:tc>
      </w:tr>
      <w:tr>
        <w:trPr>
          <w:trHeight w:val="20"/>
        </w:trPr>
        <w:tc>
          <w:tcPr>
            <w:tcW w:w="15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18"/>
        </w:trPr>
        <w:tc>
          <w:tcPr>
            <w:tcW w:w="1500" w:type="dxa"/>
            <w:vAlign w:val="bottom"/>
            <w:tcBorders>
              <w:bottom w:val="single" w:sz="8" w:color="auto"/>
            </w:tcBorders>
          </w:tcPr>
          <w:p>
            <w:pPr>
              <w:spacing w:after="0"/>
              <w:rPr>
                <w:sz w:val="10"/>
                <w:szCs w:val="10"/>
                <w:color w:val="auto"/>
              </w:rPr>
            </w:pPr>
          </w:p>
        </w:tc>
        <w:tc>
          <w:tcPr>
            <w:tcW w:w="3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r>
    </w:tbl>
    <w:p>
      <w:pPr>
        <w:spacing w:after="0" w:line="22" w:lineRule="exact"/>
        <w:rPr>
          <w:sz w:val="20"/>
          <w:szCs w:val="20"/>
          <w:color w:val="auto"/>
        </w:rPr>
      </w:pPr>
    </w:p>
    <w:p>
      <w:pPr>
        <w:jc w:val="both"/>
        <w:ind w:left="760" w:hanging="752"/>
        <w:spacing w:after="0" w:line="238" w:lineRule="auto"/>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 prior periods Africa and Europe were reported as separate segments. Due to the sale of Windcat Workboats, the Company’s European operations are no longer analyzed by the chief operating decision maker on a standalone basis but rather are analyzed as part of the Africa and Europe segment. As a result, for purposes of segment reporting European operations are now analyzed with Africa and reported as a consolidated segment.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3"/>
        </w:trPr>
        <w:tc>
          <w:tcPr>
            <w:tcW w:w="15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United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States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(primarily</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Middle</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Gulf of</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Africa</w:t>
            </w:r>
          </w:p>
        </w:tc>
        <w:tc>
          <w:tcPr>
            <w:tcW w:w="14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East</w:t>
            </w:r>
          </w:p>
        </w:tc>
        <w:tc>
          <w:tcPr>
            <w:tcW w:w="160" w:type="dxa"/>
            <w:vAlign w:val="bottom"/>
          </w:tcPr>
          <w:p>
            <w:pPr>
              <w:spacing w:after="0"/>
              <w:rPr>
                <w:sz w:val="17"/>
                <w:szCs w:val="17"/>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Latin</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5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340"/>
              <w:spacing w:after="0" w:line="220" w:lineRule="exact"/>
              <w:rPr>
                <w:sz w:val="20"/>
                <w:szCs w:val="20"/>
                <w:color w:val="auto"/>
              </w:rPr>
            </w:pPr>
            <w:r>
              <w:rPr>
                <w:rFonts w:ascii="Arial" w:cs="Arial" w:eastAsia="Arial" w:hAnsi="Arial"/>
                <w:sz w:val="15"/>
                <w:szCs w:val="15"/>
                <w:b w:val="1"/>
                <w:bCs w:val="1"/>
                <w:color w:val="auto"/>
                <w:w w:val="94"/>
              </w:rPr>
              <w:t xml:space="preserve">Mexico) </w:t>
            </w:r>
            <w:r>
              <w:rPr>
                <w:rFonts w:ascii="Arial" w:cs="Arial" w:eastAsia="Arial" w:hAnsi="Arial"/>
                <w:sz w:val="25"/>
                <w:szCs w:val="25"/>
                <w:b w:val="1"/>
                <w:bCs w:val="1"/>
                <w:color w:val="auto"/>
                <w:w w:val="94"/>
                <w:vertAlign w:val="superscript"/>
              </w:rPr>
              <w:t>(2)</w:t>
            </w:r>
          </w:p>
        </w:tc>
        <w:tc>
          <w:tcPr>
            <w:tcW w:w="80" w:type="dxa"/>
            <w:vAlign w:val="bottom"/>
          </w:tcPr>
          <w:p>
            <w:pPr>
              <w:spacing w:after="0"/>
              <w:rPr>
                <w:sz w:val="19"/>
                <w:szCs w:val="19"/>
                <w:color w:val="auto"/>
              </w:rPr>
            </w:pPr>
          </w:p>
        </w:tc>
        <w:tc>
          <w:tcPr>
            <w:tcW w:w="1340" w:type="dxa"/>
            <w:vAlign w:val="bottom"/>
            <w:gridSpan w:val="3"/>
          </w:tcPr>
          <w:p>
            <w:pPr>
              <w:jc w:val="right"/>
              <w:ind w:right="320"/>
              <w:spacing w:after="0" w:line="220" w:lineRule="exact"/>
              <w:rPr>
                <w:sz w:val="20"/>
                <w:szCs w:val="20"/>
                <w:color w:val="auto"/>
              </w:rPr>
            </w:pPr>
            <w:r>
              <w:rPr>
                <w:rFonts w:ascii="Arial" w:cs="Arial" w:eastAsia="Arial" w:hAnsi="Arial"/>
                <w:sz w:val="15"/>
                <w:szCs w:val="15"/>
                <w:b w:val="1"/>
                <w:bCs w:val="1"/>
                <w:color w:val="auto"/>
                <w:w w:val="93"/>
              </w:rPr>
              <w:t xml:space="preserve">and Europe </w:t>
            </w:r>
            <w:r>
              <w:rPr>
                <w:rFonts w:ascii="Arial" w:cs="Arial" w:eastAsia="Arial" w:hAnsi="Arial"/>
                <w:sz w:val="25"/>
                <w:szCs w:val="25"/>
                <w:b w:val="1"/>
                <w:bCs w:val="1"/>
                <w:color w:val="auto"/>
                <w:w w:val="93"/>
                <w:vertAlign w:val="superscript"/>
              </w:rPr>
              <w:t>(3)</w:t>
            </w:r>
          </w:p>
        </w:tc>
        <w:tc>
          <w:tcPr>
            <w:tcW w:w="140" w:type="dxa"/>
            <w:vAlign w:val="bottom"/>
          </w:tcPr>
          <w:p>
            <w:pPr>
              <w:spacing w:after="0"/>
              <w:rPr>
                <w:sz w:val="19"/>
                <w:szCs w:val="19"/>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and Asia</w:t>
            </w:r>
          </w:p>
        </w:tc>
        <w:tc>
          <w:tcPr>
            <w:tcW w:w="16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America</w:t>
            </w:r>
          </w:p>
        </w:tc>
        <w:tc>
          <w:tcPr>
            <w:tcW w:w="220" w:type="dxa"/>
            <w:vAlign w:val="bottom"/>
          </w:tcPr>
          <w:p>
            <w:pPr>
              <w:spacing w:after="0"/>
              <w:rPr>
                <w:sz w:val="19"/>
                <w:szCs w:val="19"/>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46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For the Nine Months Ended September 30, 2021</w:t>
            </w: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gridSpan w:val="2"/>
          </w:tcPr>
          <w:p>
            <w:pPr>
              <w:spacing w:after="0"/>
              <w:rPr>
                <w:sz w:val="20"/>
                <w:szCs w:val="20"/>
                <w:color w:val="auto"/>
              </w:rPr>
            </w:pPr>
            <w:r>
              <w:rPr>
                <w:rFonts w:ascii="Arial" w:cs="Arial" w:eastAsia="Arial" w:hAnsi="Arial"/>
                <w:sz w:val="16"/>
                <w:szCs w:val="16"/>
                <w:color w:val="auto"/>
              </w:rPr>
              <w:t>Time Charter Statistics: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Average Rates Per Day</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17,677</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10,664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9,637</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16,066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11,837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gridSpan w:val="2"/>
          </w:tcPr>
          <w:p>
            <w:pPr>
              <w:ind w:left="260"/>
              <w:spacing w:after="0"/>
              <w:rPr>
                <w:sz w:val="20"/>
                <w:szCs w:val="20"/>
                <w:color w:val="auto"/>
              </w:rPr>
            </w:pPr>
            <w:r>
              <w:rPr>
                <w:rFonts w:ascii="Arial" w:cs="Arial" w:eastAsia="Arial" w:hAnsi="Arial"/>
                <w:sz w:val="16"/>
                <w:szCs w:val="16"/>
                <w:color w:val="auto"/>
              </w:rPr>
              <w:t>Fleet Utilization</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73%</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76%</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87%</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9"/>
        </w:trPr>
        <w:tc>
          <w:tcPr>
            <w:tcW w:w="46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Fleet Available Days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4,138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5,452</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15,790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gridSpan w:val="2"/>
          </w:tcPr>
          <w:p>
            <w:pPr>
              <w:spacing w:after="0"/>
              <w:rPr>
                <w:sz w:val="20"/>
                <w:szCs w:val="20"/>
                <w:color w:val="auto"/>
              </w:rPr>
            </w:pPr>
            <w:r>
              <w:rPr>
                <w:rFonts w:ascii="Arial" w:cs="Arial" w:eastAsia="Arial" w:hAnsi="Arial"/>
                <w:sz w:val="16"/>
                <w:szCs w:val="16"/>
                <w:color w:val="auto"/>
              </w:rPr>
              <w:t>Operating Revenues: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10,197</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32,385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39,744</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35,220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117,546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gridSpan w:val="2"/>
          </w:tcPr>
          <w:p>
            <w:pPr>
              <w:ind w:left="260"/>
              <w:spacing w:after="0"/>
              <w:rPr>
                <w:sz w:val="20"/>
                <w:szCs w:val="20"/>
                <w:color w:val="auto"/>
              </w:rPr>
            </w:pPr>
            <w:r>
              <w:rPr>
                <w:rFonts w:ascii="Arial" w:cs="Arial" w:eastAsia="Arial" w:hAnsi="Arial"/>
                <w:sz w:val="16"/>
                <w:szCs w:val="16"/>
                <w:color w:val="auto"/>
              </w:rPr>
              <w:t>Bareboat charter</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1,163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2,488</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(922)</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476</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2,223</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4,265</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tcBorders>
              <w:bottom w:val="single" w:sz="8" w:color="CFF0FC"/>
            </w:tcBorders>
          </w:tcPr>
          <w:p>
            <w:pPr>
              <w:spacing w:after="0"/>
              <w:rPr>
                <w:sz w:val="18"/>
                <w:szCs w:val="18"/>
                <w:color w:val="auto"/>
              </w:rPr>
            </w:pPr>
          </w:p>
        </w:tc>
        <w:tc>
          <w:tcPr>
            <w:tcW w:w="318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13,848</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31,463</w:t>
            </w:r>
          </w:p>
        </w:tc>
        <w:tc>
          <w:tcPr>
            <w:tcW w:w="28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40,220</w:t>
            </w:r>
          </w:p>
        </w:tc>
        <w:tc>
          <w:tcPr>
            <w:tcW w:w="2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37,443</w:t>
            </w:r>
          </w:p>
        </w:tc>
        <w:tc>
          <w:tcPr>
            <w:tcW w:w="26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122,974</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gridSpan w:val="2"/>
          </w:tcPr>
          <w:p>
            <w:pPr>
              <w:ind w:left="260"/>
              <w:spacing w:after="0"/>
              <w:rPr>
                <w:sz w:val="20"/>
                <w:szCs w:val="20"/>
                <w:color w:val="auto"/>
              </w:rPr>
            </w:pPr>
            <w:r>
              <w:rPr>
                <w:rFonts w:ascii="Arial" w:cs="Arial" w:eastAsia="Arial" w:hAnsi="Arial"/>
                <w:sz w:val="16"/>
                <w:szCs w:val="16"/>
                <w:color w:val="auto"/>
              </w:rPr>
              <w:t>Operating:</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5,700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10,620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16,435</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10,067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42,822</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gridSpan w:val="2"/>
          </w:tcPr>
          <w:p>
            <w:pPr>
              <w:ind w:left="500"/>
              <w:spacing w:after="0"/>
              <w:rPr>
                <w:sz w:val="20"/>
                <w:szCs w:val="20"/>
                <w:color w:val="auto"/>
              </w:rPr>
            </w:pPr>
            <w:r>
              <w:rPr>
                <w:rFonts w:ascii="Arial" w:cs="Arial" w:eastAsia="Arial" w:hAnsi="Arial"/>
                <w:sz w:val="16"/>
                <w:szCs w:val="16"/>
                <w:color w:val="auto"/>
              </w:rPr>
              <w:t>Repairs and maintenance</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2,309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4,926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5,319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4,781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17,335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1,891</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2,407</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5,780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gridSpan w:val="2"/>
          </w:tcPr>
          <w:p>
            <w:pPr>
              <w:ind w:left="500"/>
              <w:spacing w:after="0"/>
              <w:rPr>
                <w:sz w:val="20"/>
                <w:szCs w:val="20"/>
                <w:color w:val="auto"/>
              </w:rPr>
            </w:pPr>
            <w:r>
              <w:rPr>
                <w:rFonts w:ascii="Arial" w:cs="Arial" w:eastAsia="Arial" w:hAnsi="Arial"/>
                <w:sz w:val="16"/>
                <w:szCs w:val="16"/>
                <w:color w:val="auto"/>
              </w:rPr>
              <w:t>Insurance and loss reserves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1,912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1,108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1,870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1,918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6,808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2,417</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8,779</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Borders>
              <w:bottom w:val="single" w:sz="8" w:color="CFF0FC"/>
            </w:tcBorders>
            <w:gridSpan w:val="2"/>
          </w:tcPr>
          <w:p>
            <w:pPr>
              <w:ind w:left="50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4,075</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4,010</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2,313</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10,846</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00" w:type="dxa"/>
            <w:vAlign w:val="bottom"/>
            <w:shd w:val="clear" w:color="auto" w:fill="CFF0FC"/>
          </w:tcPr>
          <w:p>
            <w:pPr>
              <w:spacing w:after="0"/>
              <w:rPr>
                <w:sz w:val="18"/>
                <w:szCs w:val="18"/>
                <w:color w:val="auto"/>
              </w:rPr>
            </w:pPr>
          </w:p>
        </w:tc>
        <w:tc>
          <w:tcPr>
            <w:tcW w:w="31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12,963</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24,834</w:t>
            </w:r>
          </w:p>
        </w:tc>
        <w:tc>
          <w:tcPr>
            <w:tcW w:w="2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32,458</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22,115</w:t>
            </w: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92,370</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80" w:type="dxa"/>
            <w:vAlign w:val="bottom"/>
            <w:gridSpan w:val="2"/>
          </w:tcPr>
          <w:p>
            <w:pPr>
              <w:spacing w:after="0"/>
              <w:rPr>
                <w:sz w:val="20"/>
                <w:szCs w:val="20"/>
                <w:color w:val="auto"/>
              </w:rPr>
            </w:pPr>
            <w:r>
              <w:rPr>
                <w:rFonts w:ascii="Arial" w:cs="Arial" w:eastAsia="Arial" w:hAnsi="Arial"/>
                <w:sz w:val="16"/>
                <w:szCs w:val="16"/>
                <w:b w:val="1"/>
                <w:bCs w:val="1"/>
                <w:color w:val="auto"/>
              </w:rPr>
              <w:t>Direct Vessel Profit from Continuing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885</w:t>
            </w:r>
          </w:p>
        </w:tc>
        <w:tc>
          <w:tcPr>
            <w:tcW w:w="200" w:type="dxa"/>
            <w:vAlign w:val="bottom"/>
          </w:tcPr>
          <w:p>
            <w:pPr>
              <w:spacing w:after="0"/>
              <w:rPr>
                <w:sz w:val="21"/>
                <w:szCs w:val="21"/>
                <w:color w:val="auto"/>
              </w:rPr>
            </w:pPr>
          </w:p>
        </w:tc>
        <w:tc>
          <w:tcPr>
            <w:tcW w:w="2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6,629</w:t>
            </w: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7,762</w:t>
            </w:r>
          </w:p>
        </w:tc>
        <w:tc>
          <w:tcPr>
            <w:tcW w:w="260" w:type="dxa"/>
            <w:vAlign w:val="bottom"/>
          </w:tcPr>
          <w:p>
            <w:pPr>
              <w:spacing w:after="0"/>
              <w:rPr>
                <w:sz w:val="21"/>
                <w:szCs w:val="21"/>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15,328</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30,604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6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1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80" w:type="dxa"/>
            <w:vAlign w:val="bottom"/>
            <w:gridSpan w:val="2"/>
          </w:tcPr>
          <w:p>
            <w:pPr>
              <w:ind w:left="260"/>
              <w:spacing w:after="0"/>
              <w:rPr>
                <w:sz w:val="20"/>
                <w:szCs w:val="20"/>
                <w:color w:val="auto"/>
              </w:rPr>
            </w:pPr>
            <w:r>
              <w:rPr>
                <w:rFonts w:ascii="Arial" w:cs="Arial" w:eastAsia="Arial" w:hAnsi="Arial"/>
                <w:sz w:val="16"/>
                <w:szCs w:val="16"/>
                <w:color w:val="auto"/>
              </w:rPr>
              <w:t>Lease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1,988</w:t>
            </w:r>
          </w:p>
        </w:tc>
        <w:tc>
          <w:tcPr>
            <w:tcW w:w="200" w:type="dxa"/>
            <w:vAlign w:val="bottom"/>
          </w:tcPr>
          <w:p>
            <w:pPr>
              <w:spacing w:after="0"/>
              <w:rPr>
                <w:sz w:val="18"/>
                <w:szCs w:val="18"/>
                <w:color w:val="auto"/>
              </w:rPr>
            </w:pPr>
          </w:p>
        </w:tc>
        <w:tc>
          <w:tcPr>
            <w:tcW w:w="2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910</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434</w:t>
            </w:r>
          </w:p>
        </w:tc>
        <w:tc>
          <w:tcPr>
            <w:tcW w:w="2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26,897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11,387</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8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9,908</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13,829</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8,073</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43,197</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00" w:type="dxa"/>
            <w:vAlign w:val="bottom"/>
            <w:shd w:val="clear" w:color="auto" w:fill="CFF0FC"/>
          </w:tcPr>
          <w:p>
            <w:pPr>
              <w:spacing w:after="0"/>
              <w:rPr>
                <w:sz w:val="18"/>
                <w:szCs w:val="18"/>
                <w:color w:val="auto"/>
              </w:rPr>
            </w:pPr>
          </w:p>
        </w:tc>
        <w:tc>
          <w:tcPr>
            <w:tcW w:w="3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73,515</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8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Gains on Asset Dispositions and Impairments</w:t>
            </w:r>
          </w:p>
        </w:tc>
        <w:tc>
          <w:tcPr>
            <w:tcW w:w="120" w:type="dxa"/>
            <w:vAlign w:val="bottom"/>
            <w:tcBorders>
              <w:bottom w:val="single" w:sz="8" w:color="CFF0FC"/>
            </w:tcBorders>
          </w:tcPr>
          <w:p>
            <w:pPr>
              <w:spacing w:after="0"/>
              <w:rPr>
                <w:sz w:val="17"/>
                <w:szCs w:val="17"/>
                <w:color w:val="auto"/>
              </w:rPr>
            </w:pPr>
          </w:p>
        </w:tc>
        <w:tc>
          <w:tcPr>
            <w:tcW w:w="9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88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92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92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20,436</w:t>
            </w:r>
          </w:p>
        </w:tc>
        <w:tc>
          <w:tcPr>
            <w:tcW w:w="1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Operating Loss from Continuing Operations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(22,475)</w:t>
            </w: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6"/>
                <w:szCs w:val="16"/>
                <w:b w:val="1"/>
                <w:bCs w:val="1"/>
                <w:color w:val="auto"/>
              </w:rPr>
              <w:t>As of September 30, 2021</w:t>
            </w:r>
          </w:p>
        </w:tc>
        <w:tc>
          <w:tcPr>
            <w:tcW w:w="1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6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gridSpan w:val="2"/>
          </w:tcPr>
          <w:p>
            <w:pPr>
              <w:ind w:left="260"/>
              <w:spacing w:after="0"/>
              <w:rPr>
                <w:sz w:val="20"/>
                <w:szCs w:val="20"/>
                <w:color w:val="auto"/>
              </w:rPr>
            </w:pPr>
            <w:r>
              <w:rPr>
                <w:rFonts w:ascii="Arial" w:cs="Arial" w:eastAsia="Arial" w:hAnsi="Arial"/>
                <w:sz w:val="16"/>
                <w:szCs w:val="16"/>
                <w:color w:val="auto"/>
              </w:rPr>
              <w:t>Historical cost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248,125</w:t>
            </w:r>
          </w:p>
        </w:tc>
        <w:tc>
          <w:tcPr>
            <w:tcW w:w="200" w:type="dxa"/>
            <w:vAlign w:val="bottom"/>
          </w:tcPr>
          <w:p>
            <w:pPr>
              <w:spacing w:after="0"/>
              <w:rPr>
                <w:sz w:val="18"/>
                <w:szCs w:val="18"/>
                <w:color w:val="auto"/>
              </w:rPr>
            </w:pPr>
          </w:p>
        </w:tc>
        <w:tc>
          <w:tcPr>
            <w:tcW w:w="2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212,491</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358,356</w:t>
            </w:r>
          </w:p>
        </w:tc>
        <w:tc>
          <w:tcPr>
            <w:tcW w:w="2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170,938</w:t>
            </w:r>
          </w:p>
        </w:tc>
        <w:tc>
          <w:tcPr>
            <w:tcW w:w="26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989,910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(122,437)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(66,424)</w:t>
            </w:r>
          </w:p>
        </w:tc>
        <w:tc>
          <w:tcPr>
            <w:tcW w:w="140" w:type="dxa"/>
            <w:vAlign w:val="bottom"/>
            <w:shd w:val="clear" w:color="auto" w:fill="CFF0FC"/>
          </w:tcPr>
          <w:p>
            <w:pPr>
              <w:spacing w:after="0"/>
              <w:rPr>
                <w:sz w:val="18"/>
                <w:szCs w:val="18"/>
                <w:color w:val="auto"/>
              </w:rPr>
            </w:pPr>
          </w:p>
        </w:tc>
        <w:tc>
          <w:tcPr>
            <w:tcW w:w="11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(85,054)</w:t>
            </w: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(29,263)</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(303,178)</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5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125,688</w:t>
            </w:r>
          </w:p>
        </w:tc>
        <w:tc>
          <w:tcPr>
            <w:tcW w:w="200" w:type="dxa"/>
            <w:vAlign w:val="bottom"/>
          </w:tcPr>
          <w:p>
            <w:pPr>
              <w:spacing w:after="0"/>
              <w:rPr>
                <w:sz w:val="19"/>
                <w:szCs w:val="19"/>
                <w:color w:val="auto"/>
              </w:rPr>
            </w:pPr>
          </w:p>
        </w:tc>
        <w:tc>
          <w:tcPr>
            <w:tcW w:w="2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146,067</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273,302</w:t>
            </w:r>
          </w:p>
        </w:tc>
        <w:tc>
          <w:tcPr>
            <w:tcW w:w="26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141,675</w:t>
            </w:r>
          </w:p>
        </w:tc>
        <w:tc>
          <w:tcPr>
            <w:tcW w:w="26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686,732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gridSpan w:val="2"/>
            <w:vMerge w:val="restart"/>
            <w:shd w:val="clear" w:color="auto" w:fill="CFF0FC"/>
          </w:tcPr>
          <w:p>
            <w:pPr>
              <w:spacing w:after="0" w:line="220" w:lineRule="exact"/>
              <w:rPr>
                <w:sz w:val="20"/>
                <w:szCs w:val="20"/>
                <w:color w:val="auto"/>
              </w:rPr>
            </w:pPr>
            <w:r>
              <w:rPr>
                <w:rFonts w:ascii="Arial" w:cs="Arial" w:eastAsia="Arial" w:hAnsi="Arial"/>
                <w:sz w:val="15"/>
                <w:szCs w:val="15"/>
                <w:color w:val="auto"/>
              </w:rPr>
              <w:t xml:space="preserve">Total Assets </w:t>
            </w:r>
            <w:r>
              <w:rPr>
                <w:rFonts w:ascii="Arial" w:cs="Arial" w:eastAsia="Arial" w:hAnsi="Arial"/>
                <w:sz w:val="25"/>
                <w:szCs w:val="25"/>
                <w:color w:val="auto"/>
                <w:vertAlign w:val="superscript"/>
              </w:rPr>
              <w:t>(1)</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680" w:type="dxa"/>
            <w:vAlign w:val="bottom"/>
            <w:gridSpan w:val="2"/>
            <w:vMerge w:val="continue"/>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149,286</w:t>
            </w:r>
          </w:p>
        </w:tc>
        <w:tc>
          <w:tcPr>
            <w:tcW w:w="20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162,815</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274,324</w:t>
            </w:r>
          </w:p>
        </w:tc>
        <w:tc>
          <w:tcPr>
            <w:tcW w:w="2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211,909</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798,334</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FF0FC"/>
            </w:tcBorders>
          </w:tcPr>
          <w:p>
            <w:pPr>
              <w:spacing w:after="0" w:line="20" w:lineRule="exact"/>
              <w:rPr>
                <w:sz w:val="1"/>
                <w:szCs w:val="1"/>
                <w:color w:val="auto"/>
              </w:rPr>
            </w:pPr>
          </w:p>
        </w:tc>
        <w:tc>
          <w:tcPr>
            <w:tcW w:w="3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3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760" w:hanging="752"/>
        <w:spacing w:after="0" w:line="186" w:lineRule="auto"/>
        <w:tabs>
          <w:tab w:leader="none" w:pos="760" w:val="left"/>
        </w:tabs>
        <w:numPr>
          <w:ilvl w:val="0"/>
          <w:numId w:val="30"/>
        </w:numPr>
        <w:rPr>
          <w:rFonts w:ascii="Arial" w:cs="Arial" w:eastAsia="Arial" w:hAnsi="Arial"/>
          <w:sz w:val="28"/>
          <w:szCs w:val="28"/>
          <w:color w:val="auto"/>
          <w:vertAlign w:val="superscript"/>
        </w:rPr>
      </w:pPr>
      <w:r>
        <w:rPr>
          <w:rFonts w:ascii="Arial" w:cs="Arial" w:eastAsia="Arial" w:hAnsi="Arial"/>
          <w:sz w:val="14"/>
          <w:szCs w:val="14"/>
          <w:color w:val="auto"/>
        </w:rPr>
        <w:t>Total assets by region does not include corporate assets of $103.7 million as of September 30, 2021</w:t>
      </w:r>
      <w:r>
        <w:rPr>
          <w:rFonts w:ascii="Arial" w:cs="Arial" w:eastAsia="Arial" w:hAnsi="Arial"/>
          <w:sz w:val="17"/>
          <w:szCs w:val="17"/>
          <w:color w:val="auto"/>
        </w:rPr>
        <w:t>.</w:t>
      </w:r>
    </w:p>
    <w:p>
      <w:pPr>
        <w:ind w:left="760" w:hanging="752"/>
        <w:spacing w:after="0"/>
        <w:tabs>
          <w:tab w:leader="none" w:pos="7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 the second quarter of 2021, the Company removed from service four liftboats in this region. Regional statistics reflect the removed from service status of these vessels.</w:t>
      </w:r>
    </w:p>
    <w:p>
      <w:pPr>
        <w:spacing w:after="0" w:line="12" w:lineRule="exact"/>
        <w:rPr>
          <w:rFonts w:ascii="Arial" w:cs="Arial" w:eastAsia="Arial" w:hAnsi="Arial"/>
          <w:sz w:val="13"/>
          <w:szCs w:val="13"/>
          <w:color w:val="auto"/>
        </w:rPr>
      </w:pPr>
    </w:p>
    <w:p>
      <w:pPr>
        <w:jc w:val="both"/>
        <w:ind w:left="760" w:hanging="752"/>
        <w:spacing w:after="0" w:line="232" w:lineRule="auto"/>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 prior periods Africa and Europe were reported as separate segments. Due to the sale of Windcat Workboats, the Company’s European operations are no longer analyzed by the chief operating decision maker on a standalone basis but rather are analyzed as part of the Africa and Europe segment. As a result, for purposes of segment reporting European operations are now analyzed with Africa and reported as a consolidated segment.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8" w:name="page39"/>
    <w:bookmarkEnd w:id="38"/>
    <w:p>
      <w:pPr>
        <w:ind w:firstLine="749"/>
        <w:spacing w:after="0" w:line="250" w:lineRule="auto"/>
        <w:rPr>
          <w:sz w:val="20"/>
          <w:szCs w:val="20"/>
          <w:color w:val="auto"/>
        </w:rPr>
      </w:pPr>
      <w:r>
        <w:rPr>
          <w:rFonts w:ascii="Arial" w:cs="Arial" w:eastAsia="Arial" w:hAnsi="Arial"/>
          <w:sz w:val="22"/>
          <w:szCs w:val="22"/>
          <w:color w:val="auto"/>
        </w:rPr>
        <w:t>For additional information, the following tables summarize the world-wide operating results and property and equipment for each of the Company’s vessel classes for the periods indicated (in thousands, except statistics):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5"/>
                <w:szCs w:val="15"/>
                <w:b w:val="1"/>
                <w:bCs w:val="1"/>
                <w:color w:val="auto"/>
                <w:w w:val="95"/>
              </w:rPr>
              <w:t>Anchor</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40"/>
              <w:spacing w:after="0" w:line="162" w:lineRule="exact"/>
              <w:rPr>
                <w:sz w:val="20"/>
                <w:szCs w:val="20"/>
                <w:color w:val="auto"/>
              </w:rPr>
            </w:pPr>
            <w:r>
              <w:rPr>
                <w:rFonts w:ascii="Arial" w:cs="Arial" w:eastAsia="Arial" w:hAnsi="Arial"/>
                <w:sz w:val="15"/>
                <w:szCs w:val="15"/>
                <w:b w:val="1"/>
                <w:bCs w:val="1"/>
                <w:color w:val="auto"/>
                <w:w w:val="92"/>
              </w:rPr>
              <w:t>handling</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20"/>
              <w:spacing w:after="0" w:line="162" w:lineRule="exact"/>
              <w:rPr>
                <w:sz w:val="20"/>
                <w:szCs w:val="20"/>
                <w:color w:val="auto"/>
              </w:rPr>
            </w:pPr>
            <w:r>
              <w:rPr>
                <w:rFonts w:ascii="Arial" w:cs="Arial" w:eastAsia="Arial" w:hAnsi="Arial"/>
                <w:sz w:val="15"/>
                <w:szCs w:val="15"/>
                <w:b w:val="1"/>
                <w:bCs w:val="1"/>
                <w:color w:val="auto"/>
                <w:w w:val="90"/>
              </w:rPr>
              <w:t>towing</w:t>
            </w:r>
          </w:p>
        </w:tc>
        <w:tc>
          <w:tcPr>
            <w:tcW w:w="160" w:type="dxa"/>
            <w:vAlign w:val="bottom"/>
          </w:tcPr>
          <w:p>
            <w:pPr>
              <w:spacing w:after="0"/>
              <w:rPr>
                <w:sz w:val="14"/>
                <w:szCs w:val="14"/>
                <w:color w:val="auto"/>
              </w:rPr>
            </w:pPr>
          </w:p>
        </w:tc>
        <w:tc>
          <w:tcPr>
            <w:tcW w:w="1080" w:type="dxa"/>
            <w:vAlign w:val="bottom"/>
            <w:gridSpan w:val="2"/>
          </w:tcPr>
          <w:p>
            <w:pPr>
              <w:jc w:val="right"/>
              <w:ind w:right="620"/>
              <w:spacing w:after="0" w:line="162" w:lineRule="exact"/>
              <w:rPr>
                <w:sz w:val="20"/>
                <w:szCs w:val="20"/>
                <w:color w:val="auto"/>
              </w:rPr>
            </w:pPr>
            <w:r>
              <w:rPr>
                <w:rFonts w:ascii="Arial" w:cs="Arial" w:eastAsia="Arial" w:hAnsi="Arial"/>
                <w:sz w:val="15"/>
                <w:szCs w:val="15"/>
                <w:b w:val="1"/>
                <w:bCs w:val="1"/>
                <w:color w:val="auto"/>
              </w:rPr>
              <w:t>Fast</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580"/>
              <w:spacing w:after="0" w:line="162" w:lineRule="exact"/>
              <w:rPr>
                <w:sz w:val="20"/>
                <w:szCs w:val="20"/>
                <w:color w:val="auto"/>
              </w:rPr>
            </w:pPr>
            <w:r>
              <w:rPr>
                <w:rFonts w:ascii="Arial" w:cs="Arial" w:eastAsia="Arial" w:hAnsi="Arial"/>
                <w:sz w:val="15"/>
                <w:szCs w:val="15"/>
                <w:b w:val="1"/>
                <w:bCs w:val="1"/>
                <w:color w:val="auto"/>
              </w:rPr>
              <w:t>Other</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90"/>
              </w:rPr>
              <w:t>supply</w:t>
            </w:r>
          </w:p>
        </w:tc>
        <w:tc>
          <w:tcPr>
            <w:tcW w:w="160" w:type="dxa"/>
            <w:vAlign w:val="bottom"/>
          </w:tcPr>
          <w:p>
            <w:pPr>
              <w:spacing w:after="0"/>
              <w:rPr>
                <w:sz w:val="15"/>
                <w:szCs w:val="15"/>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support</w:t>
            </w:r>
          </w:p>
        </w:tc>
        <w:tc>
          <w:tcPr>
            <w:tcW w:w="160" w:type="dxa"/>
            <w:vAlign w:val="bottom"/>
          </w:tcPr>
          <w:p>
            <w:pPr>
              <w:spacing w:after="0"/>
              <w:rPr>
                <w:sz w:val="15"/>
                <w:szCs w:val="15"/>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5"/>
                <w:szCs w:val="15"/>
                <w:b w:val="1"/>
                <w:bCs w:val="1"/>
                <w:color w:val="auto"/>
              </w:rPr>
              <w:t>Supply</w:t>
            </w:r>
          </w:p>
        </w:tc>
        <w:tc>
          <w:tcPr>
            <w:tcW w:w="140" w:type="dxa"/>
            <w:vAlign w:val="bottom"/>
          </w:tcPr>
          <w:p>
            <w:pPr>
              <w:spacing w:after="0"/>
              <w:rPr>
                <w:sz w:val="15"/>
                <w:szCs w:val="15"/>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auto"/>
                <w:w w:val="97"/>
              </w:rPr>
              <w:t>Liftboats</w:t>
            </w:r>
          </w:p>
        </w:tc>
        <w:tc>
          <w:tcPr>
            <w:tcW w:w="140" w:type="dxa"/>
            <w:vAlign w:val="bottom"/>
          </w:tcPr>
          <w:p>
            <w:pPr>
              <w:spacing w:after="0"/>
              <w:rPr>
                <w:sz w:val="15"/>
                <w:szCs w:val="15"/>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5"/>
                <w:szCs w:val="15"/>
                <w:b w:val="1"/>
                <w:bCs w:val="1"/>
                <w:color w:val="auto"/>
              </w:rPr>
              <w:t>activity</w:t>
            </w:r>
          </w:p>
        </w:tc>
        <w:tc>
          <w:tcPr>
            <w:tcW w:w="18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9"/>
        </w:trPr>
        <w:tc>
          <w:tcPr>
            <w:tcW w:w="392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For the Three Months Ended September 30, 2022</w:t>
            </w:r>
          </w:p>
        </w:tc>
        <w:tc>
          <w:tcPr>
            <w:tcW w:w="14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20" w:type="dxa"/>
            <w:vAlign w:val="bottom"/>
          </w:tcPr>
          <w:p>
            <w:pPr>
              <w:spacing w:after="0"/>
              <w:rPr>
                <w:sz w:val="20"/>
                <w:szCs w:val="20"/>
                <w:color w:val="auto"/>
              </w:rPr>
            </w:pPr>
            <w:r>
              <w:rPr>
                <w:rFonts w:ascii="Arial" w:cs="Arial" w:eastAsia="Arial" w:hAnsi="Arial"/>
                <w:sz w:val="15"/>
                <w:szCs w:val="15"/>
                <w:color w:val="auto"/>
              </w:rPr>
              <w:t>Time Charter Statistics:</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Average Rates Per Day</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8,848</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9,907</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13,772</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27,447</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13,340</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260"/>
              <w:spacing w:after="0"/>
              <w:rPr>
                <w:sz w:val="20"/>
                <w:szCs w:val="20"/>
                <w:color w:val="auto"/>
              </w:rPr>
            </w:pPr>
            <w:r>
              <w:rPr>
                <w:rFonts w:ascii="Arial" w:cs="Arial" w:eastAsia="Arial" w:hAnsi="Arial"/>
                <w:sz w:val="15"/>
                <w:szCs w:val="15"/>
                <w:color w:val="auto"/>
              </w:rPr>
              <w:t>Fleet Utilization</w:t>
            </w: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67%</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90%</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78%</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65%</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9"/>
        </w:trPr>
        <w:tc>
          <w:tcPr>
            <w:tcW w:w="39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Fleet Available Days</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552</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2,116</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828</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5,336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920" w:type="dxa"/>
            <w:vAlign w:val="bottom"/>
          </w:tcPr>
          <w:p>
            <w:pPr>
              <w:spacing w:after="0"/>
              <w:rPr>
                <w:sz w:val="20"/>
                <w:szCs w:val="20"/>
                <w:color w:val="auto"/>
              </w:rPr>
            </w:pPr>
            <w:r>
              <w:rPr>
                <w:rFonts w:ascii="Arial" w:cs="Arial" w:eastAsia="Arial" w:hAnsi="Arial"/>
                <w:sz w:val="15"/>
                <w:szCs w:val="15"/>
                <w:color w:val="auto"/>
              </w:rPr>
              <w:t>Operating Revenues:</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Time charter</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3,256</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18,837</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19,687</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14,720</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56,500</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920" w:type="dxa"/>
            <w:vAlign w:val="bottom"/>
          </w:tcPr>
          <w:p>
            <w:pPr>
              <w:ind w:left="260"/>
              <w:spacing w:after="0"/>
              <w:rPr>
                <w:sz w:val="20"/>
                <w:szCs w:val="20"/>
                <w:color w:val="auto"/>
              </w:rPr>
            </w:pPr>
            <w:r>
              <w:rPr>
                <w:rFonts w:ascii="Arial" w:cs="Arial" w:eastAsia="Arial" w:hAnsi="Arial"/>
                <w:sz w:val="15"/>
                <w:szCs w:val="15"/>
                <w:color w:val="auto"/>
              </w:rPr>
              <w:t>Bareboat charter</w:t>
            </w:r>
          </w:p>
        </w:tc>
        <w:tc>
          <w:tcPr>
            <w:tcW w:w="140" w:type="dxa"/>
            <w:vAlign w:val="bottom"/>
          </w:tcPr>
          <w:p>
            <w:pPr>
              <w:spacing w:after="0"/>
              <w:rPr>
                <w:sz w:val="15"/>
                <w:szCs w:val="15"/>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332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332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marine services</w:t>
            </w:r>
          </w:p>
        </w:tc>
        <w:tc>
          <w:tcPr>
            <w:tcW w:w="1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(183)</w:t>
            </w:r>
          </w:p>
        </w:tc>
        <w:tc>
          <w:tcPr>
            <w:tcW w:w="1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(15)</w:t>
            </w: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720</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1,421</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1,016</w:t>
            </w: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2,959</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2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3,073</w:t>
            </w:r>
          </w:p>
        </w:tc>
        <w:tc>
          <w:tcPr>
            <w:tcW w:w="28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18,822</w:t>
            </w:r>
          </w:p>
        </w:tc>
        <w:tc>
          <w:tcPr>
            <w:tcW w:w="28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20,739</w:t>
            </w:r>
          </w:p>
        </w:tc>
        <w:tc>
          <w:tcPr>
            <w:tcW w:w="28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16,141</w:t>
            </w:r>
          </w:p>
        </w:tc>
        <w:tc>
          <w:tcPr>
            <w:tcW w:w="30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1,016</w:t>
            </w:r>
          </w:p>
        </w:tc>
        <w:tc>
          <w:tcPr>
            <w:tcW w:w="300" w:type="dxa"/>
            <w:vAlign w:val="bottom"/>
            <w:tcBorders>
              <w:bottom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59,791</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Direct Costs and Expenses:</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20" w:type="dxa"/>
            <w:vAlign w:val="bottom"/>
          </w:tcPr>
          <w:p>
            <w:pPr>
              <w:ind w:left="260"/>
              <w:spacing w:after="0"/>
              <w:rPr>
                <w:sz w:val="20"/>
                <w:szCs w:val="20"/>
                <w:color w:val="auto"/>
              </w:rPr>
            </w:pPr>
            <w:r>
              <w:rPr>
                <w:rFonts w:ascii="Arial" w:cs="Arial" w:eastAsia="Arial" w:hAnsi="Arial"/>
                <w:sz w:val="15"/>
                <w:szCs w:val="15"/>
                <w:color w:val="auto"/>
              </w:rPr>
              <w:t>Operating:</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Personnel</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1,022</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5,289</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8,427</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5,419</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(5)</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20,152</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20" w:type="dxa"/>
            <w:vAlign w:val="bottom"/>
          </w:tcPr>
          <w:p>
            <w:pPr>
              <w:ind w:left="500"/>
              <w:spacing w:after="0"/>
              <w:rPr>
                <w:sz w:val="20"/>
                <w:szCs w:val="20"/>
                <w:color w:val="auto"/>
              </w:rPr>
            </w:pPr>
            <w:r>
              <w:rPr>
                <w:rFonts w:ascii="Arial" w:cs="Arial" w:eastAsia="Arial" w:hAnsi="Arial"/>
                <w:sz w:val="15"/>
                <w:szCs w:val="15"/>
                <w:color w:val="auto"/>
              </w:rPr>
              <w:t>Repairs and maintenance</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304</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2,738</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2,839</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1,560</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(64)</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7,377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Drydocking</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656</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1,025</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3,337</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5,046</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20" w:type="dxa"/>
            <w:vAlign w:val="bottom"/>
          </w:tcPr>
          <w:p>
            <w:pPr>
              <w:ind w:left="500"/>
              <w:spacing w:after="0"/>
              <w:rPr>
                <w:sz w:val="20"/>
                <w:szCs w:val="20"/>
                <w:color w:val="auto"/>
              </w:rPr>
            </w:pPr>
            <w:r>
              <w:rPr>
                <w:rFonts w:ascii="Arial" w:cs="Arial" w:eastAsia="Arial" w:hAnsi="Arial"/>
                <w:sz w:val="15"/>
                <w:szCs w:val="15"/>
                <w:color w:val="auto"/>
              </w:rPr>
              <w:t>Insurance and loss reserves</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150</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410</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734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1,552</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2,850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Fuel, lubes and supplies</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399</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1,572</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2,038</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1,408</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(1)</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5,416</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20" w:type="dxa"/>
            <w:vAlign w:val="bottom"/>
          </w:tcPr>
          <w:p>
            <w:pPr>
              <w:ind w:left="500"/>
              <w:spacing w:after="0"/>
              <w:rPr>
                <w:sz w:val="20"/>
                <w:szCs w:val="20"/>
                <w:color w:val="auto"/>
              </w:rPr>
            </w:pPr>
            <w:r>
              <w:rPr>
                <w:rFonts w:ascii="Arial" w:cs="Arial" w:eastAsia="Arial" w:hAnsi="Arial"/>
                <w:sz w:val="15"/>
                <w:szCs w:val="15"/>
                <w:color w:val="auto"/>
              </w:rPr>
              <w:t>Other</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228</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1,284</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1,275</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387</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(9)</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3,165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2,131</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11,949</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16,338</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13,663</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40"/>
              <w:spacing w:after="0" w:line="169" w:lineRule="exact"/>
              <w:rPr>
                <w:sz w:val="20"/>
                <w:szCs w:val="20"/>
                <w:color w:val="auto"/>
              </w:rPr>
            </w:pPr>
            <w:r>
              <w:rPr>
                <w:rFonts w:ascii="Arial" w:cs="Arial" w:eastAsia="Arial" w:hAnsi="Arial"/>
                <w:sz w:val="15"/>
                <w:szCs w:val="15"/>
                <w:color w:val="auto"/>
              </w:rPr>
              <w:t>(75)</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44,006</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20" w:type="dxa"/>
            <w:vAlign w:val="bottom"/>
          </w:tcPr>
          <w:p>
            <w:pPr>
              <w:spacing w:after="0" w:line="169" w:lineRule="exact"/>
              <w:rPr>
                <w:sz w:val="20"/>
                <w:szCs w:val="20"/>
                <w:color w:val="auto"/>
              </w:rPr>
            </w:pPr>
            <w:r>
              <w:rPr>
                <w:rFonts w:ascii="Arial" w:cs="Arial" w:eastAsia="Arial" w:hAnsi="Arial"/>
                <w:sz w:val="15"/>
                <w:szCs w:val="15"/>
                <w:color w:val="auto"/>
              </w:rPr>
              <w:t>Other Costs and Expenses:</w:t>
            </w: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Lease expense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450</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332</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jc w:val="right"/>
              <w:ind w:right="13"/>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386</w:t>
            </w: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1,168</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20" w:type="dxa"/>
            <w:vAlign w:val="bottom"/>
          </w:tcPr>
          <w:p>
            <w:pPr>
              <w:ind w:left="260"/>
              <w:spacing w:after="0"/>
              <w:rPr>
                <w:sz w:val="20"/>
                <w:szCs w:val="20"/>
                <w:color w:val="auto"/>
              </w:rPr>
            </w:pPr>
            <w:r>
              <w:rPr>
                <w:rFonts w:ascii="Arial" w:cs="Arial" w:eastAsia="Arial" w:hAnsi="Arial"/>
                <w:sz w:val="15"/>
                <w:szCs w:val="15"/>
                <w:color w:val="auto"/>
              </w:rPr>
              <w:t>Administrative and general</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9,978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494</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4,972</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3,810</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4,429</w:t>
            </w: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w:t>
            </w:r>
          </w:p>
        </w:tc>
        <w:tc>
          <w:tcPr>
            <w:tcW w:w="30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13,754</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2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20" w:type="dxa"/>
            <w:vAlign w:val="bottom"/>
            <w:tcBorders>
              <w:bottom w:val="single" w:sz="8" w:color="CFF0FC"/>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24,900</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Losses on Asset Dispositions and Impairments</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(1,783)</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5"/>
                <w:szCs w:val="15"/>
                <w:color w:val="auto"/>
              </w:rPr>
              <w:t>Operating Loss</w:t>
            </w: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jc w:val="right"/>
              <w:ind w:right="53"/>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(10,898)</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72"/>
        </w:trPr>
        <w:tc>
          <w:tcPr>
            <w:tcW w:w="15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5"/>
                <w:szCs w:val="15"/>
                <w:b w:val="1"/>
                <w:bCs w:val="1"/>
                <w:color w:val="auto"/>
                <w:w w:val="95"/>
              </w:rPr>
              <w:t>Anchor</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15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40"/>
              <w:spacing w:after="0" w:line="162" w:lineRule="exact"/>
              <w:rPr>
                <w:sz w:val="20"/>
                <w:szCs w:val="20"/>
                <w:color w:val="auto"/>
              </w:rPr>
            </w:pPr>
            <w:r>
              <w:rPr>
                <w:rFonts w:ascii="Arial" w:cs="Arial" w:eastAsia="Arial" w:hAnsi="Arial"/>
                <w:sz w:val="15"/>
                <w:szCs w:val="15"/>
                <w:b w:val="1"/>
                <w:bCs w:val="1"/>
                <w:color w:val="auto"/>
                <w:w w:val="92"/>
              </w:rPr>
              <w:t>handling</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15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20"/>
              <w:spacing w:after="0" w:line="162" w:lineRule="exact"/>
              <w:rPr>
                <w:sz w:val="20"/>
                <w:szCs w:val="20"/>
                <w:color w:val="auto"/>
              </w:rPr>
            </w:pPr>
            <w:r>
              <w:rPr>
                <w:rFonts w:ascii="Arial" w:cs="Arial" w:eastAsia="Arial" w:hAnsi="Arial"/>
                <w:sz w:val="15"/>
                <w:szCs w:val="15"/>
                <w:b w:val="1"/>
                <w:bCs w:val="1"/>
                <w:color w:val="auto"/>
                <w:w w:val="90"/>
              </w:rPr>
              <w:t>towing</w:t>
            </w:r>
          </w:p>
        </w:tc>
        <w:tc>
          <w:tcPr>
            <w:tcW w:w="160" w:type="dxa"/>
            <w:vAlign w:val="bottom"/>
          </w:tcPr>
          <w:p>
            <w:pPr>
              <w:spacing w:after="0"/>
              <w:rPr>
                <w:sz w:val="14"/>
                <w:szCs w:val="14"/>
                <w:color w:val="auto"/>
              </w:rPr>
            </w:pPr>
          </w:p>
        </w:tc>
        <w:tc>
          <w:tcPr>
            <w:tcW w:w="1080" w:type="dxa"/>
            <w:vAlign w:val="bottom"/>
            <w:gridSpan w:val="2"/>
          </w:tcPr>
          <w:p>
            <w:pPr>
              <w:jc w:val="right"/>
              <w:ind w:right="620"/>
              <w:spacing w:after="0" w:line="162" w:lineRule="exact"/>
              <w:rPr>
                <w:sz w:val="20"/>
                <w:szCs w:val="20"/>
                <w:color w:val="auto"/>
              </w:rPr>
            </w:pPr>
            <w:r>
              <w:rPr>
                <w:rFonts w:ascii="Arial" w:cs="Arial" w:eastAsia="Arial" w:hAnsi="Arial"/>
                <w:sz w:val="15"/>
                <w:szCs w:val="15"/>
                <w:b w:val="1"/>
                <w:bCs w:val="1"/>
                <w:color w:val="auto"/>
              </w:rPr>
              <w:t>Fast</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580"/>
              <w:spacing w:after="0" w:line="162" w:lineRule="exact"/>
              <w:rPr>
                <w:sz w:val="20"/>
                <w:szCs w:val="20"/>
                <w:color w:val="auto"/>
              </w:rPr>
            </w:pPr>
            <w:r>
              <w:rPr>
                <w:rFonts w:ascii="Arial" w:cs="Arial" w:eastAsia="Arial" w:hAnsi="Arial"/>
                <w:sz w:val="15"/>
                <w:szCs w:val="15"/>
                <w:b w:val="1"/>
                <w:bCs w:val="1"/>
                <w:color w:val="auto"/>
              </w:rPr>
              <w:t>Other</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9"/>
        </w:trPr>
        <w:tc>
          <w:tcPr>
            <w:tcW w:w="15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w w:val="90"/>
              </w:rPr>
              <w:t>supply</w:t>
            </w:r>
          </w:p>
        </w:tc>
        <w:tc>
          <w:tcPr>
            <w:tcW w:w="160" w:type="dxa"/>
            <w:vAlign w:val="bottom"/>
          </w:tcPr>
          <w:p>
            <w:pPr>
              <w:spacing w:after="0"/>
              <w:rPr>
                <w:sz w:val="15"/>
                <w:szCs w:val="15"/>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support</w:t>
            </w:r>
          </w:p>
        </w:tc>
        <w:tc>
          <w:tcPr>
            <w:tcW w:w="160" w:type="dxa"/>
            <w:vAlign w:val="bottom"/>
          </w:tcPr>
          <w:p>
            <w:pPr>
              <w:spacing w:after="0"/>
              <w:rPr>
                <w:sz w:val="15"/>
                <w:szCs w:val="15"/>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5"/>
                <w:szCs w:val="15"/>
                <w:b w:val="1"/>
                <w:bCs w:val="1"/>
                <w:color w:val="auto"/>
              </w:rPr>
              <w:t>Supply</w:t>
            </w:r>
          </w:p>
        </w:tc>
        <w:tc>
          <w:tcPr>
            <w:tcW w:w="140" w:type="dxa"/>
            <w:vAlign w:val="bottom"/>
          </w:tcPr>
          <w:p>
            <w:pPr>
              <w:spacing w:after="0"/>
              <w:rPr>
                <w:sz w:val="15"/>
                <w:szCs w:val="15"/>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auto"/>
                <w:w w:val="97"/>
              </w:rPr>
              <w:t>Liftboats</w:t>
            </w:r>
          </w:p>
        </w:tc>
        <w:tc>
          <w:tcPr>
            <w:tcW w:w="100" w:type="dxa"/>
            <w:vAlign w:val="bottom"/>
          </w:tcPr>
          <w:p>
            <w:pPr>
              <w:spacing w:after="0"/>
              <w:rPr>
                <w:sz w:val="15"/>
                <w:szCs w:val="15"/>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w w:val="94"/>
              </w:rPr>
              <w:t xml:space="preserve">activity </w:t>
            </w:r>
            <w:r>
              <w:rPr>
                <w:rFonts w:ascii="Arial" w:cs="Arial" w:eastAsia="Arial" w:hAnsi="Arial"/>
                <w:sz w:val="13"/>
                <w:szCs w:val="13"/>
                <w:b w:val="1"/>
                <w:bCs w:val="1"/>
                <w:color w:val="auto"/>
                <w:w w:val="94"/>
              </w:rPr>
              <w:t>(1)</w:t>
            </w:r>
          </w:p>
        </w:tc>
        <w:tc>
          <w:tcPr>
            <w:tcW w:w="18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Total</w:t>
            </w:r>
          </w:p>
        </w:tc>
      </w:tr>
      <w:tr>
        <w:trPr>
          <w:trHeight w:val="169"/>
        </w:trPr>
        <w:tc>
          <w:tcPr>
            <w:tcW w:w="3920" w:type="dxa"/>
            <w:vAlign w:val="bottom"/>
            <w:tcBorders>
              <w:top w:val="single" w:sz="8" w:color="CFF0FC"/>
            </w:tcBorders>
            <w:gridSpan w:val="2"/>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For the Nine Months Ended September 30, 2022</w:t>
            </w:r>
          </w:p>
        </w:tc>
        <w:tc>
          <w:tcPr>
            <w:tcW w:w="14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r>
      <w:tr>
        <w:trPr>
          <w:trHeight w:val="176"/>
        </w:trPr>
        <w:tc>
          <w:tcPr>
            <w:tcW w:w="3920" w:type="dxa"/>
            <w:vAlign w:val="bottom"/>
            <w:gridSpan w:val="2"/>
          </w:tcPr>
          <w:p>
            <w:pPr>
              <w:spacing w:after="0"/>
              <w:rPr>
                <w:sz w:val="20"/>
                <w:szCs w:val="20"/>
                <w:color w:val="auto"/>
              </w:rPr>
            </w:pPr>
            <w:r>
              <w:rPr>
                <w:rFonts w:ascii="Arial" w:cs="Arial" w:eastAsia="Arial" w:hAnsi="Arial"/>
                <w:sz w:val="15"/>
                <w:szCs w:val="15"/>
                <w:color w:val="auto"/>
              </w:rPr>
              <w:t>Time Charter Statistics:</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16"/>
        </w:trPr>
        <w:tc>
          <w:tcPr>
            <w:tcW w:w="392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Average Rates Per Day</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8,881</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9,264</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13,165</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25,149</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ind w:right="3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12,305</w:t>
            </w:r>
          </w:p>
        </w:tc>
        <w:tc>
          <w:tcPr>
            <w:tcW w:w="140" w:type="dxa"/>
            <w:vAlign w:val="bottom"/>
            <w:shd w:val="clear" w:color="auto" w:fill="CFF0FC"/>
          </w:tcPr>
          <w:p>
            <w:pPr>
              <w:spacing w:after="0"/>
              <w:rPr>
                <w:sz w:val="18"/>
                <w:szCs w:val="18"/>
                <w:color w:val="auto"/>
              </w:rPr>
            </w:pPr>
          </w:p>
        </w:tc>
      </w:tr>
      <w:tr>
        <w:trPr>
          <w:trHeight w:val="213"/>
        </w:trPr>
        <w:tc>
          <w:tcPr>
            <w:tcW w:w="3920" w:type="dxa"/>
            <w:vAlign w:val="bottom"/>
            <w:gridSpan w:val="2"/>
          </w:tcPr>
          <w:p>
            <w:pPr>
              <w:ind w:left="260"/>
              <w:spacing w:after="0"/>
              <w:rPr>
                <w:sz w:val="20"/>
                <w:szCs w:val="20"/>
                <w:color w:val="auto"/>
              </w:rPr>
            </w:pPr>
            <w:r>
              <w:rPr>
                <w:rFonts w:ascii="Arial" w:cs="Arial" w:eastAsia="Arial" w:hAnsi="Arial"/>
                <w:sz w:val="15"/>
                <w:szCs w:val="15"/>
                <w:color w:val="auto"/>
              </w:rPr>
              <w:t>Fleet Utilization</w:t>
            </w: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66%</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85%</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79%</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75%</w:t>
            </w:r>
          </w:p>
        </w:tc>
      </w:tr>
      <w:tr>
        <w:trPr>
          <w:trHeight w:val="219"/>
        </w:trPr>
        <w:tc>
          <w:tcPr>
            <w:tcW w:w="392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Fleet Available Days</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6,402</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5,460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2,457</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16,047</w:t>
            </w:r>
          </w:p>
        </w:tc>
        <w:tc>
          <w:tcPr>
            <w:tcW w:w="140" w:type="dxa"/>
            <w:vAlign w:val="bottom"/>
            <w:shd w:val="clear" w:color="auto" w:fill="CFF0FC"/>
          </w:tcPr>
          <w:p>
            <w:pPr>
              <w:spacing w:after="0"/>
              <w:rPr>
                <w:sz w:val="19"/>
                <w:szCs w:val="19"/>
                <w:color w:val="auto"/>
              </w:rPr>
            </w:pPr>
          </w:p>
        </w:tc>
      </w:tr>
      <w:tr>
        <w:trPr>
          <w:trHeight w:val="175"/>
        </w:trPr>
        <w:tc>
          <w:tcPr>
            <w:tcW w:w="3920" w:type="dxa"/>
            <w:vAlign w:val="bottom"/>
            <w:gridSpan w:val="2"/>
          </w:tcPr>
          <w:p>
            <w:pPr>
              <w:spacing w:after="0"/>
              <w:rPr>
                <w:sz w:val="20"/>
                <w:szCs w:val="20"/>
                <w:color w:val="auto"/>
              </w:rPr>
            </w:pPr>
            <w:r>
              <w:rPr>
                <w:rFonts w:ascii="Arial" w:cs="Arial" w:eastAsia="Arial" w:hAnsi="Arial"/>
                <w:sz w:val="15"/>
                <w:szCs w:val="15"/>
                <w:color w:val="auto"/>
              </w:rPr>
              <w:t>Operating Revenues:</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6"/>
        </w:trPr>
        <w:tc>
          <w:tcPr>
            <w:tcW w:w="392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Time charter</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9,635</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50,262</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56,493</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32,355</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jc w:val="right"/>
              <w:ind w:right="55"/>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148,745</w:t>
            </w:r>
          </w:p>
        </w:tc>
        <w:tc>
          <w:tcPr>
            <w:tcW w:w="140" w:type="dxa"/>
            <w:vAlign w:val="bottom"/>
            <w:shd w:val="clear" w:color="auto" w:fill="CFF0FC"/>
          </w:tcPr>
          <w:p>
            <w:pPr>
              <w:spacing w:after="0"/>
              <w:rPr>
                <w:sz w:val="15"/>
                <w:szCs w:val="15"/>
                <w:color w:val="auto"/>
              </w:rPr>
            </w:pPr>
          </w:p>
        </w:tc>
      </w:tr>
      <w:tr>
        <w:trPr>
          <w:trHeight w:val="175"/>
        </w:trPr>
        <w:tc>
          <w:tcPr>
            <w:tcW w:w="3920" w:type="dxa"/>
            <w:vAlign w:val="bottom"/>
            <w:gridSpan w:val="2"/>
          </w:tcPr>
          <w:p>
            <w:pPr>
              <w:ind w:left="260"/>
              <w:spacing w:after="0"/>
              <w:rPr>
                <w:sz w:val="20"/>
                <w:szCs w:val="20"/>
                <w:color w:val="auto"/>
              </w:rPr>
            </w:pPr>
            <w:r>
              <w:rPr>
                <w:rFonts w:ascii="Arial" w:cs="Arial" w:eastAsia="Arial" w:hAnsi="Arial"/>
                <w:sz w:val="15"/>
                <w:szCs w:val="15"/>
                <w:color w:val="auto"/>
              </w:rPr>
              <w:t>Bareboat charter</w:t>
            </w:r>
          </w:p>
        </w:tc>
        <w:tc>
          <w:tcPr>
            <w:tcW w:w="140" w:type="dxa"/>
            <w:vAlign w:val="bottom"/>
          </w:tcPr>
          <w:p>
            <w:pPr>
              <w:spacing w:after="0"/>
              <w:rPr>
                <w:sz w:val="15"/>
                <w:szCs w:val="15"/>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998</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998</w:t>
            </w:r>
          </w:p>
        </w:tc>
        <w:tc>
          <w:tcPr>
            <w:tcW w:w="140" w:type="dxa"/>
            <w:vAlign w:val="bottom"/>
          </w:tcPr>
          <w:p>
            <w:pPr>
              <w:spacing w:after="0"/>
              <w:rPr>
                <w:sz w:val="15"/>
                <w:szCs w:val="15"/>
                <w:color w:val="auto"/>
              </w:rPr>
            </w:pPr>
          </w:p>
        </w:tc>
      </w:tr>
      <w:tr>
        <w:trPr>
          <w:trHeight w:val="176"/>
        </w:trPr>
        <w:tc>
          <w:tcPr>
            <w:tcW w:w="392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Other marine services</w:t>
            </w:r>
          </w:p>
        </w:tc>
        <w:tc>
          <w:tcPr>
            <w:tcW w:w="1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(486)</w:t>
            </w:r>
          </w:p>
        </w:tc>
        <w:tc>
          <w:tcPr>
            <w:tcW w:w="1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(443)</w:t>
            </w: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1,339</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6,167</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3,079</w:t>
            </w: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9,656</w:t>
            </w:r>
          </w:p>
        </w:tc>
        <w:tc>
          <w:tcPr>
            <w:tcW w:w="140" w:type="dxa"/>
            <w:vAlign w:val="bottom"/>
            <w:shd w:val="clear" w:color="auto" w:fill="CFF0FC"/>
          </w:tcPr>
          <w:p>
            <w:pPr>
              <w:spacing w:after="0"/>
              <w:rPr>
                <w:sz w:val="15"/>
                <w:szCs w:val="15"/>
                <w:color w:val="auto"/>
              </w:rPr>
            </w:pPr>
          </w:p>
        </w:tc>
      </w:tr>
      <w:tr>
        <w:trPr>
          <w:trHeight w:val="169"/>
        </w:trPr>
        <w:tc>
          <w:tcPr>
            <w:tcW w:w="1500" w:type="dxa"/>
            <w:vAlign w:val="bottom"/>
            <w:tcBorders>
              <w:bottom w:val="single" w:sz="8" w:color="CFF0FC"/>
            </w:tcBorders>
          </w:tcPr>
          <w:p>
            <w:pPr>
              <w:spacing w:after="0"/>
              <w:rPr>
                <w:sz w:val="14"/>
                <w:szCs w:val="14"/>
                <w:color w:val="auto"/>
              </w:rPr>
            </w:pPr>
          </w:p>
        </w:tc>
        <w:tc>
          <w:tcPr>
            <w:tcW w:w="242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9,149</w:t>
            </w:r>
          </w:p>
        </w:tc>
        <w:tc>
          <w:tcPr>
            <w:tcW w:w="28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49,819</w:t>
            </w:r>
          </w:p>
        </w:tc>
        <w:tc>
          <w:tcPr>
            <w:tcW w:w="28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58,830</w:t>
            </w:r>
          </w:p>
        </w:tc>
        <w:tc>
          <w:tcPr>
            <w:tcW w:w="28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38,522</w:t>
            </w:r>
          </w:p>
        </w:tc>
        <w:tc>
          <w:tcPr>
            <w:tcW w:w="30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3,079</w:t>
            </w:r>
          </w:p>
        </w:tc>
        <w:tc>
          <w:tcPr>
            <w:tcW w:w="300" w:type="dxa"/>
            <w:vAlign w:val="bottom"/>
            <w:tcBorders>
              <w:bottom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159,399</w:t>
            </w:r>
          </w:p>
        </w:tc>
        <w:tc>
          <w:tcPr>
            <w:tcW w:w="140" w:type="dxa"/>
            <w:vAlign w:val="bottom"/>
            <w:tcBorders>
              <w:bottom w:val="single" w:sz="8" w:color="CFF0FC"/>
            </w:tcBorders>
          </w:tcPr>
          <w:p>
            <w:pPr>
              <w:spacing w:after="0"/>
              <w:rPr>
                <w:sz w:val="14"/>
                <w:szCs w:val="14"/>
                <w:color w:val="auto"/>
              </w:rPr>
            </w:pPr>
          </w:p>
        </w:tc>
      </w:tr>
      <w:tr>
        <w:trPr>
          <w:trHeight w:val="169"/>
        </w:trPr>
        <w:tc>
          <w:tcPr>
            <w:tcW w:w="3920" w:type="dxa"/>
            <w:vAlign w:val="bottom"/>
            <w:gridSpan w:val="2"/>
            <w:shd w:val="clear" w:color="auto" w:fill="CFF0FC"/>
          </w:tcPr>
          <w:p>
            <w:pPr>
              <w:spacing w:after="0" w:line="169" w:lineRule="exact"/>
              <w:rPr>
                <w:sz w:val="20"/>
                <w:szCs w:val="20"/>
                <w:color w:val="auto"/>
              </w:rPr>
            </w:pPr>
            <w:r>
              <w:rPr>
                <w:rFonts w:ascii="Arial" w:cs="Arial" w:eastAsia="Arial" w:hAnsi="Arial"/>
                <w:sz w:val="15"/>
                <w:szCs w:val="15"/>
                <w:color w:val="auto"/>
              </w:rPr>
              <w:t>Direct Costs and Expenses:</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76"/>
        </w:trPr>
        <w:tc>
          <w:tcPr>
            <w:tcW w:w="3920" w:type="dxa"/>
            <w:vAlign w:val="bottom"/>
            <w:gridSpan w:val="2"/>
          </w:tcPr>
          <w:p>
            <w:pPr>
              <w:ind w:left="260"/>
              <w:spacing w:after="0"/>
              <w:rPr>
                <w:sz w:val="20"/>
                <w:szCs w:val="20"/>
                <w:color w:val="auto"/>
              </w:rPr>
            </w:pPr>
            <w:r>
              <w:rPr>
                <w:rFonts w:ascii="Arial" w:cs="Arial" w:eastAsia="Arial" w:hAnsi="Arial"/>
                <w:sz w:val="15"/>
                <w:szCs w:val="15"/>
                <w:color w:val="auto"/>
              </w:rPr>
              <w:t>Operating:</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6"/>
        </w:trPr>
        <w:tc>
          <w:tcPr>
            <w:tcW w:w="3920" w:type="dxa"/>
            <w:vAlign w:val="bottom"/>
            <w:gridSpan w:val="2"/>
            <w:shd w:val="clear" w:color="auto" w:fill="CFF0FC"/>
          </w:tcPr>
          <w:p>
            <w:pPr>
              <w:ind w:left="500"/>
              <w:spacing w:after="0"/>
              <w:rPr>
                <w:sz w:val="20"/>
                <w:szCs w:val="20"/>
                <w:color w:val="auto"/>
              </w:rPr>
            </w:pPr>
            <w:r>
              <w:rPr>
                <w:rFonts w:ascii="Arial" w:cs="Arial" w:eastAsia="Arial" w:hAnsi="Arial"/>
                <w:sz w:val="15"/>
                <w:szCs w:val="15"/>
                <w:color w:val="auto"/>
              </w:rPr>
              <w:t>Personnel</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3,208</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15,239</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24,509</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13,969</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w:t>
            </w: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56,933</w:t>
            </w:r>
          </w:p>
        </w:tc>
        <w:tc>
          <w:tcPr>
            <w:tcW w:w="140" w:type="dxa"/>
            <w:vAlign w:val="bottom"/>
            <w:shd w:val="clear" w:color="auto" w:fill="CFF0FC"/>
          </w:tcPr>
          <w:p>
            <w:pPr>
              <w:spacing w:after="0"/>
              <w:rPr>
                <w:sz w:val="15"/>
                <w:szCs w:val="15"/>
                <w:color w:val="auto"/>
              </w:rPr>
            </w:pPr>
          </w:p>
        </w:tc>
      </w:tr>
      <w:tr>
        <w:trPr>
          <w:trHeight w:val="175"/>
        </w:trPr>
        <w:tc>
          <w:tcPr>
            <w:tcW w:w="3920" w:type="dxa"/>
            <w:vAlign w:val="bottom"/>
            <w:gridSpan w:val="2"/>
          </w:tcPr>
          <w:p>
            <w:pPr>
              <w:ind w:left="500"/>
              <w:spacing w:after="0"/>
              <w:rPr>
                <w:sz w:val="20"/>
                <w:szCs w:val="20"/>
                <w:color w:val="auto"/>
              </w:rPr>
            </w:pPr>
            <w:r>
              <w:rPr>
                <w:rFonts w:ascii="Arial" w:cs="Arial" w:eastAsia="Arial" w:hAnsi="Arial"/>
                <w:sz w:val="15"/>
                <w:szCs w:val="15"/>
                <w:color w:val="auto"/>
              </w:rPr>
              <w:t>Repairs and maintenance</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1,163</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6,996</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9,724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4,704</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(39)</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22,548</w:t>
            </w:r>
          </w:p>
        </w:tc>
        <w:tc>
          <w:tcPr>
            <w:tcW w:w="140" w:type="dxa"/>
            <w:vAlign w:val="bottom"/>
          </w:tcPr>
          <w:p>
            <w:pPr>
              <w:spacing w:after="0"/>
              <w:rPr>
                <w:sz w:val="15"/>
                <w:szCs w:val="15"/>
                <w:color w:val="auto"/>
              </w:rPr>
            </w:pPr>
          </w:p>
        </w:tc>
      </w:tr>
      <w:tr>
        <w:trPr>
          <w:trHeight w:val="176"/>
        </w:trPr>
        <w:tc>
          <w:tcPr>
            <w:tcW w:w="3920" w:type="dxa"/>
            <w:vAlign w:val="bottom"/>
            <w:gridSpan w:val="2"/>
            <w:shd w:val="clear" w:color="auto" w:fill="CFF0FC"/>
          </w:tcPr>
          <w:p>
            <w:pPr>
              <w:ind w:left="500"/>
              <w:spacing w:after="0"/>
              <w:rPr>
                <w:sz w:val="20"/>
                <w:szCs w:val="20"/>
                <w:color w:val="auto"/>
              </w:rPr>
            </w:pPr>
            <w:r>
              <w:rPr>
                <w:rFonts w:ascii="Arial" w:cs="Arial" w:eastAsia="Arial" w:hAnsi="Arial"/>
                <w:sz w:val="15"/>
                <w:szCs w:val="15"/>
                <w:color w:val="auto"/>
              </w:rPr>
              <w:t>Drydocking</w:t>
            </w:r>
          </w:p>
        </w:tc>
        <w:tc>
          <w:tcPr>
            <w:tcW w:w="14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(9)</w:t>
            </w: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1,732</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2,295</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12,475</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16,493</w:t>
            </w:r>
          </w:p>
        </w:tc>
        <w:tc>
          <w:tcPr>
            <w:tcW w:w="140" w:type="dxa"/>
            <w:vAlign w:val="bottom"/>
            <w:shd w:val="clear" w:color="auto" w:fill="CFF0FC"/>
          </w:tcPr>
          <w:p>
            <w:pPr>
              <w:spacing w:after="0"/>
              <w:rPr>
                <w:sz w:val="15"/>
                <w:szCs w:val="15"/>
                <w:color w:val="auto"/>
              </w:rPr>
            </w:pPr>
          </w:p>
        </w:tc>
      </w:tr>
      <w:tr>
        <w:trPr>
          <w:trHeight w:val="175"/>
        </w:trPr>
        <w:tc>
          <w:tcPr>
            <w:tcW w:w="3920" w:type="dxa"/>
            <w:vAlign w:val="bottom"/>
            <w:gridSpan w:val="2"/>
          </w:tcPr>
          <w:p>
            <w:pPr>
              <w:ind w:left="500"/>
              <w:spacing w:after="0"/>
              <w:rPr>
                <w:sz w:val="20"/>
                <w:szCs w:val="20"/>
                <w:color w:val="auto"/>
              </w:rPr>
            </w:pPr>
            <w:r>
              <w:rPr>
                <w:rFonts w:ascii="Arial" w:cs="Arial" w:eastAsia="Arial" w:hAnsi="Arial"/>
                <w:sz w:val="15"/>
                <w:szCs w:val="15"/>
                <w:color w:val="auto"/>
              </w:rPr>
              <w:t>Insurance and loss reserves</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159</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1,042</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1,713</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4,315</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(648)</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6,581</w:t>
            </w:r>
          </w:p>
        </w:tc>
        <w:tc>
          <w:tcPr>
            <w:tcW w:w="140" w:type="dxa"/>
            <w:vAlign w:val="bottom"/>
          </w:tcPr>
          <w:p>
            <w:pPr>
              <w:spacing w:after="0"/>
              <w:rPr>
                <w:sz w:val="15"/>
                <w:szCs w:val="15"/>
                <w:color w:val="auto"/>
              </w:rPr>
            </w:pPr>
          </w:p>
        </w:tc>
      </w:tr>
      <w:tr>
        <w:trPr>
          <w:trHeight w:val="176"/>
        </w:trPr>
        <w:tc>
          <w:tcPr>
            <w:tcW w:w="3920" w:type="dxa"/>
            <w:vAlign w:val="bottom"/>
            <w:gridSpan w:val="2"/>
            <w:shd w:val="clear" w:color="auto" w:fill="CFF0FC"/>
          </w:tcPr>
          <w:p>
            <w:pPr>
              <w:ind w:left="500"/>
              <w:spacing w:after="0"/>
              <w:rPr>
                <w:sz w:val="20"/>
                <w:szCs w:val="20"/>
                <w:color w:val="auto"/>
              </w:rPr>
            </w:pPr>
            <w:r>
              <w:rPr>
                <w:rFonts w:ascii="Arial" w:cs="Arial" w:eastAsia="Arial" w:hAnsi="Arial"/>
                <w:sz w:val="15"/>
                <w:szCs w:val="15"/>
                <w:color w:val="auto"/>
              </w:rPr>
              <w:t>Fuel, lubes and supplies</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758</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4,303</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5,173</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3,243</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w:t>
            </w: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13,495</w:t>
            </w:r>
          </w:p>
        </w:tc>
        <w:tc>
          <w:tcPr>
            <w:tcW w:w="140" w:type="dxa"/>
            <w:vAlign w:val="bottom"/>
            <w:shd w:val="clear" w:color="auto" w:fill="CFF0FC"/>
          </w:tcPr>
          <w:p>
            <w:pPr>
              <w:spacing w:after="0"/>
              <w:rPr>
                <w:sz w:val="15"/>
                <w:szCs w:val="15"/>
                <w:color w:val="auto"/>
              </w:rPr>
            </w:pPr>
          </w:p>
        </w:tc>
      </w:tr>
      <w:tr>
        <w:trPr>
          <w:trHeight w:val="176"/>
        </w:trPr>
        <w:tc>
          <w:tcPr>
            <w:tcW w:w="3920" w:type="dxa"/>
            <w:vAlign w:val="bottom"/>
            <w:tcBorders>
              <w:bottom w:val="single" w:sz="8" w:color="CFF0FC"/>
            </w:tcBorders>
            <w:gridSpan w:val="2"/>
          </w:tcPr>
          <w:p>
            <w:pPr>
              <w:ind w:left="500"/>
              <w:spacing w:after="0"/>
              <w:rPr>
                <w:sz w:val="20"/>
                <w:szCs w:val="20"/>
                <w:color w:val="auto"/>
              </w:rPr>
            </w:pPr>
            <w:r>
              <w:rPr>
                <w:rFonts w:ascii="Arial" w:cs="Arial" w:eastAsia="Arial" w:hAnsi="Arial"/>
                <w:sz w:val="15"/>
                <w:szCs w:val="15"/>
                <w:color w:val="auto"/>
              </w:rPr>
              <w:t>Other</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1,102</w:t>
            </w:r>
          </w:p>
        </w:tc>
        <w:tc>
          <w:tcPr>
            <w:tcW w:w="2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4,536</w:t>
            </w:r>
          </w:p>
        </w:tc>
        <w:tc>
          <w:tcPr>
            <w:tcW w:w="2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4,254</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1,686</w:t>
            </w:r>
          </w:p>
        </w:tc>
        <w:tc>
          <w:tcPr>
            <w:tcW w:w="3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w:t>
            </w:r>
          </w:p>
        </w:tc>
        <w:tc>
          <w:tcPr>
            <w:tcW w:w="3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11,597</w:t>
            </w:r>
          </w:p>
        </w:tc>
        <w:tc>
          <w:tcPr>
            <w:tcW w:w="140" w:type="dxa"/>
            <w:vAlign w:val="bottom"/>
            <w:tcBorders>
              <w:bottom w:val="single" w:sz="8" w:color="CFF0FC"/>
            </w:tcBorders>
          </w:tcPr>
          <w:p>
            <w:pPr>
              <w:spacing w:after="0"/>
              <w:rPr>
                <w:sz w:val="15"/>
                <w:szCs w:val="15"/>
                <w:color w:val="auto"/>
              </w:rPr>
            </w:pPr>
          </w:p>
        </w:tc>
      </w:tr>
      <w:tr>
        <w:trPr>
          <w:trHeight w:val="169"/>
        </w:trPr>
        <w:tc>
          <w:tcPr>
            <w:tcW w:w="1500" w:type="dxa"/>
            <w:vAlign w:val="bottom"/>
            <w:shd w:val="clear" w:color="auto" w:fill="CFF0FC"/>
          </w:tcPr>
          <w:p>
            <w:pPr>
              <w:spacing w:after="0"/>
              <w:rPr>
                <w:sz w:val="14"/>
                <w:szCs w:val="14"/>
                <w:color w:val="auto"/>
              </w:rPr>
            </w:pPr>
          </w:p>
        </w:tc>
        <w:tc>
          <w:tcPr>
            <w:tcW w:w="2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6,381</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33,848</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47,668</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40,392</w:t>
            </w: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40"/>
              <w:spacing w:after="0" w:line="169" w:lineRule="exact"/>
              <w:rPr>
                <w:sz w:val="20"/>
                <w:szCs w:val="20"/>
                <w:color w:val="auto"/>
              </w:rPr>
            </w:pPr>
            <w:r>
              <w:rPr>
                <w:rFonts w:ascii="Arial" w:cs="Arial" w:eastAsia="Arial" w:hAnsi="Arial"/>
                <w:sz w:val="15"/>
                <w:szCs w:val="15"/>
                <w:color w:val="auto"/>
              </w:rPr>
              <w:t>(642)</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127,647</w:t>
            </w:r>
          </w:p>
        </w:tc>
        <w:tc>
          <w:tcPr>
            <w:tcW w:w="140" w:type="dxa"/>
            <w:vAlign w:val="bottom"/>
            <w:shd w:val="clear" w:color="auto" w:fill="CFF0FC"/>
          </w:tcPr>
          <w:p>
            <w:pPr>
              <w:spacing w:after="0"/>
              <w:rPr>
                <w:sz w:val="14"/>
                <w:szCs w:val="14"/>
                <w:color w:val="auto"/>
              </w:rPr>
            </w:pPr>
          </w:p>
        </w:tc>
      </w:tr>
      <w:tr>
        <w:trPr>
          <w:trHeight w:val="169"/>
        </w:trPr>
        <w:tc>
          <w:tcPr>
            <w:tcW w:w="3920" w:type="dxa"/>
            <w:vAlign w:val="bottom"/>
            <w:gridSpan w:val="2"/>
          </w:tcPr>
          <w:p>
            <w:pPr>
              <w:spacing w:after="0" w:line="169" w:lineRule="exact"/>
              <w:rPr>
                <w:sz w:val="20"/>
                <w:szCs w:val="20"/>
                <w:color w:val="auto"/>
              </w:rPr>
            </w:pPr>
            <w:r>
              <w:rPr>
                <w:rFonts w:ascii="Arial" w:cs="Arial" w:eastAsia="Arial" w:hAnsi="Arial"/>
                <w:sz w:val="15"/>
                <w:szCs w:val="15"/>
                <w:color w:val="auto"/>
              </w:rPr>
              <w:t>Other Costs and Expenses:</w:t>
            </w: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76"/>
        </w:trPr>
        <w:tc>
          <w:tcPr>
            <w:tcW w:w="392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Lease expense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1,349</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777</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1,110</w:t>
            </w: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3,236</w:t>
            </w:r>
          </w:p>
        </w:tc>
        <w:tc>
          <w:tcPr>
            <w:tcW w:w="140" w:type="dxa"/>
            <w:vAlign w:val="bottom"/>
            <w:shd w:val="clear" w:color="auto" w:fill="CFF0FC"/>
          </w:tcPr>
          <w:p>
            <w:pPr>
              <w:spacing w:after="0"/>
              <w:rPr>
                <w:sz w:val="15"/>
                <w:szCs w:val="15"/>
                <w:color w:val="auto"/>
              </w:rPr>
            </w:pPr>
          </w:p>
        </w:tc>
      </w:tr>
      <w:tr>
        <w:trPr>
          <w:trHeight w:val="175"/>
        </w:trPr>
        <w:tc>
          <w:tcPr>
            <w:tcW w:w="3920" w:type="dxa"/>
            <w:vAlign w:val="bottom"/>
            <w:gridSpan w:val="2"/>
          </w:tcPr>
          <w:p>
            <w:pPr>
              <w:ind w:left="260"/>
              <w:spacing w:after="0"/>
              <w:rPr>
                <w:sz w:val="20"/>
                <w:szCs w:val="20"/>
                <w:color w:val="auto"/>
              </w:rPr>
            </w:pPr>
            <w:r>
              <w:rPr>
                <w:rFonts w:ascii="Arial" w:cs="Arial" w:eastAsia="Arial" w:hAnsi="Arial"/>
                <w:sz w:val="15"/>
                <w:szCs w:val="15"/>
                <w:color w:val="auto"/>
              </w:rPr>
              <w:t>Administrative and general</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30,112</w:t>
            </w:r>
          </w:p>
        </w:tc>
        <w:tc>
          <w:tcPr>
            <w:tcW w:w="140" w:type="dxa"/>
            <w:vAlign w:val="bottom"/>
          </w:tcPr>
          <w:p>
            <w:pPr>
              <w:spacing w:after="0"/>
              <w:rPr>
                <w:sz w:val="15"/>
                <w:szCs w:val="15"/>
                <w:color w:val="auto"/>
              </w:rPr>
            </w:pPr>
          </w:p>
        </w:tc>
      </w:tr>
      <w:tr>
        <w:trPr>
          <w:trHeight w:val="176"/>
        </w:trPr>
        <w:tc>
          <w:tcPr>
            <w:tcW w:w="392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1,483</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14,927</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11,381</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14,263</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279</w:t>
            </w:r>
          </w:p>
        </w:tc>
        <w:tc>
          <w:tcPr>
            <w:tcW w:w="30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42,333</w:t>
            </w:r>
          </w:p>
        </w:tc>
        <w:tc>
          <w:tcPr>
            <w:tcW w:w="140" w:type="dxa"/>
            <w:vAlign w:val="bottom"/>
            <w:shd w:val="clear" w:color="auto" w:fill="CFF0FC"/>
          </w:tcPr>
          <w:p>
            <w:pPr>
              <w:spacing w:after="0"/>
              <w:rPr>
                <w:sz w:val="15"/>
                <w:szCs w:val="15"/>
                <w:color w:val="auto"/>
              </w:rPr>
            </w:pPr>
          </w:p>
        </w:tc>
      </w:tr>
      <w:tr>
        <w:trPr>
          <w:trHeight w:val="169"/>
        </w:trPr>
        <w:tc>
          <w:tcPr>
            <w:tcW w:w="1500" w:type="dxa"/>
            <w:vAlign w:val="bottom"/>
            <w:tcBorders>
              <w:bottom w:val="single" w:sz="8" w:color="CFF0FC"/>
            </w:tcBorders>
          </w:tcPr>
          <w:p>
            <w:pPr>
              <w:spacing w:after="0"/>
              <w:rPr>
                <w:sz w:val="14"/>
                <w:szCs w:val="14"/>
                <w:color w:val="auto"/>
              </w:rPr>
            </w:pPr>
          </w:p>
        </w:tc>
        <w:tc>
          <w:tcPr>
            <w:tcW w:w="24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2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20" w:type="dxa"/>
            <w:vAlign w:val="bottom"/>
            <w:tcBorders>
              <w:bottom w:val="single" w:sz="8" w:color="CFF0FC"/>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40" w:type="dxa"/>
            <w:vAlign w:val="bottom"/>
            <w:tcBorders>
              <w:bottom w:val="single" w:sz="8" w:color="CFF0FC"/>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75,681</w:t>
            </w:r>
          </w:p>
        </w:tc>
        <w:tc>
          <w:tcPr>
            <w:tcW w:w="140" w:type="dxa"/>
            <w:vAlign w:val="bottom"/>
            <w:tcBorders>
              <w:bottom w:val="single" w:sz="8" w:color="CFF0FC"/>
            </w:tcBorders>
          </w:tcPr>
          <w:p>
            <w:pPr>
              <w:spacing w:after="0"/>
              <w:rPr>
                <w:sz w:val="14"/>
                <w:szCs w:val="14"/>
                <w:color w:val="auto"/>
              </w:rPr>
            </w:pPr>
          </w:p>
        </w:tc>
      </w:tr>
      <w:tr>
        <w:trPr>
          <w:trHeight w:val="169"/>
        </w:trPr>
        <w:tc>
          <w:tcPr>
            <w:tcW w:w="3920" w:type="dxa"/>
            <w:vAlign w:val="bottom"/>
            <w:gridSpan w:val="2"/>
            <w:shd w:val="clear" w:color="auto" w:fill="CFF0FC"/>
          </w:tcPr>
          <w:p>
            <w:pPr>
              <w:spacing w:after="0" w:line="169" w:lineRule="exact"/>
              <w:rPr>
                <w:sz w:val="20"/>
                <w:szCs w:val="20"/>
                <w:color w:val="auto"/>
              </w:rPr>
            </w:pPr>
            <w:r>
              <w:rPr>
                <w:rFonts w:ascii="Arial" w:cs="Arial" w:eastAsia="Arial" w:hAnsi="Arial"/>
                <w:sz w:val="15"/>
                <w:szCs w:val="15"/>
                <w:color w:val="auto"/>
              </w:rPr>
              <w:t>Gains on Asset Dispositions and Impairments</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381</w:t>
            </w:r>
          </w:p>
        </w:tc>
        <w:tc>
          <w:tcPr>
            <w:tcW w:w="140" w:type="dxa"/>
            <w:vAlign w:val="bottom"/>
            <w:shd w:val="clear" w:color="auto" w:fill="CFF0FC"/>
          </w:tcPr>
          <w:p>
            <w:pPr>
              <w:spacing w:after="0"/>
              <w:rPr>
                <w:sz w:val="14"/>
                <w:szCs w:val="14"/>
                <w:color w:val="auto"/>
              </w:rPr>
            </w:pPr>
          </w:p>
        </w:tc>
      </w:tr>
      <w:tr>
        <w:trPr>
          <w:trHeight w:val="209"/>
        </w:trPr>
        <w:tc>
          <w:tcPr>
            <w:tcW w:w="3920" w:type="dxa"/>
            <w:vAlign w:val="bottom"/>
            <w:gridSpan w:val="2"/>
          </w:tcPr>
          <w:p>
            <w:pPr>
              <w:spacing w:after="0" w:line="169" w:lineRule="exact"/>
              <w:rPr>
                <w:sz w:val="20"/>
                <w:szCs w:val="20"/>
                <w:color w:val="auto"/>
              </w:rPr>
            </w:pPr>
            <w:r>
              <w:rPr>
                <w:rFonts w:ascii="Arial" w:cs="Arial" w:eastAsia="Arial" w:hAnsi="Arial"/>
                <w:sz w:val="15"/>
                <w:szCs w:val="15"/>
                <w:color w:val="auto"/>
              </w:rPr>
              <w:t>Operating Loss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jc w:val="right"/>
              <w:ind w:right="55"/>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(43,548)</w:t>
            </w:r>
          </w:p>
        </w:tc>
      </w:tr>
      <w:tr>
        <w:trPr>
          <w:trHeight w:val="197"/>
        </w:trPr>
        <w:tc>
          <w:tcPr>
            <w:tcW w:w="39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As of September 30, 2022</w:t>
            </w:r>
          </w:p>
        </w:tc>
        <w:tc>
          <w:tcPr>
            <w:tcW w:w="14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r>
      <w:tr>
        <w:trPr>
          <w:trHeight w:val="213"/>
        </w:trPr>
        <w:tc>
          <w:tcPr>
            <w:tcW w:w="3920" w:type="dxa"/>
            <w:vAlign w:val="bottom"/>
            <w:gridSpan w:val="2"/>
          </w:tcPr>
          <w:p>
            <w:pPr>
              <w:spacing w:after="0"/>
              <w:rPr>
                <w:sz w:val="20"/>
                <w:szCs w:val="20"/>
                <w:color w:val="auto"/>
              </w:rPr>
            </w:pPr>
            <w:r>
              <w:rPr>
                <w:rFonts w:ascii="Arial" w:cs="Arial" w:eastAsia="Arial" w:hAnsi="Arial"/>
                <w:sz w:val="16"/>
                <w:szCs w:val="16"/>
                <w:color w:val="auto"/>
              </w:rPr>
              <w:t>Property and Equipment:</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39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Historical cost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27,838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355,116</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282,599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290,528</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36,342</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3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992,423</w:t>
            </w:r>
          </w:p>
        </w:tc>
        <w:tc>
          <w:tcPr>
            <w:tcW w:w="140" w:type="dxa"/>
            <w:vAlign w:val="bottom"/>
            <w:shd w:val="clear" w:color="auto" w:fill="CFF0FC"/>
          </w:tcPr>
          <w:p>
            <w:pPr>
              <w:spacing w:after="0"/>
              <w:rPr>
                <w:sz w:val="19"/>
                <w:szCs w:val="19"/>
                <w:color w:val="auto"/>
              </w:rPr>
            </w:pPr>
          </w:p>
        </w:tc>
      </w:tr>
      <w:tr>
        <w:trPr>
          <w:trHeight w:val="216"/>
        </w:trPr>
        <w:tc>
          <w:tcPr>
            <w:tcW w:w="3920" w:type="dxa"/>
            <w:vAlign w:val="bottom"/>
            <w:gridSpan w:val="2"/>
          </w:tcPr>
          <w:p>
            <w:pPr>
              <w:ind w:left="260"/>
              <w:spacing w:after="0"/>
              <w:rPr>
                <w:sz w:val="20"/>
                <w:szCs w:val="20"/>
                <w:color w:val="auto"/>
              </w:rPr>
            </w:pPr>
            <w:r>
              <w:rPr>
                <w:rFonts w:ascii="Arial" w:cs="Arial" w:eastAsia="Arial" w:hAnsi="Arial"/>
                <w:sz w:val="16"/>
                <w:szCs w:val="16"/>
                <w:color w:val="auto"/>
              </w:rPr>
              <w:t>Accumulated depreciation</w:t>
            </w: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(18,396)</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(126,048)</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(32,103)</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(123,779)</w:t>
            </w: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(21,572)</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(321,898)</w:t>
            </w:r>
          </w:p>
        </w:tc>
      </w:tr>
      <w:tr>
        <w:trPr>
          <w:trHeight w:val="206"/>
        </w:trPr>
        <w:tc>
          <w:tcPr>
            <w:tcW w:w="1500" w:type="dxa"/>
            <w:vAlign w:val="bottom"/>
            <w:tcBorders>
              <w:top w:val="single" w:sz="8" w:color="CFF0FC"/>
              <w:bottom w:val="single" w:sz="8" w:color="CFF0FC"/>
            </w:tcBorders>
            <w:shd w:val="clear" w:color="auto" w:fill="CFF0FC"/>
          </w:tcPr>
          <w:p>
            <w:pPr>
              <w:spacing w:after="0"/>
              <w:rPr>
                <w:sz w:val="17"/>
                <w:szCs w:val="17"/>
                <w:color w:val="auto"/>
              </w:rPr>
            </w:pPr>
          </w:p>
        </w:tc>
        <w:tc>
          <w:tcPr>
            <w:tcW w:w="24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9,442</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229,068</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250,496</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166,749</w:t>
            </w:r>
          </w:p>
        </w:tc>
        <w:tc>
          <w:tcPr>
            <w:tcW w:w="30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14,770</w:t>
            </w:r>
          </w:p>
        </w:tc>
        <w:tc>
          <w:tcPr>
            <w:tcW w:w="30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670,525</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19"/>
        </w:trPr>
        <w:tc>
          <w:tcPr>
            <w:tcW w:w="1500" w:type="dxa"/>
            <w:vAlign w:val="bottom"/>
            <w:tcBorders>
              <w:bottom w:val="single" w:sz="8" w:color="auto"/>
            </w:tcBorders>
          </w:tcPr>
          <w:p>
            <w:pPr>
              <w:spacing w:after="0"/>
              <w:rPr>
                <w:sz w:val="10"/>
                <w:szCs w:val="10"/>
                <w:color w:val="auto"/>
              </w:rPr>
            </w:pPr>
          </w:p>
        </w:tc>
        <w:tc>
          <w:tcPr>
            <w:tcW w:w="2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r>
    </w:tbl>
    <w:p>
      <w:pPr>
        <w:spacing w:after="0" w:line="22" w:lineRule="exact"/>
        <w:rPr>
          <w:sz w:val="20"/>
          <w:szCs w:val="20"/>
          <w:color w:val="auto"/>
        </w:rPr>
      </w:pPr>
    </w:p>
    <w:p>
      <w:pPr>
        <w:ind w:left="760" w:hanging="752"/>
        <w:spacing w:after="0"/>
        <w:tabs>
          <w:tab w:leader="none" w:pos="7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 the second quarter of 2022, the Company removed from service one specialty vessel. Other activity statistics reflect the removed from service status of this vessel.</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7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Anchor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line="162" w:lineRule="exact"/>
              <w:rPr>
                <w:sz w:val="20"/>
                <w:szCs w:val="20"/>
                <w:color w:val="auto"/>
              </w:rPr>
            </w:pPr>
            <w:r>
              <w:rPr>
                <w:rFonts w:ascii="Arial" w:cs="Arial" w:eastAsia="Arial" w:hAnsi="Arial"/>
                <w:sz w:val="15"/>
                <w:szCs w:val="15"/>
                <w:b w:val="1"/>
                <w:bCs w:val="1"/>
                <w:color w:val="auto"/>
                <w:w w:val="92"/>
              </w:rPr>
              <w:t>handling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90"/>
              </w:rPr>
              <w:t>towing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60"/>
              <w:spacing w:after="0" w:line="162" w:lineRule="exact"/>
              <w:rPr>
                <w:sz w:val="20"/>
                <w:szCs w:val="20"/>
                <w:color w:val="auto"/>
              </w:rPr>
            </w:pPr>
            <w:r>
              <w:rPr>
                <w:rFonts w:ascii="Arial" w:cs="Arial" w:eastAsia="Arial" w:hAnsi="Arial"/>
                <w:sz w:val="15"/>
                <w:szCs w:val="15"/>
                <w:b w:val="1"/>
                <w:bCs w:val="1"/>
                <w:color w:val="auto"/>
              </w:rPr>
              <w:t>Fast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00"/>
              <w:spacing w:after="0" w:line="162" w:lineRule="exact"/>
              <w:rPr>
                <w:sz w:val="20"/>
                <w:szCs w:val="20"/>
                <w:color w:val="auto"/>
              </w:rPr>
            </w:pPr>
            <w:r>
              <w:rPr>
                <w:rFonts w:ascii="Arial" w:cs="Arial" w:eastAsia="Arial" w:hAnsi="Arial"/>
                <w:sz w:val="15"/>
                <w:szCs w:val="15"/>
                <w:b w:val="1"/>
                <w:bCs w:val="1"/>
                <w:color w:val="auto"/>
              </w:rPr>
              <w:t>Other</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9"/>
        </w:trPr>
        <w:tc>
          <w:tcPr>
            <w:tcW w:w="3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0"/>
              </w:rPr>
              <w:t>supply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w w:val="96"/>
              </w:rPr>
              <w:t>support</w:t>
            </w:r>
          </w:p>
        </w:tc>
        <w:tc>
          <w:tcPr>
            <w:tcW w:w="14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5"/>
              </w:rPr>
              <w:t>Supply</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5"/>
                <w:szCs w:val="15"/>
                <w:b w:val="1"/>
                <w:bCs w:val="1"/>
                <w:color w:val="auto"/>
              </w:rPr>
              <w:t>Specialty</w:t>
            </w:r>
          </w:p>
        </w:tc>
        <w:tc>
          <w:tcPr>
            <w:tcW w:w="100" w:type="dxa"/>
            <w:vAlign w:val="bottom"/>
          </w:tcPr>
          <w:p>
            <w:pPr>
              <w:spacing w:after="0"/>
              <w:rPr>
                <w:sz w:val="15"/>
                <w:szCs w:val="15"/>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w w:val="94"/>
              </w:rPr>
              <w:t>Liftboats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activity</w:t>
            </w:r>
          </w:p>
        </w:tc>
        <w:tc>
          <w:tcPr>
            <w:tcW w:w="160" w:type="dxa"/>
            <w:vAlign w:val="bottom"/>
          </w:tcPr>
          <w:p>
            <w:pPr>
              <w:spacing w:after="0"/>
              <w:rPr>
                <w:sz w:val="15"/>
                <w:szCs w:val="15"/>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Total</w:t>
            </w:r>
          </w:p>
        </w:tc>
      </w:tr>
      <w:tr>
        <w:trPr>
          <w:trHeight w:val="169"/>
        </w:trPr>
        <w:tc>
          <w:tcPr>
            <w:tcW w:w="352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For the Three Months Ended September 30, 2021</w:t>
            </w:r>
          </w:p>
        </w:tc>
        <w:tc>
          <w:tcPr>
            <w:tcW w:w="1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r>
      <w:tr>
        <w:trPr>
          <w:trHeight w:val="176"/>
        </w:trPr>
        <w:tc>
          <w:tcPr>
            <w:tcW w:w="3520" w:type="dxa"/>
            <w:vAlign w:val="bottom"/>
          </w:tcPr>
          <w:p>
            <w:pPr>
              <w:spacing w:after="0"/>
              <w:rPr>
                <w:sz w:val="20"/>
                <w:szCs w:val="20"/>
                <w:color w:val="auto"/>
              </w:rPr>
            </w:pPr>
            <w:r>
              <w:rPr>
                <w:rFonts w:ascii="Arial" w:cs="Arial" w:eastAsia="Arial" w:hAnsi="Arial"/>
                <w:sz w:val="15"/>
                <w:szCs w:val="15"/>
                <w:color w:val="auto"/>
              </w:rPr>
              <w:t>Time Charter Statistics: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5"/>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Average Rates Per Day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14,346</w:t>
            </w:r>
          </w:p>
        </w:tc>
        <w:tc>
          <w:tcPr>
            <w:tcW w:w="2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8,455</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11,631</w:t>
            </w:r>
          </w:p>
        </w:tc>
        <w:tc>
          <w:tcPr>
            <w:tcW w:w="2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23,137</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12,120</w:t>
            </w:r>
          </w:p>
        </w:tc>
        <w:tc>
          <w:tcPr>
            <w:tcW w:w="140" w:type="dxa"/>
            <w:vAlign w:val="bottom"/>
            <w:shd w:val="clear" w:color="auto" w:fill="CFF0FC"/>
          </w:tcPr>
          <w:p>
            <w:pPr>
              <w:spacing w:after="0"/>
              <w:rPr>
                <w:sz w:val="15"/>
                <w:szCs w:val="15"/>
                <w:color w:val="auto"/>
              </w:rPr>
            </w:pPr>
          </w:p>
        </w:tc>
      </w:tr>
      <w:tr>
        <w:trPr>
          <w:trHeight w:val="176"/>
        </w:trPr>
        <w:tc>
          <w:tcPr>
            <w:tcW w:w="3520" w:type="dxa"/>
            <w:vAlign w:val="bottom"/>
          </w:tcPr>
          <w:p>
            <w:pPr>
              <w:ind w:left="260"/>
              <w:spacing w:after="0"/>
              <w:rPr>
                <w:sz w:val="20"/>
                <w:szCs w:val="20"/>
                <w:color w:val="auto"/>
              </w:rPr>
            </w:pPr>
            <w:r>
              <w:rPr>
                <w:rFonts w:ascii="Arial" w:cs="Arial" w:eastAsia="Arial" w:hAnsi="Arial"/>
                <w:sz w:val="15"/>
                <w:szCs w:val="15"/>
                <w:color w:val="auto"/>
              </w:rPr>
              <w:t>Fleet Utilization</w:t>
            </w:r>
          </w:p>
        </w:tc>
        <w:tc>
          <w:tcPr>
            <w:tcW w:w="1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66%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70%</w:t>
            </w:r>
          </w:p>
        </w:tc>
        <w:tc>
          <w:tcPr>
            <w:tcW w:w="1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77%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5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55%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5"/>
                <w:szCs w:val="15"/>
                <w:color w:val="auto"/>
              </w:rPr>
              <w:t>68%</w:t>
            </w:r>
          </w:p>
        </w:tc>
      </w:tr>
      <w:tr>
        <w:trPr>
          <w:trHeight w:val="175"/>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Fleet Available Days</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552</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2,208</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1,372</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92</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884</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5,108</w:t>
            </w:r>
          </w:p>
        </w:tc>
        <w:tc>
          <w:tcPr>
            <w:tcW w:w="140" w:type="dxa"/>
            <w:vAlign w:val="bottom"/>
            <w:shd w:val="clear" w:color="auto" w:fill="CFF0FC"/>
          </w:tcPr>
          <w:p>
            <w:pPr>
              <w:spacing w:after="0"/>
              <w:rPr>
                <w:sz w:val="15"/>
                <w:szCs w:val="15"/>
                <w:color w:val="auto"/>
              </w:rPr>
            </w:pPr>
          </w:p>
        </w:tc>
      </w:tr>
      <w:tr>
        <w:trPr>
          <w:trHeight w:val="176"/>
        </w:trPr>
        <w:tc>
          <w:tcPr>
            <w:tcW w:w="3520" w:type="dxa"/>
            <w:vAlign w:val="bottom"/>
          </w:tcPr>
          <w:p>
            <w:pPr>
              <w:spacing w:after="0"/>
              <w:rPr>
                <w:sz w:val="20"/>
                <w:szCs w:val="20"/>
                <w:color w:val="auto"/>
              </w:rPr>
            </w:pPr>
            <w:r>
              <w:rPr>
                <w:rFonts w:ascii="Arial" w:cs="Arial" w:eastAsia="Arial" w:hAnsi="Arial"/>
                <w:sz w:val="15"/>
                <w:szCs w:val="15"/>
                <w:color w:val="auto"/>
              </w:rPr>
              <w:t>Operating Revenues: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6"/>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Time charter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5,224</w:t>
            </w:r>
          </w:p>
        </w:tc>
        <w:tc>
          <w:tcPr>
            <w:tcW w:w="2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13,007</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12,317</w:t>
            </w:r>
          </w:p>
        </w:tc>
        <w:tc>
          <w:tcPr>
            <w:tcW w:w="2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11,234</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41,782</w:t>
            </w:r>
          </w:p>
        </w:tc>
        <w:tc>
          <w:tcPr>
            <w:tcW w:w="140" w:type="dxa"/>
            <w:vAlign w:val="bottom"/>
            <w:shd w:val="clear" w:color="auto" w:fill="CFF0FC"/>
          </w:tcPr>
          <w:p>
            <w:pPr>
              <w:spacing w:after="0"/>
              <w:rPr>
                <w:sz w:val="15"/>
                <w:szCs w:val="15"/>
                <w:color w:val="auto"/>
              </w:rPr>
            </w:pPr>
          </w:p>
        </w:tc>
      </w:tr>
      <w:tr>
        <w:trPr>
          <w:trHeight w:val="175"/>
        </w:trPr>
        <w:tc>
          <w:tcPr>
            <w:tcW w:w="3520" w:type="dxa"/>
            <w:vAlign w:val="bottom"/>
          </w:tcPr>
          <w:p>
            <w:pPr>
              <w:ind w:left="260"/>
              <w:spacing w:after="0"/>
              <w:rPr>
                <w:sz w:val="20"/>
                <w:szCs w:val="20"/>
                <w:color w:val="auto"/>
              </w:rPr>
            </w:pPr>
            <w:r>
              <w:rPr>
                <w:rFonts w:ascii="Arial" w:cs="Arial" w:eastAsia="Arial" w:hAnsi="Arial"/>
                <w:sz w:val="15"/>
                <w:szCs w:val="15"/>
                <w:color w:val="auto"/>
              </w:rPr>
              <w:t>Other marine services</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(151)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(121)</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221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997</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935</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1,881</w:t>
            </w:r>
          </w:p>
        </w:tc>
        <w:tc>
          <w:tcPr>
            <w:tcW w:w="140" w:type="dxa"/>
            <w:vAlign w:val="bottom"/>
          </w:tcPr>
          <w:p>
            <w:pPr>
              <w:spacing w:after="0"/>
              <w:rPr>
                <w:sz w:val="15"/>
                <w:szCs w:val="15"/>
                <w:color w:val="auto"/>
              </w:rPr>
            </w:pPr>
          </w:p>
        </w:tc>
      </w:tr>
      <w:tr>
        <w:trPr>
          <w:trHeight w:val="169"/>
        </w:trPr>
        <w:tc>
          <w:tcPr>
            <w:tcW w:w="35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5,073</w:t>
            </w: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12,886</w:t>
            </w: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12,538</w:t>
            </w: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2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12,231</w:t>
            </w: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935</w:t>
            </w:r>
          </w:p>
        </w:tc>
        <w:tc>
          <w:tcPr>
            <w:tcW w:w="26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43,663</w:t>
            </w:r>
          </w:p>
        </w:tc>
        <w:tc>
          <w:tcPr>
            <w:tcW w:w="140" w:type="dxa"/>
            <w:vAlign w:val="bottom"/>
            <w:tcBorders>
              <w:top w:val="single" w:sz="8" w:color="CFF0FC"/>
            </w:tcBorders>
            <w:shd w:val="clear" w:color="auto" w:fill="CFF0FC"/>
          </w:tcPr>
          <w:p>
            <w:pPr>
              <w:spacing w:after="0"/>
              <w:rPr>
                <w:sz w:val="14"/>
                <w:szCs w:val="14"/>
                <w:color w:val="auto"/>
              </w:rPr>
            </w:pPr>
          </w:p>
        </w:tc>
      </w:tr>
      <w:tr>
        <w:trPr>
          <w:trHeight w:val="169"/>
        </w:trPr>
        <w:tc>
          <w:tcPr>
            <w:tcW w:w="3520" w:type="dxa"/>
            <w:vAlign w:val="bottom"/>
          </w:tcPr>
          <w:p>
            <w:pPr>
              <w:spacing w:after="0" w:line="169" w:lineRule="exact"/>
              <w:rPr>
                <w:sz w:val="20"/>
                <w:szCs w:val="20"/>
                <w:color w:val="auto"/>
              </w:rPr>
            </w:pPr>
            <w:r>
              <w:rPr>
                <w:rFonts w:ascii="Arial" w:cs="Arial" w:eastAsia="Arial" w:hAnsi="Arial"/>
                <w:sz w:val="15"/>
                <w:szCs w:val="15"/>
                <w:color w:val="auto"/>
              </w:rPr>
              <w:t>Direct Costs and Expenses: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5"/>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Operating:</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76"/>
        </w:trPr>
        <w:tc>
          <w:tcPr>
            <w:tcW w:w="3520" w:type="dxa"/>
            <w:vAlign w:val="bottom"/>
          </w:tcPr>
          <w:p>
            <w:pPr>
              <w:ind w:left="500"/>
              <w:spacing w:after="0"/>
              <w:rPr>
                <w:sz w:val="20"/>
                <w:szCs w:val="20"/>
                <w:color w:val="auto"/>
              </w:rPr>
            </w:pPr>
            <w:r>
              <w:rPr>
                <w:rFonts w:ascii="Arial" w:cs="Arial" w:eastAsia="Arial" w:hAnsi="Arial"/>
                <w:sz w:val="15"/>
                <w:szCs w:val="15"/>
                <w:color w:val="auto"/>
              </w:rPr>
              <w:t>Personnel</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1,584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4,588</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4,738</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4,033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73</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15,051</w:t>
            </w:r>
          </w:p>
        </w:tc>
        <w:tc>
          <w:tcPr>
            <w:tcW w:w="140" w:type="dxa"/>
            <w:vAlign w:val="bottom"/>
          </w:tcPr>
          <w:p>
            <w:pPr>
              <w:spacing w:after="0"/>
              <w:rPr>
                <w:sz w:val="15"/>
                <w:szCs w:val="15"/>
                <w:color w:val="auto"/>
              </w:rPr>
            </w:pPr>
          </w:p>
        </w:tc>
      </w:tr>
      <w:tr>
        <w:trPr>
          <w:trHeight w:val="175"/>
        </w:trPr>
        <w:tc>
          <w:tcPr>
            <w:tcW w:w="35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Repairs and maintenance</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1,044</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2,313</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2,078</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1,104</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(10)</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6,536</w:t>
            </w:r>
          </w:p>
        </w:tc>
        <w:tc>
          <w:tcPr>
            <w:tcW w:w="140" w:type="dxa"/>
            <w:vAlign w:val="bottom"/>
            <w:shd w:val="clear" w:color="auto" w:fill="CFF0FC"/>
          </w:tcPr>
          <w:p>
            <w:pPr>
              <w:spacing w:after="0"/>
              <w:rPr>
                <w:sz w:val="15"/>
                <w:szCs w:val="15"/>
                <w:color w:val="auto"/>
              </w:rPr>
            </w:pPr>
          </w:p>
        </w:tc>
      </w:tr>
      <w:tr>
        <w:trPr>
          <w:trHeight w:val="176"/>
        </w:trPr>
        <w:tc>
          <w:tcPr>
            <w:tcW w:w="3520" w:type="dxa"/>
            <w:vAlign w:val="bottom"/>
          </w:tcPr>
          <w:p>
            <w:pPr>
              <w:ind w:left="500"/>
              <w:spacing w:after="0"/>
              <w:rPr>
                <w:sz w:val="20"/>
                <w:szCs w:val="20"/>
                <w:color w:val="auto"/>
              </w:rPr>
            </w:pPr>
            <w:r>
              <w:rPr>
                <w:rFonts w:ascii="Arial" w:cs="Arial" w:eastAsia="Arial" w:hAnsi="Arial"/>
                <w:sz w:val="15"/>
                <w:szCs w:val="15"/>
                <w:color w:val="auto"/>
              </w:rPr>
              <w:t>Drydocking</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(217)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965</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771</w:t>
            </w:r>
          </w:p>
        </w:tc>
        <w:tc>
          <w:tcPr>
            <w:tcW w:w="140" w:type="dxa"/>
            <w:vAlign w:val="bottom"/>
          </w:tcPr>
          <w:p>
            <w:pPr>
              <w:spacing w:after="0"/>
              <w:rPr>
                <w:sz w:val="15"/>
                <w:szCs w:val="15"/>
                <w:color w:val="auto"/>
              </w:rPr>
            </w:pPr>
          </w:p>
        </w:tc>
      </w:tr>
      <w:tr>
        <w:trPr>
          <w:trHeight w:val="176"/>
        </w:trPr>
        <w:tc>
          <w:tcPr>
            <w:tcW w:w="35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Insurance and loss reserves</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193</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328</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595</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1,170</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(100)</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2,189</w:t>
            </w:r>
          </w:p>
        </w:tc>
        <w:tc>
          <w:tcPr>
            <w:tcW w:w="140" w:type="dxa"/>
            <w:vAlign w:val="bottom"/>
            <w:shd w:val="clear" w:color="auto" w:fill="CFF0FC"/>
          </w:tcPr>
          <w:p>
            <w:pPr>
              <w:spacing w:after="0"/>
              <w:rPr>
                <w:sz w:val="15"/>
                <w:szCs w:val="15"/>
                <w:color w:val="auto"/>
              </w:rPr>
            </w:pPr>
          </w:p>
        </w:tc>
      </w:tr>
      <w:tr>
        <w:trPr>
          <w:trHeight w:val="175"/>
        </w:trPr>
        <w:tc>
          <w:tcPr>
            <w:tcW w:w="3520" w:type="dxa"/>
            <w:vAlign w:val="bottom"/>
          </w:tcPr>
          <w:p>
            <w:pPr>
              <w:ind w:left="500"/>
              <w:spacing w:after="0"/>
              <w:rPr>
                <w:sz w:val="20"/>
                <w:szCs w:val="20"/>
                <w:color w:val="auto"/>
              </w:rPr>
            </w:pPr>
            <w:r>
              <w:rPr>
                <w:rFonts w:ascii="Arial" w:cs="Arial" w:eastAsia="Arial" w:hAnsi="Arial"/>
                <w:sz w:val="15"/>
                <w:szCs w:val="15"/>
                <w:color w:val="auto"/>
              </w:rPr>
              <w:t>Fuel, lubes and supplies</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388</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1,390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1,221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668</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3,684</w:t>
            </w:r>
          </w:p>
        </w:tc>
        <w:tc>
          <w:tcPr>
            <w:tcW w:w="140" w:type="dxa"/>
            <w:vAlign w:val="bottom"/>
          </w:tcPr>
          <w:p>
            <w:pPr>
              <w:spacing w:after="0"/>
              <w:rPr>
                <w:sz w:val="15"/>
                <w:szCs w:val="15"/>
                <w:color w:val="auto"/>
              </w:rPr>
            </w:pPr>
          </w:p>
        </w:tc>
      </w:tr>
      <w:tr>
        <w:trPr>
          <w:trHeight w:val="176"/>
        </w:trPr>
        <w:tc>
          <w:tcPr>
            <w:tcW w:w="35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Other</w:t>
            </w:r>
          </w:p>
        </w:tc>
        <w:tc>
          <w:tcPr>
            <w:tcW w:w="10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408</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2,021</w:t>
            </w:r>
          </w:p>
        </w:tc>
        <w:tc>
          <w:tcPr>
            <w:tcW w:w="28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988</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28</w:t>
            </w:r>
          </w:p>
        </w:tc>
        <w:tc>
          <w:tcPr>
            <w:tcW w:w="28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1,672</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100</w:t>
            </w:r>
          </w:p>
        </w:tc>
        <w:tc>
          <w:tcPr>
            <w:tcW w:w="26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5,217</w:t>
            </w:r>
          </w:p>
        </w:tc>
        <w:tc>
          <w:tcPr>
            <w:tcW w:w="140" w:type="dxa"/>
            <w:vAlign w:val="bottom"/>
            <w:shd w:val="clear" w:color="auto" w:fill="CFF0FC"/>
          </w:tcPr>
          <w:p>
            <w:pPr>
              <w:spacing w:after="0"/>
              <w:rPr>
                <w:sz w:val="15"/>
                <w:szCs w:val="15"/>
                <w:color w:val="auto"/>
              </w:rPr>
            </w:pPr>
          </w:p>
        </w:tc>
      </w:tr>
      <w:tr>
        <w:trPr>
          <w:trHeight w:val="169"/>
        </w:trPr>
        <w:tc>
          <w:tcPr>
            <w:tcW w:w="35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3,400</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11,605</w:t>
            </w: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9,643</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79</w:t>
            </w:r>
          </w:p>
        </w:tc>
        <w:tc>
          <w:tcPr>
            <w:tcW w:w="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8,647</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74</w:t>
            </w: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33,448</w:t>
            </w:r>
          </w:p>
        </w:tc>
        <w:tc>
          <w:tcPr>
            <w:tcW w:w="140" w:type="dxa"/>
            <w:vAlign w:val="bottom"/>
            <w:tcBorders>
              <w:bottom w:val="single" w:sz="8" w:color="CFF0FC"/>
            </w:tcBorders>
          </w:tcPr>
          <w:p>
            <w:pPr>
              <w:spacing w:after="0"/>
              <w:rPr>
                <w:sz w:val="14"/>
                <w:szCs w:val="14"/>
                <w:color w:val="auto"/>
              </w:rPr>
            </w:pPr>
          </w:p>
        </w:tc>
      </w:tr>
      <w:tr>
        <w:trPr>
          <w:trHeight w:val="169"/>
        </w:trPr>
        <w:tc>
          <w:tcPr>
            <w:tcW w:w="35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Other Costs and Expenses:</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76"/>
        </w:trPr>
        <w:tc>
          <w:tcPr>
            <w:tcW w:w="3520" w:type="dxa"/>
            <w:vAlign w:val="bottom"/>
          </w:tcPr>
          <w:p>
            <w:pPr>
              <w:ind w:left="260"/>
              <w:spacing w:after="0"/>
              <w:rPr>
                <w:sz w:val="20"/>
                <w:szCs w:val="20"/>
                <w:color w:val="auto"/>
              </w:rPr>
            </w:pPr>
            <w:r>
              <w:rPr>
                <w:rFonts w:ascii="Arial" w:cs="Arial" w:eastAsia="Arial" w:hAnsi="Arial"/>
                <w:sz w:val="15"/>
                <w:szCs w:val="15"/>
                <w:color w:val="auto"/>
              </w:rPr>
              <w:t>Lease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354</w:t>
            </w:r>
          </w:p>
        </w:tc>
        <w:tc>
          <w:tcPr>
            <w:tcW w:w="200" w:type="dxa"/>
            <w:vAlign w:val="bottom"/>
          </w:tcPr>
          <w:p>
            <w:pPr>
              <w:spacing w:after="0"/>
              <w:rPr>
                <w:sz w:val="15"/>
                <w:szCs w:val="15"/>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693</w:t>
            </w:r>
          </w:p>
        </w:tc>
        <w:tc>
          <w:tcPr>
            <w:tcW w:w="2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(200)</w:t>
            </w: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262</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1,109</w:t>
            </w:r>
          </w:p>
        </w:tc>
        <w:tc>
          <w:tcPr>
            <w:tcW w:w="140" w:type="dxa"/>
            <w:vAlign w:val="bottom"/>
          </w:tcPr>
          <w:p>
            <w:pPr>
              <w:spacing w:after="0"/>
              <w:rPr>
                <w:sz w:val="15"/>
                <w:szCs w:val="15"/>
                <w:color w:val="auto"/>
              </w:rPr>
            </w:pPr>
          </w:p>
        </w:tc>
      </w:tr>
      <w:tr>
        <w:trPr>
          <w:trHeight w:val="176"/>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Administrative and general</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9,134</w:t>
            </w:r>
          </w:p>
        </w:tc>
        <w:tc>
          <w:tcPr>
            <w:tcW w:w="140" w:type="dxa"/>
            <w:vAlign w:val="bottom"/>
            <w:shd w:val="clear" w:color="auto" w:fill="CFF0FC"/>
          </w:tcPr>
          <w:p>
            <w:pPr>
              <w:spacing w:after="0"/>
              <w:rPr>
                <w:sz w:val="15"/>
                <w:szCs w:val="15"/>
                <w:color w:val="auto"/>
              </w:rPr>
            </w:pPr>
          </w:p>
        </w:tc>
      </w:tr>
      <w:tr>
        <w:trPr>
          <w:trHeight w:val="175"/>
        </w:trPr>
        <w:tc>
          <w:tcPr>
            <w:tcW w:w="352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Depreciation and amortization</w:t>
            </w:r>
          </w:p>
        </w:tc>
        <w:tc>
          <w:tcPr>
            <w:tcW w:w="100" w:type="dxa"/>
            <w:vAlign w:val="bottom"/>
            <w:tcBorders>
              <w:bottom w:val="single" w:sz="8" w:color="CFF0FC"/>
            </w:tcBorders>
          </w:tcPr>
          <w:p>
            <w:pPr>
              <w:spacing w:after="0"/>
              <w:rPr>
                <w:sz w:val="15"/>
                <w:szCs w:val="15"/>
                <w:color w:val="auto"/>
              </w:rPr>
            </w:pPr>
          </w:p>
        </w:tc>
        <w:tc>
          <w:tcPr>
            <w:tcW w:w="7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494</w:t>
            </w:r>
          </w:p>
        </w:tc>
        <w:tc>
          <w:tcPr>
            <w:tcW w:w="2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72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4,929</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3,149</w:t>
            </w:r>
          </w:p>
        </w:tc>
        <w:tc>
          <w:tcPr>
            <w:tcW w:w="2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020" w:type="dxa"/>
            <w:vAlign w:val="bottom"/>
            <w:tcBorders>
              <w:bottom w:val="single" w:sz="8" w:color="CFF0FC"/>
            </w:tcBorders>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FF0FC"/>
            </w:tcBorders>
          </w:tcPr>
          <w:p>
            <w:pPr>
              <w:spacing w:after="0"/>
              <w:rPr>
                <w:sz w:val="15"/>
                <w:szCs w:val="15"/>
                <w:color w:val="auto"/>
              </w:rPr>
            </w:pPr>
          </w:p>
        </w:tc>
        <w:tc>
          <w:tcPr>
            <w:tcW w:w="76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5,170</w:t>
            </w:r>
          </w:p>
        </w:tc>
        <w:tc>
          <w:tcPr>
            <w:tcW w:w="1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7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564</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14,306</w:t>
            </w:r>
          </w:p>
        </w:tc>
        <w:tc>
          <w:tcPr>
            <w:tcW w:w="140" w:type="dxa"/>
            <w:vAlign w:val="bottom"/>
            <w:tcBorders>
              <w:bottom w:val="single" w:sz="8" w:color="CFF0FC"/>
            </w:tcBorders>
          </w:tcPr>
          <w:p>
            <w:pPr>
              <w:spacing w:after="0"/>
              <w:rPr>
                <w:sz w:val="15"/>
                <w:szCs w:val="15"/>
                <w:color w:val="auto"/>
              </w:rPr>
            </w:pPr>
          </w:p>
        </w:tc>
      </w:tr>
      <w:tr>
        <w:trPr>
          <w:trHeight w:val="169"/>
        </w:trPr>
        <w:tc>
          <w:tcPr>
            <w:tcW w:w="3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24,549</w:t>
            </w:r>
          </w:p>
        </w:tc>
        <w:tc>
          <w:tcPr>
            <w:tcW w:w="140" w:type="dxa"/>
            <w:vAlign w:val="bottom"/>
            <w:shd w:val="clear" w:color="auto" w:fill="CFF0FC"/>
          </w:tcPr>
          <w:p>
            <w:pPr>
              <w:spacing w:after="0"/>
              <w:rPr>
                <w:sz w:val="14"/>
                <w:szCs w:val="14"/>
                <w:color w:val="auto"/>
              </w:rPr>
            </w:pPr>
          </w:p>
        </w:tc>
      </w:tr>
      <w:tr>
        <w:trPr>
          <w:trHeight w:val="169"/>
        </w:trPr>
        <w:tc>
          <w:tcPr>
            <w:tcW w:w="3520" w:type="dxa"/>
            <w:vAlign w:val="bottom"/>
            <w:tcBorders>
              <w:bottom w:val="single" w:sz="8" w:color="CFF0FC"/>
            </w:tcBorders>
          </w:tcPr>
          <w:p>
            <w:pPr>
              <w:spacing w:after="0" w:line="169" w:lineRule="exact"/>
              <w:rPr>
                <w:sz w:val="20"/>
                <w:szCs w:val="20"/>
                <w:color w:val="auto"/>
              </w:rPr>
            </w:pPr>
            <w:r>
              <w:rPr>
                <w:rFonts w:ascii="Arial" w:cs="Arial" w:eastAsia="Arial" w:hAnsi="Arial"/>
                <w:sz w:val="15"/>
                <w:szCs w:val="15"/>
                <w:color w:val="auto"/>
              </w:rPr>
              <w:t>Gains on Asset Dispositions and Impairments</w:t>
            </w:r>
          </w:p>
        </w:tc>
        <w:tc>
          <w:tcPr>
            <w:tcW w:w="10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72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76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56</w:t>
            </w:r>
          </w:p>
        </w:tc>
        <w:tc>
          <w:tcPr>
            <w:tcW w:w="140" w:type="dxa"/>
            <w:vAlign w:val="bottom"/>
            <w:tcBorders>
              <w:bottom w:val="single" w:sz="8" w:color="CFF0FC"/>
            </w:tcBorders>
          </w:tcPr>
          <w:p>
            <w:pPr>
              <w:spacing w:after="0"/>
              <w:rPr>
                <w:sz w:val="14"/>
                <w:szCs w:val="14"/>
                <w:color w:val="auto"/>
              </w:rPr>
            </w:pPr>
          </w:p>
        </w:tc>
      </w:tr>
      <w:tr>
        <w:trPr>
          <w:trHeight w:val="169"/>
        </w:trPr>
        <w:tc>
          <w:tcPr>
            <w:tcW w:w="35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Operating Loss from Continuing Operations</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(14,278)</w:t>
            </w:r>
          </w:p>
        </w:tc>
      </w:tr>
      <w:tr>
        <w:trPr>
          <w:trHeight w:val="20"/>
        </w:trPr>
        <w:tc>
          <w:tcPr>
            <w:tcW w:w="35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7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Anchor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line="162" w:lineRule="exact"/>
              <w:rPr>
                <w:sz w:val="20"/>
                <w:szCs w:val="20"/>
                <w:color w:val="auto"/>
              </w:rPr>
            </w:pPr>
            <w:r>
              <w:rPr>
                <w:rFonts w:ascii="Arial" w:cs="Arial" w:eastAsia="Arial" w:hAnsi="Arial"/>
                <w:sz w:val="15"/>
                <w:szCs w:val="15"/>
                <w:b w:val="1"/>
                <w:bCs w:val="1"/>
                <w:color w:val="auto"/>
                <w:w w:val="92"/>
              </w:rPr>
              <w:t>handling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90"/>
              </w:rPr>
              <w:t>towing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60"/>
              <w:spacing w:after="0" w:line="162" w:lineRule="exact"/>
              <w:rPr>
                <w:sz w:val="20"/>
                <w:szCs w:val="20"/>
                <w:color w:val="auto"/>
              </w:rPr>
            </w:pPr>
            <w:r>
              <w:rPr>
                <w:rFonts w:ascii="Arial" w:cs="Arial" w:eastAsia="Arial" w:hAnsi="Arial"/>
                <w:sz w:val="15"/>
                <w:szCs w:val="15"/>
                <w:b w:val="1"/>
                <w:bCs w:val="1"/>
                <w:color w:val="auto"/>
              </w:rPr>
              <w:t>Fast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00"/>
              <w:spacing w:after="0" w:line="162" w:lineRule="exact"/>
              <w:rPr>
                <w:sz w:val="20"/>
                <w:szCs w:val="20"/>
                <w:color w:val="auto"/>
              </w:rPr>
            </w:pPr>
            <w:r>
              <w:rPr>
                <w:rFonts w:ascii="Arial" w:cs="Arial" w:eastAsia="Arial" w:hAnsi="Arial"/>
                <w:sz w:val="15"/>
                <w:szCs w:val="15"/>
                <w:b w:val="1"/>
                <w:bCs w:val="1"/>
                <w:color w:val="auto"/>
              </w:rPr>
              <w:t>Other</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9"/>
        </w:trPr>
        <w:tc>
          <w:tcPr>
            <w:tcW w:w="3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0"/>
              </w:rPr>
              <w:t>supply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w w:val="96"/>
              </w:rPr>
              <w:t>support</w:t>
            </w:r>
          </w:p>
        </w:tc>
        <w:tc>
          <w:tcPr>
            <w:tcW w:w="14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5"/>
              </w:rPr>
              <w:t>Supply</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1"/>
              </w:rPr>
              <w:t>Specialty</w:t>
            </w:r>
          </w:p>
        </w:tc>
        <w:tc>
          <w:tcPr>
            <w:tcW w:w="1040" w:type="dxa"/>
            <w:vAlign w:val="bottom"/>
            <w:gridSpan w:val="3"/>
          </w:tcPr>
          <w:p>
            <w:pPr>
              <w:jc w:val="right"/>
              <w:ind w:right="220"/>
              <w:spacing w:after="0"/>
              <w:rPr>
                <w:sz w:val="20"/>
                <w:szCs w:val="20"/>
                <w:color w:val="auto"/>
              </w:rPr>
            </w:pPr>
            <w:r>
              <w:rPr>
                <w:rFonts w:ascii="Arial" w:cs="Arial" w:eastAsia="Arial" w:hAnsi="Arial"/>
                <w:sz w:val="15"/>
                <w:szCs w:val="15"/>
                <w:b w:val="1"/>
                <w:bCs w:val="1"/>
                <w:color w:val="auto"/>
                <w:w w:val="95"/>
              </w:rPr>
              <w:t xml:space="preserve">Liftboats </w:t>
            </w:r>
            <w:r>
              <w:rPr>
                <w:rFonts w:ascii="Arial" w:cs="Arial" w:eastAsia="Arial" w:hAnsi="Arial"/>
                <w:sz w:val="13"/>
                <w:szCs w:val="13"/>
                <w:b w:val="1"/>
                <w:bCs w:val="1"/>
                <w:color w:val="auto"/>
                <w:w w:val="95"/>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activity</w:t>
            </w:r>
          </w:p>
        </w:tc>
        <w:tc>
          <w:tcPr>
            <w:tcW w:w="160" w:type="dxa"/>
            <w:vAlign w:val="bottom"/>
          </w:tcPr>
          <w:p>
            <w:pPr>
              <w:spacing w:after="0"/>
              <w:rPr>
                <w:sz w:val="15"/>
                <w:szCs w:val="15"/>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Total</w:t>
            </w:r>
          </w:p>
        </w:tc>
      </w:tr>
      <w:tr>
        <w:trPr>
          <w:trHeight w:val="169"/>
        </w:trPr>
        <w:tc>
          <w:tcPr>
            <w:tcW w:w="352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For the Nine Months Ended September 30, 2021</w:t>
            </w:r>
          </w:p>
        </w:tc>
        <w:tc>
          <w:tcPr>
            <w:tcW w:w="1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r>
      <w:tr>
        <w:trPr>
          <w:trHeight w:val="176"/>
        </w:trPr>
        <w:tc>
          <w:tcPr>
            <w:tcW w:w="3520" w:type="dxa"/>
            <w:vAlign w:val="bottom"/>
          </w:tcPr>
          <w:p>
            <w:pPr>
              <w:spacing w:after="0"/>
              <w:rPr>
                <w:sz w:val="20"/>
                <w:szCs w:val="20"/>
                <w:color w:val="auto"/>
              </w:rPr>
            </w:pPr>
            <w:r>
              <w:rPr>
                <w:rFonts w:ascii="Arial" w:cs="Arial" w:eastAsia="Arial" w:hAnsi="Arial"/>
                <w:sz w:val="15"/>
                <w:szCs w:val="15"/>
                <w:color w:val="auto"/>
              </w:rPr>
              <w:t>Time Charter Statistics: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5"/>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Average Rates Per Day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11,139</w:t>
            </w:r>
          </w:p>
        </w:tc>
        <w:tc>
          <w:tcPr>
            <w:tcW w:w="2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8,113</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11,870</w:t>
            </w:r>
          </w:p>
        </w:tc>
        <w:tc>
          <w:tcPr>
            <w:tcW w:w="2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1,732</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24,989</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11,837</w:t>
            </w:r>
          </w:p>
        </w:tc>
        <w:tc>
          <w:tcPr>
            <w:tcW w:w="140" w:type="dxa"/>
            <w:vAlign w:val="bottom"/>
            <w:shd w:val="clear" w:color="auto" w:fill="CFF0FC"/>
          </w:tcPr>
          <w:p>
            <w:pPr>
              <w:spacing w:after="0"/>
              <w:rPr>
                <w:sz w:val="15"/>
                <w:szCs w:val="15"/>
                <w:color w:val="auto"/>
              </w:rPr>
            </w:pPr>
          </w:p>
        </w:tc>
      </w:tr>
      <w:tr>
        <w:trPr>
          <w:trHeight w:val="176"/>
        </w:trPr>
        <w:tc>
          <w:tcPr>
            <w:tcW w:w="3520" w:type="dxa"/>
            <w:vAlign w:val="bottom"/>
          </w:tcPr>
          <w:p>
            <w:pPr>
              <w:ind w:left="260"/>
              <w:spacing w:after="0"/>
              <w:rPr>
                <w:sz w:val="20"/>
                <w:szCs w:val="20"/>
                <w:color w:val="auto"/>
              </w:rPr>
            </w:pPr>
            <w:r>
              <w:rPr>
                <w:rFonts w:ascii="Arial" w:cs="Arial" w:eastAsia="Arial" w:hAnsi="Arial"/>
                <w:sz w:val="15"/>
                <w:szCs w:val="15"/>
                <w:color w:val="auto"/>
              </w:rPr>
              <w:t>Fleet Utilization</w:t>
            </w:r>
          </w:p>
        </w:tc>
        <w:tc>
          <w:tcPr>
            <w:tcW w:w="1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64%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67%</w:t>
            </w:r>
          </w:p>
        </w:tc>
        <w:tc>
          <w:tcPr>
            <w:tcW w:w="1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74%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64%</w:t>
            </w:r>
          </w:p>
        </w:tc>
        <w:tc>
          <w:tcPr>
            <w:tcW w:w="18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5"/>
                <w:szCs w:val="15"/>
                <w:color w:val="auto"/>
              </w:rPr>
              <w:t>42%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5"/>
                <w:szCs w:val="15"/>
                <w:color w:val="auto"/>
              </w:rPr>
              <w:t>63%</w:t>
            </w:r>
          </w:p>
        </w:tc>
      </w:tr>
      <w:tr>
        <w:trPr>
          <w:trHeight w:val="175"/>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Fleet Available Days</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1,638</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6,514</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3,964</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273</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3,401</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15,790</w:t>
            </w:r>
          </w:p>
        </w:tc>
        <w:tc>
          <w:tcPr>
            <w:tcW w:w="140" w:type="dxa"/>
            <w:vAlign w:val="bottom"/>
            <w:shd w:val="clear" w:color="auto" w:fill="CFF0FC"/>
          </w:tcPr>
          <w:p>
            <w:pPr>
              <w:spacing w:after="0"/>
              <w:rPr>
                <w:sz w:val="15"/>
                <w:szCs w:val="15"/>
                <w:color w:val="auto"/>
              </w:rPr>
            </w:pPr>
          </w:p>
        </w:tc>
      </w:tr>
      <w:tr>
        <w:trPr>
          <w:trHeight w:val="176"/>
        </w:trPr>
        <w:tc>
          <w:tcPr>
            <w:tcW w:w="3520" w:type="dxa"/>
            <w:vAlign w:val="bottom"/>
          </w:tcPr>
          <w:p>
            <w:pPr>
              <w:spacing w:after="0"/>
              <w:rPr>
                <w:sz w:val="20"/>
                <w:szCs w:val="20"/>
                <w:color w:val="auto"/>
              </w:rPr>
            </w:pPr>
            <w:r>
              <w:rPr>
                <w:rFonts w:ascii="Arial" w:cs="Arial" w:eastAsia="Arial" w:hAnsi="Arial"/>
                <w:sz w:val="15"/>
                <w:szCs w:val="15"/>
                <w:color w:val="auto"/>
              </w:rPr>
              <w:t>Operating Revenues: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6"/>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Time charter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11,665</w:t>
            </w:r>
          </w:p>
        </w:tc>
        <w:tc>
          <w:tcPr>
            <w:tcW w:w="2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35,491</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34,578</w:t>
            </w:r>
          </w:p>
        </w:tc>
        <w:tc>
          <w:tcPr>
            <w:tcW w:w="2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301</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35,511</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117,546</w:t>
            </w:r>
          </w:p>
        </w:tc>
        <w:tc>
          <w:tcPr>
            <w:tcW w:w="140" w:type="dxa"/>
            <w:vAlign w:val="bottom"/>
            <w:shd w:val="clear" w:color="auto" w:fill="CFF0FC"/>
          </w:tcPr>
          <w:p>
            <w:pPr>
              <w:spacing w:after="0"/>
              <w:rPr>
                <w:sz w:val="15"/>
                <w:szCs w:val="15"/>
                <w:color w:val="auto"/>
              </w:rPr>
            </w:pPr>
          </w:p>
        </w:tc>
      </w:tr>
      <w:tr>
        <w:trPr>
          <w:trHeight w:val="175"/>
        </w:trPr>
        <w:tc>
          <w:tcPr>
            <w:tcW w:w="3520" w:type="dxa"/>
            <w:vAlign w:val="bottom"/>
          </w:tcPr>
          <w:p>
            <w:pPr>
              <w:ind w:left="260"/>
              <w:spacing w:after="0"/>
              <w:rPr>
                <w:sz w:val="20"/>
                <w:szCs w:val="20"/>
                <w:color w:val="auto"/>
              </w:rPr>
            </w:pPr>
            <w:r>
              <w:rPr>
                <w:rFonts w:ascii="Arial" w:cs="Arial" w:eastAsia="Arial" w:hAnsi="Arial"/>
                <w:sz w:val="15"/>
                <w:szCs w:val="15"/>
                <w:color w:val="auto"/>
              </w:rPr>
              <w:t>Bareboat charter</w:t>
            </w: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1,163</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1,163</w:t>
            </w:r>
          </w:p>
        </w:tc>
        <w:tc>
          <w:tcPr>
            <w:tcW w:w="140" w:type="dxa"/>
            <w:vAlign w:val="bottom"/>
          </w:tcPr>
          <w:p>
            <w:pPr>
              <w:spacing w:after="0"/>
              <w:rPr>
                <w:sz w:val="15"/>
                <w:szCs w:val="15"/>
                <w:color w:val="auto"/>
              </w:rPr>
            </w:pPr>
          </w:p>
        </w:tc>
      </w:tr>
      <w:tr>
        <w:trPr>
          <w:trHeight w:val="176"/>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marine services</w:t>
            </w: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(438)</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(588)</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684</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2,482</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2,090</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4,265</w:t>
            </w:r>
          </w:p>
        </w:tc>
        <w:tc>
          <w:tcPr>
            <w:tcW w:w="140" w:type="dxa"/>
            <w:vAlign w:val="bottom"/>
            <w:shd w:val="clear" w:color="auto" w:fill="CFF0FC"/>
          </w:tcPr>
          <w:p>
            <w:pPr>
              <w:spacing w:after="0"/>
              <w:rPr>
                <w:sz w:val="15"/>
                <w:szCs w:val="15"/>
                <w:color w:val="auto"/>
              </w:rPr>
            </w:pPr>
          </w:p>
        </w:tc>
      </w:tr>
      <w:tr>
        <w:trPr>
          <w:trHeight w:val="169"/>
        </w:trPr>
        <w:tc>
          <w:tcPr>
            <w:tcW w:w="352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11,227</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36,066</w:t>
            </w:r>
          </w:p>
        </w:tc>
        <w:tc>
          <w:tcPr>
            <w:tcW w:w="28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35,262</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336</w:t>
            </w:r>
          </w:p>
        </w:tc>
        <w:tc>
          <w:tcPr>
            <w:tcW w:w="280" w:type="dxa"/>
            <w:vAlign w:val="bottom"/>
            <w:tcBorders>
              <w:bottom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37,993</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2,090</w:t>
            </w:r>
          </w:p>
        </w:tc>
        <w:tc>
          <w:tcPr>
            <w:tcW w:w="26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122,974</w:t>
            </w:r>
          </w:p>
        </w:tc>
        <w:tc>
          <w:tcPr>
            <w:tcW w:w="140" w:type="dxa"/>
            <w:vAlign w:val="bottom"/>
            <w:tcBorders>
              <w:bottom w:val="single" w:sz="8" w:color="CFF0FC"/>
            </w:tcBorders>
          </w:tcPr>
          <w:p>
            <w:pPr>
              <w:spacing w:after="0"/>
              <w:rPr>
                <w:sz w:val="14"/>
                <w:szCs w:val="14"/>
                <w:color w:val="auto"/>
              </w:rPr>
            </w:pPr>
          </w:p>
        </w:tc>
      </w:tr>
      <w:tr>
        <w:trPr>
          <w:trHeight w:val="169"/>
        </w:trPr>
        <w:tc>
          <w:tcPr>
            <w:tcW w:w="35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Direct Costs and Expenses:</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76"/>
        </w:trPr>
        <w:tc>
          <w:tcPr>
            <w:tcW w:w="3520" w:type="dxa"/>
            <w:vAlign w:val="bottom"/>
          </w:tcPr>
          <w:p>
            <w:pPr>
              <w:ind w:left="260"/>
              <w:spacing w:after="0"/>
              <w:rPr>
                <w:sz w:val="20"/>
                <w:szCs w:val="20"/>
                <w:color w:val="auto"/>
              </w:rPr>
            </w:pPr>
            <w:r>
              <w:rPr>
                <w:rFonts w:ascii="Arial" w:cs="Arial" w:eastAsia="Arial" w:hAnsi="Arial"/>
                <w:sz w:val="15"/>
                <w:szCs w:val="15"/>
                <w:color w:val="auto"/>
              </w:rPr>
              <w:t>Operating:</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5"/>
        </w:trPr>
        <w:tc>
          <w:tcPr>
            <w:tcW w:w="35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Personnel</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4,081</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13,431</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12,940</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223</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11,755</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392</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42,822</w:t>
            </w:r>
          </w:p>
        </w:tc>
        <w:tc>
          <w:tcPr>
            <w:tcW w:w="140" w:type="dxa"/>
            <w:vAlign w:val="bottom"/>
            <w:shd w:val="clear" w:color="auto" w:fill="CFF0FC"/>
          </w:tcPr>
          <w:p>
            <w:pPr>
              <w:spacing w:after="0"/>
              <w:rPr>
                <w:sz w:val="15"/>
                <w:szCs w:val="15"/>
                <w:color w:val="auto"/>
              </w:rPr>
            </w:pPr>
          </w:p>
        </w:tc>
      </w:tr>
      <w:tr>
        <w:trPr>
          <w:trHeight w:val="176"/>
        </w:trPr>
        <w:tc>
          <w:tcPr>
            <w:tcW w:w="3520" w:type="dxa"/>
            <w:vAlign w:val="bottom"/>
          </w:tcPr>
          <w:p>
            <w:pPr>
              <w:ind w:left="500"/>
              <w:spacing w:after="0"/>
              <w:rPr>
                <w:sz w:val="20"/>
                <w:szCs w:val="20"/>
                <w:color w:val="auto"/>
              </w:rPr>
            </w:pPr>
            <w:r>
              <w:rPr>
                <w:rFonts w:ascii="Arial" w:cs="Arial" w:eastAsia="Arial" w:hAnsi="Arial"/>
                <w:sz w:val="15"/>
                <w:szCs w:val="15"/>
                <w:color w:val="auto"/>
              </w:rPr>
              <w:t>Repairs and maintenance</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1,756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7,466</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5,252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119</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2,714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28</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17,335</w:t>
            </w:r>
          </w:p>
        </w:tc>
        <w:tc>
          <w:tcPr>
            <w:tcW w:w="140" w:type="dxa"/>
            <w:vAlign w:val="bottom"/>
          </w:tcPr>
          <w:p>
            <w:pPr>
              <w:spacing w:after="0"/>
              <w:rPr>
                <w:sz w:val="15"/>
                <w:szCs w:val="15"/>
                <w:color w:val="auto"/>
              </w:rPr>
            </w:pPr>
          </w:p>
        </w:tc>
      </w:tr>
      <w:tr>
        <w:trPr>
          <w:trHeight w:val="176"/>
        </w:trPr>
        <w:tc>
          <w:tcPr>
            <w:tcW w:w="35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Drydocking</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1,159</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3,321</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313</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987</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5,780</w:t>
            </w:r>
          </w:p>
        </w:tc>
        <w:tc>
          <w:tcPr>
            <w:tcW w:w="140" w:type="dxa"/>
            <w:vAlign w:val="bottom"/>
            <w:shd w:val="clear" w:color="auto" w:fill="CFF0FC"/>
          </w:tcPr>
          <w:p>
            <w:pPr>
              <w:spacing w:after="0"/>
              <w:rPr>
                <w:sz w:val="15"/>
                <w:szCs w:val="15"/>
                <w:color w:val="auto"/>
              </w:rPr>
            </w:pPr>
          </w:p>
        </w:tc>
      </w:tr>
      <w:tr>
        <w:trPr>
          <w:trHeight w:val="175"/>
        </w:trPr>
        <w:tc>
          <w:tcPr>
            <w:tcW w:w="3520" w:type="dxa"/>
            <w:vAlign w:val="bottom"/>
          </w:tcPr>
          <w:p>
            <w:pPr>
              <w:ind w:left="500"/>
              <w:spacing w:after="0"/>
              <w:rPr>
                <w:sz w:val="20"/>
                <w:szCs w:val="20"/>
                <w:color w:val="auto"/>
              </w:rPr>
            </w:pPr>
            <w:r>
              <w:rPr>
                <w:rFonts w:ascii="Arial" w:cs="Arial" w:eastAsia="Arial" w:hAnsi="Arial"/>
                <w:sz w:val="15"/>
                <w:szCs w:val="15"/>
                <w:color w:val="auto"/>
              </w:rPr>
              <w:t>Insurance and loss reserves</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486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1,301</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1,505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3,641</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(137)</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6,808</w:t>
            </w:r>
          </w:p>
        </w:tc>
        <w:tc>
          <w:tcPr>
            <w:tcW w:w="140" w:type="dxa"/>
            <w:vAlign w:val="bottom"/>
          </w:tcPr>
          <w:p>
            <w:pPr>
              <w:spacing w:after="0"/>
              <w:rPr>
                <w:sz w:val="15"/>
                <w:szCs w:val="15"/>
                <w:color w:val="auto"/>
              </w:rPr>
            </w:pPr>
          </w:p>
        </w:tc>
      </w:tr>
      <w:tr>
        <w:trPr>
          <w:trHeight w:val="176"/>
        </w:trPr>
        <w:tc>
          <w:tcPr>
            <w:tcW w:w="35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Fuel, lubes and supplies</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871</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3,270</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3,258</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1,341</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8,779</w:t>
            </w:r>
          </w:p>
        </w:tc>
        <w:tc>
          <w:tcPr>
            <w:tcW w:w="140" w:type="dxa"/>
            <w:vAlign w:val="bottom"/>
            <w:shd w:val="clear" w:color="auto" w:fill="CFF0FC"/>
          </w:tcPr>
          <w:p>
            <w:pPr>
              <w:spacing w:after="0"/>
              <w:rPr>
                <w:sz w:val="15"/>
                <w:szCs w:val="15"/>
                <w:color w:val="auto"/>
              </w:rPr>
            </w:pPr>
          </w:p>
        </w:tc>
      </w:tr>
      <w:tr>
        <w:trPr>
          <w:trHeight w:val="175"/>
        </w:trPr>
        <w:tc>
          <w:tcPr>
            <w:tcW w:w="3520" w:type="dxa"/>
            <w:vAlign w:val="bottom"/>
          </w:tcPr>
          <w:p>
            <w:pPr>
              <w:ind w:left="50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1,122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4,802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2,752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87</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2,291</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(208)</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10,846</w:t>
            </w:r>
          </w:p>
        </w:tc>
        <w:tc>
          <w:tcPr>
            <w:tcW w:w="140" w:type="dxa"/>
            <w:vAlign w:val="bottom"/>
          </w:tcPr>
          <w:p>
            <w:pPr>
              <w:spacing w:after="0"/>
              <w:rPr>
                <w:sz w:val="15"/>
                <w:szCs w:val="15"/>
                <w:color w:val="auto"/>
              </w:rPr>
            </w:pPr>
          </w:p>
        </w:tc>
      </w:tr>
      <w:tr>
        <w:trPr>
          <w:trHeight w:val="169"/>
        </w:trPr>
        <w:tc>
          <w:tcPr>
            <w:tcW w:w="35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9,475</w:t>
            </w: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33,591</w:t>
            </w: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26,020</w:t>
            </w: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460</w:t>
            </w:r>
          </w:p>
        </w:tc>
        <w:tc>
          <w:tcPr>
            <w:tcW w:w="28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22,729</w:t>
            </w: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95</w:t>
            </w:r>
          </w:p>
        </w:tc>
        <w:tc>
          <w:tcPr>
            <w:tcW w:w="26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92,370</w:t>
            </w:r>
          </w:p>
        </w:tc>
        <w:tc>
          <w:tcPr>
            <w:tcW w:w="140" w:type="dxa"/>
            <w:vAlign w:val="bottom"/>
            <w:tcBorders>
              <w:top w:val="single" w:sz="8" w:color="CFF0FC"/>
            </w:tcBorders>
            <w:shd w:val="clear" w:color="auto" w:fill="CFF0FC"/>
          </w:tcPr>
          <w:p>
            <w:pPr>
              <w:spacing w:after="0"/>
              <w:rPr>
                <w:sz w:val="14"/>
                <w:szCs w:val="14"/>
                <w:color w:val="auto"/>
              </w:rPr>
            </w:pPr>
          </w:p>
        </w:tc>
      </w:tr>
      <w:tr>
        <w:trPr>
          <w:trHeight w:val="169"/>
        </w:trPr>
        <w:tc>
          <w:tcPr>
            <w:tcW w:w="3520" w:type="dxa"/>
            <w:vAlign w:val="bottom"/>
          </w:tcPr>
          <w:p>
            <w:pPr>
              <w:spacing w:after="0" w:line="169" w:lineRule="exact"/>
              <w:rPr>
                <w:sz w:val="20"/>
                <w:szCs w:val="20"/>
                <w:color w:val="auto"/>
              </w:rPr>
            </w:pPr>
            <w:r>
              <w:rPr>
                <w:rFonts w:ascii="Arial" w:cs="Arial" w:eastAsia="Arial" w:hAnsi="Arial"/>
                <w:sz w:val="15"/>
                <w:szCs w:val="15"/>
                <w:color w:val="auto"/>
              </w:rPr>
              <w:t>Other Costs and Expenses: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6"/>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Lease expense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1,116</w:t>
            </w:r>
          </w:p>
        </w:tc>
        <w:tc>
          <w:tcPr>
            <w:tcW w:w="2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1,397</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891</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3,421</w:t>
            </w:r>
          </w:p>
        </w:tc>
        <w:tc>
          <w:tcPr>
            <w:tcW w:w="140" w:type="dxa"/>
            <w:vAlign w:val="bottom"/>
            <w:shd w:val="clear" w:color="auto" w:fill="CFF0FC"/>
          </w:tcPr>
          <w:p>
            <w:pPr>
              <w:spacing w:after="0"/>
              <w:rPr>
                <w:sz w:val="15"/>
                <w:szCs w:val="15"/>
                <w:color w:val="auto"/>
              </w:rPr>
            </w:pPr>
          </w:p>
        </w:tc>
      </w:tr>
      <w:tr>
        <w:trPr>
          <w:trHeight w:val="175"/>
        </w:trPr>
        <w:tc>
          <w:tcPr>
            <w:tcW w:w="3520" w:type="dxa"/>
            <w:vAlign w:val="bottom"/>
          </w:tcPr>
          <w:p>
            <w:pPr>
              <w:ind w:left="260"/>
              <w:spacing w:after="0"/>
              <w:rPr>
                <w:sz w:val="20"/>
                <w:szCs w:val="20"/>
                <w:color w:val="auto"/>
              </w:rPr>
            </w:pPr>
            <w:r>
              <w:rPr>
                <w:rFonts w:ascii="Arial" w:cs="Arial" w:eastAsia="Arial" w:hAnsi="Arial"/>
                <w:sz w:val="15"/>
                <w:szCs w:val="15"/>
                <w:color w:val="auto"/>
              </w:rPr>
              <w:t>Administrative and general</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26,897</w:t>
            </w:r>
          </w:p>
        </w:tc>
        <w:tc>
          <w:tcPr>
            <w:tcW w:w="140" w:type="dxa"/>
            <w:vAlign w:val="bottom"/>
          </w:tcPr>
          <w:p>
            <w:pPr>
              <w:spacing w:after="0"/>
              <w:rPr>
                <w:sz w:val="15"/>
                <w:szCs w:val="15"/>
                <w:color w:val="auto"/>
              </w:rPr>
            </w:pPr>
          </w:p>
        </w:tc>
      </w:tr>
      <w:tr>
        <w:trPr>
          <w:trHeight w:val="176"/>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Depreciation and amortization</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1,483</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14,956</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9,062</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16,000</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1,696</w:t>
            </w:r>
          </w:p>
        </w:tc>
        <w:tc>
          <w:tcPr>
            <w:tcW w:w="26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43,197</w:t>
            </w:r>
          </w:p>
        </w:tc>
        <w:tc>
          <w:tcPr>
            <w:tcW w:w="140" w:type="dxa"/>
            <w:vAlign w:val="bottom"/>
            <w:shd w:val="clear" w:color="auto" w:fill="CFF0FC"/>
          </w:tcPr>
          <w:p>
            <w:pPr>
              <w:spacing w:after="0"/>
              <w:rPr>
                <w:sz w:val="15"/>
                <w:szCs w:val="15"/>
                <w:color w:val="auto"/>
              </w:rPr>
            </w:pPr>
          </w:p>
        </w:tc>
      </w:tr>
      <w:tr>
        <w:trPr>
          <w:trHeight w:val="169"/>
        </w:trPr>
        <w:tc>
          <w:tcPr>
            <w:tcW w:w="35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72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73,515</w:t>
            </w:r>
          </w:p>
        </w:tc>
        <w:tc>
          <w:tcPr>
            <w:tcW w:w="140" w:type="dxa"/>
            <w:vAlign w:val="bottom"/>
            <w:tcBorders>
              <w:bottom w:val="single" w:sz="8" w:color="CFF0FC"/>
            </w:tcBorders>
          </w:tcPr>
          <w:p>
            <w:pPr>
              <w:spacing w:after="0"/>
              <w:rPr>
                <w:sz w:val="14"/>
                <w:szCs w:val="14"/>
                <w:color w:val="auto"/>
              </w:rPr>
            </w:pPr>
          </w:p>
        </w:tc>
      </w:tr>
      <w:tr>
        <w:trPr>
          <w:trHeight w:val="169"/>
        </w:trPr>
        <w:tc>
          <w:tcPr>
            <w:tcW w:w="35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Gains on Asset Dispositions and Impairments</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20,436</w:t>
            </w:r>
          </w:p>
        </w:tc>
        <w:tc>
          <w:tcPr>
            <w:tcW w:w="140" w:type="dxa"/>
            <w:vAlign w:val="bottom"/>
            <w:shd w:val="clear" w:color="auto" w:fill="CFF0FC"/>
          </w:tcPr>
          <w:p>
            <w:pPr>
              <w:spacing w:after="0"/>
              <w:rPr>
                <w:sz w:val="14"/>
                <w:szCs w:val="14"/>
                <w:color w:val="auto"/>
              </w:rPr>
            </w:pPr>
          </w:p>
        </w:tc>
      </w:tr>
      <w:tr>
        <w:trPr>
          <w:trHeight w:val="209"/>
        </w:trPr>
        <w:tc>
          <w:tcPr>
            <w:tcW w:w="3520" w:type="dxa"/>
            <w:vAlign w:val="bottom"/>
          </w:tcPr>
          <w:p>
            <w:pPr>
              <w:spacing w:after="0" w:line="169" w:lineRule="exact"/>
              <w:rPr>
                <w:sz w:val="20"/>
                <w:szCs w:val="20"/>
                <w:color w:val="auto"/>
              </w:rPr>
            </w:pPr>
            <w:r>
              <w:rPr>
                <w:rFonts w:ascii="Arial" w:cs="Arial" w:eastAsia="Arial" w:hAnsi="Arial"/>
                <w:sz w:val="15"/>
                <w:szCs w:val="15"/>
                <w:color w:val="auto"/>
              </w:rPr>
              <w:t>Operating Loss from Continuing Operations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(22,475)</w:t>
            </w:r>
          </w:p>
        </w:tc>
      </w:tr>
      <w:tr>
        <w:trPr>
          <w:trHeight w:val="197"/>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 of September 30, 2021</w:t>
            </w:r>
          </w:p>
        </w:tc>
        <w:tc>
          <w:tcPr>
            <w:tcW w:w="10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r>
      <w:tr>
        <w:trPr>
          <w:trHeight w:val="213"/>
        </w:trPr>
        <w:tc>
          <w:tcPr>
            <w:tcW w:w="3520" w:type="dxa"/>
            <w:vAlign w:val="bottom"/>
          </w:tcPr>
          <w:p>
            <w:pPr>
              <w:spacing w:after="0"/>
              <w:rPr>
                <w:sz w:val="20"/>
                <w:szCs w:val="20"/>
                <w:color w:val="auto"/>
              </w:rPr>
            </w:pPr>
            <w:r>
              <w:rPr>
                <w:rFonts w:ascii="Arial" w:cs="Arial" w:eastAsia="Arial" w:hAnsi="Arial"/>
                <w:sz w:val="16"/>
                <w:szCs w:val="16"/>
                <w:color w:val="auto"/>
              </w:rPr>
              <w:t>Property and Equipment: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3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Historical cost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50,189</w:t>
            </w:r>
          </w:p>
        </w:tc>
        <w:tc>
          <w:tcPr>
            <w:tcW w:w="2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363,021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246,862</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3,163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303,278</w:t>
            </w:r>
          </w:p>
        </w:tc>
        <w:tc>
          <w:tcPr>
            <w:tcW w:w="1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23,397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989,910</w:t>
            </w:r>
          </w:p>
        </w:tc>
        <w:tc>
          <w:tcPr>
            <w:tcW w:w="140" w:type="dxa"/>
            <w:vAlign w:val="bottom"/>
            <w:shd w:val="clear" w:color="auto" w:fill="CFF0FC"/>
          </w:tcPr>
          <w:p>
            <w:pPr>
              <w:spacing w:after="0"/>
              <w:rPr>
                <w:sz w:val="19"/>
                <w:szCs w:val="19"/>
                <w:color w:val="auto"/>
              </w:rPr>
            </w:pPr>
          </w:p>
        </w:tc>
      </w:tr>
      <w:tr>
        <w:trPr>
          <w:trHeight w:val="216"/>
        </w:trPr>
        <w:tc>
          <w:tcPr>
            <w:tcW w:w="3520" w:type="dxa"/>
            <w:vAlign w:val="bottom"/>
          </w:tcPr>
          <w:p>
            <w:pPr>
              <w:ind w:left="260"/>
              <w:spacing w:after="0"/>
              <w:rPr>
                <w:sz w:val="20"/>
                <w:szCs w:val="20"/>
                <w:color w:val="auto"/>
              </w:rPr>
            </w:pPr>
            <w:r>
              <w:rPr>
                <w:rFonts w:ascii="Arial" w:cs="Arial" w:eastAsia="Arial" w:hAnsi="Arial"/>
                <w:sz w:val="16"/>
                <w:szCs w:val="16"/>
                <w:color w:val="auto"/>
              </w:rPr>
              <w:t>Accumulated depreciation</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(33,262)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(112,226)</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(17,501)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(3,138)</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(116,844)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(20,207)</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(303,178)</w:t>
            </w:r>
          </w:p>
        </w:tc>
      </w:tr>
      <w:tr>
        <w:trPr>
          <w:trHeight w:val="20"/>
        </w:trPr>
        <w:tc>
          <w:tcPr>
            <w:tcW w:w="35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10"/>
        </w:trPr>
        <w:tc>
          <w:tcPr>
            <w:tcW w:w="35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16,927</w:t>
            </w:r>
          </w:p>
        </w:tc>
        <w:tc>
          <w:tcPr>
            <w:tcW w:w="2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250,795</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229,361</w:t>
            </w:r>
          </w:p>
        </w:tc>
        <w:tc>
          <w:tcPr>
            <w:tcW w:w="2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186,434</w:t>
            </w:r>
          </w:p>
        </w:tc>
        <w:tc>
          <w:tcPr>
            <w:tcW w:w="18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3,190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686,732</w:t>
            </w:r>
          </w:p>
        </w:tc>
        <w:tc>
          <w:tcPr>
            <w:tcW w:w="140" w:type="dxa"/>
            <w:vAlign w:val="bottom"/>
            <w:shd w:val="clear" w:color="auto" w:fill="CFF0FC"/>
          </w:tcPr>
          <w:p>
            <w:pPr>
              <w:spacing w:after="0"/>
              <w:rPr>
                <w:sz w:val="18"/>
                <w:szCs w:val="18"/>
                <w:color w:val="auto"/>
              </w:rPr>
            </w:pPr>
          </w:p>
        </w:tc>
      </w:tr>
      <w:tr>
        <w:trPr>
          <w:trHeight w:val="20"/>
        </w:trPr>
        <w:tc>
          <w:tcPr>
            <w:tcW w:w="35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ind w:left="760" w:hanging="752"/>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 the second quarter of 2021, the Company removed from service four liftboats in this class. Liftboat statistics reflect the removed from service status of these vessels.</w:t>
      </w:r>
    </w:p>
    <w:p>
      <w:pPr>
        <w:spacing w:after="0" w:line="241" w:lineRule="exact"/>
        <w:rPr>
          <w:sz w:val="20"/>
          <w:szCs w:val="20"/>
          <w:color w:val="auto"/>
        </w:rPr>
      </w:pPr>
    </w:p>
    <w:p>
      <w:pPr>
        <w:ind w:left="760"/>
        <w:spacing w:after="0"/>
        <w:rPr>
          <w:sz w:val="20"/>
          <w:szCs w:val="20"/>
          <w:color w:val="auto"/>
        </w:rPr>
      </w:pPr>
      <w:r>
        <w:rPr>
          <w:rFonts w:ascii="Arial" w:cs="Arial" w:eastAsia="Arial" w:hAnsi="Arial"/>
          <w:sz w:val="21"/>
          <w:szCs w:val="21"/>
          <w:b w:val="1"/>
          <w:bCs w:val="1"/>
          <w:i w:val="1"/>
          <w:iCs w:val="1"/>
          <w:color w:val="auto"/>
        </w:rPr>
        <w:t xml:space="preserve">Fleet Counts. </w:t>
      </w:r>
      <w:r>
        <w:rPr>
          <w:rFonts w:ascii="Arial" w:cs="Arial" w:eastAsia="Arial" w:hAnsi="Arial"/>
          <w:sz w:val="21"/>
          <w:szCs w:val="21"/>
          <w:color w:val="auto"/>
        </w:rPr>
        <w:t>The Company’s fleet count as of September 30, 2022 and December 31, 2021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3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Owned</w:t>
            </w:r>
          </w:p>
        </w:tc>
        <w:tc>
          <w:tcPr>
            <w:tcW w:w="1260" w:type="dxa"/>
            <w:vAlign w:val="bottom"/>
            <w:gridSpan w:val="2"/>
          </w:tcPr>
          <w:p>
            <w:pPr>
              <w:spacing w:after="0"/>
              <w:rPr>
                <w:sz w:val="20"/>
                <w:szCs w:val="20"/>
                <w:color w:val="auto"/>
              </w:rPr>
            </w:pPr>
            <w:r>
              <w:rPr>
                <w:rFonts w:ascii="Arial" w:cs="Arial" w:eastAsia="Arial" w:hAnsi="Arial"/>
                <w:sz w:val="16"/>
                <w:szCs w:val="16"/>
                <w:b w:val="1"/>
                <w:bCs w:val="1"/>
                <w:color w:val="auto"/>
              </w:rPr>
              <w:t>Joint Ventured</w:t>
            </w:r>
          </w:p>
        </w:tc>
        <w:tc>
          <w:tcPr>
            <w:tcW w:w="124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Leased-in</w:t>
            </w:r>
          </w:p>
        </w:tc>
        <w:tc>
          <w:tcPr>
            <w:tcW w:w="122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Managed</w:t>
            </w:r>
          </w:p>
        </w:tc>
        <w:tc>
          <w:tcPr>
            <w:tcW w:w="112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9"/>
        </w:trPr>
        <w:tc>
          <w:tcPr>
            <w:tcW w:w="13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040" w:type="dxa"/>
            <w:vAlign w:val="bottom"/>
          </w:tcPr>
          <w:p>
            <w:pPr>
              <w:jc w:val="right"/>
              <w:ind w:right="360"/>
              <w:spacing w:after="0"/>
              <w:rPr>
                <w:sz w:val="20"/>
                <w:szCs w:val="20"/>
                <w:color w:val="auto"/>
              </w:rPr>
            </w:pPr>
            <w:r>
              <w:rPr>
                <w:rFonts w:ascii="Arial" w:cs="Arial" w:eastAsia="Arial" w:hAnsi="Arial"/>
                <w:sz w:val="14"/>
                <w:szCs w:val="14"/>
                <w:b w:val="1"/>
                <w:bCs w:val="1"/>
                <w:color w:val="auto"/>
              </w:rPr>
              <w:t>(1)</w:t>
            </w:r>
          </w:p>
        </w:tc>
        <w:tc>
          <w:tcPr>
            <w:tcW w:w="2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40" w:type="dxa"/>
            <w:vAlign w:val="bottom"/>
            <w:tcBorders>
              <w:top w:val="single" w:sz="8" w:color="CFF0FC"/>
              <w:bottom w:val="single" w:sz="8" w:color="auto"/>
            </w:tcBorders>
            <w:shd w:val="clear" w:color="auto" w:fill="CFF0FC"/>
          </w:tcPr>
          <w:p>
            <w:pPr>
              <w:spacing w:after="0"/>
              <w:rPr>
                <w:sz w:val="18"/>
                <w:szCs w:val="18"/>
                <w:color w:val="auto"/>
              </w:rPr>
            </w:pPr>
          </w:p>
        </w:tc>
        <w:tc>
          <w:tcPr>
            <w:tcW w:w="3740" w:type="dxa"/>
            <w:vAlign w:val="bottom"/>
            <w:tcBorders>
              <w:top w:val="single" w:sz="8" w:color="CFF0FC"/>
              <w:bottom w:val="single" w:sz="8" w:color="auto"/>
            </w:tcBorders>
            <w:shd w:val="clear" w:color="auto" w:fill="CFF0FC"/>
          </w:tcPr>
          <w:p>
            <w:pPr>
              <w:ind w:left="520"/>
              <w:spacing w:after="0"/>
              <w:rPr>
                <w:sz w:val="20"/>
                <w:szCs w:val="20"/>
                <w:color w:val="auto"/>
              </w:rPr>
            </w:pPr>
            <w:r>
              <w:rPr>
                <w:rFonts w:ascii="Arial" w:cs="Arial" w:eastAsia="Arial" w:hAnsi="Arial"/>
                <w:sz w:val="16"/>
                <w:szCs w:val="16"/>
                <w:b w:val="1"/>
                <w:bCs w:val="1"/>
                <w:color w:val="auto"/>
              </w:rPr>
              <w:t>September 30, 2022</w:t>
            </w:r>
          </w:p>
        </w:tc>
        <w:tc>
          <w:tcPr>
            <w:tcW w:w="1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340" w:type="dxa"/>
            <w:vAlign w:val="bottom"/>
          </w:tcPr>
          <w:p>
            <w:pPr>
              <w:spacing w:after="0"/>
              <w:rPr>
                <w:sz w:val="20"/>
                <w:szCs w:val="20"/>
                <w:color w:val="auto"/>
              </w:rPr>
            </w:pPr>
            <w:r>
              <w:rPr>
                <w:rFonts w:ascii="Arial" w:cs="Arial" w:eastAsia="Arial" w:hAnsi="Arial"/>
                <w:sz w:val="16"/>
                <w:szCs w:val="16"/>
                <w:color w:val="auto"/>
              </w:rPr>
              <w:t>AHTS</w:t>
            </w:r>
          </w:p>
        </w:tc>
        <w:tc>
          <w:tcPr>
            <w:tcW w:w="4860" w:type="dxa"/>
            <w:vAlign w:val="bottom"/>
            <w:gridSpan w:val="3"/>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340" w:type="dxa"/>
            <w:vAlign w:val="bottom"/>
            <w:shd w:val="clear" w:color="auto" w:fill="CFF0FC"/>
          </w:tcPr>
          <w:p>
            <w:pPr>
              <w:spacing w:after="0"/>
              <w:rPr>
                <w:sz w:val="20"/>
                <w:szCs w:val="20"/>
                <w:color w:val="auto"/>
              </w:rPr>
            </w:pPr>
            <w:r>
              <w:rPr>
                <w:rFonts w:ascii="Arial" w:cs="Arial" w:eastAsia="Arial" w:hAnsi="Arial"/>
                <w:sz w:val="16"/>
                <w:szCs w:val="16"/>
                <w:color w:val="auto"/>
              </w:rPr>
              <w:t>FSV</w:t>
            </w:r>
          </w:p>
        </w:tc>
        <w:tc>
          <w:tcPr>
            <w:tcW w:w="48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340" w:type="dxa"/>
            <w:vAlign w:val="bottom"/>
          </w:tcPr>
          <w:p>
            <w:pPr>
              <w:spacing w:after="0"/>
              <w:rPr>
                <w:sz w:val="20"/>
                <w:szCs w:val="20"/>
                <w:color w:val="auto"/>
              </w:rPr>
            </w:pPr>
            <w:r>
              <w:rPr>
                <w:rFonts w:ascii="Arial" w:cs="Arial" w:eastAsia="Arial" w:hAnsi="Arial"/>
                <w:sz w:val="16"/>
                <w:szCs w:val="16"/>
                <w:color w:val="auto"/>
              </w:rPr>
              <w:t>Supply</w:t>
            </w:r>
          </w:p>
        </w:tc>
        <w:tc>
          <w:tcPr>
            <w:tcW w:w="4860" w:type="dxa"/>
            <w:vAlign w:val="bottom"/>
            <w:gridSpan w:val="3"/>
          </w:tcPr>
          <w:p>
            <w:pPr>
              <w:jc w:val="right"/>
              <w:spacing w:after="0"/>
              <w:rPr>
                <w:sz w:val="20"/>
                <w:szCs w:val="20"/>
                <w:color w:val="auto"/>
              </w:rPr>
            </w:pPr>
            <w:r>
              <w:rPr>
                <w:rFonts w:ascii="Arial" w:cs="Arial" w:eastAsia="Arial" w:hAnsi="Arial"/>
                <w:sz w:val="16"/>
                <w:szCs w:val="16"/>
                <w:color w:val="auto"/>
              </w:rPr>
              <w:t>21</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FF0FC"/>
          </w:tcPr>
          <w:p>
            <w:pPr>
              <w:spacing w:after="0"/>
              <w:rPr>
                <w:sz w:val="20"/>
                <w:szCs w:val="20"/>
                <w:color w:val="auto"/>
              </w:rPr>
            </w:pPr>
            <w:r>
              <w:rPr>
                <w:rFonts w:ascii="Arial" w:cs="Arial" w:eastAsia="Arial" w:hAnsi="Arial"/>
                <w:sz w:val="16"/>
                <w:szCs w:val="16"/>
                <w:color w:val="auto"/>
              </w:rPr>
              <w:t>Liftboats</w:t>
            </w:r>
          </w:p>
        </w:tc>
        <w:tc>
          <w:tcPr>
            <w:tcW w:w="3860" w:type="dxa"/>
            <w:vAlign w:val="bottom"/>
            <w:gridSpan w:val="2"/>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00" w:type="dxa"/>
            <w:vAlign w:val="bottom"/>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340" w:type="dxa"/>
            <w:vAlign w:val="bottom"/>
            <w:tcBorders>
              <w:bottom w:val="single" w:sz="8" w:color="CFF0FC"/>
            </w:tcBorders>
          </w:tcPr>
          <w:p>
            <w:pPr>
              <w:spacing w:after="0"/>
              <w:rPr>
                <w:sz w:val="21"/>
                <w:szCs w:val="21"/>
                <w:color w:val="auto"/>
              </w:rPr>
            </w:pPr>
          </w:p>
        </w:tc>
        <w:tc>
          <w:tcPr>
            <w:tcW w:w="3860" w:type="dxa"/>
            <w:vAlign w:val="bottom"/>
            <w:tcBorders>
              <w:bottom w:val="single" w:sz="8" w:color="CFF0FC"/>
            </w:tcBorders>
            <w:gridSpan w:val="2"/>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200" w:type="dxa"/>
            <w:vAlign w:val="bottom"/>
            <w:tcBorders>
              <w:bottom w:val="single" w:sz="8" w:color="CFF0FC"/>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FF0FC"/>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FF0FC"/>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340" w:type="dxa"/>
            <w:vAlign w:val="bottom"/>
            <w:tcBorders>
              <w:bottom w:val="single" w:sz="8" w:color="auto"/>
            </w:tcBorders>
            <w:shd w:val="clear" w:color="auto" w:fill="CFF0FC"/>
          </w:tcPr>
          <w:p>
            <w:pPr>
              <w:spacing w:after="0"/>
              <w:rPr>
                <w:sz w:val="17"/>
                <w:szCs w:val="17"/>
                <w:color w:val="auto"/>
              </w:rPr>
            </w:pPr>
          </w:p>
        </w:tc>
        <w:tc>
          <w:tcPr>
            <w:tcW w:w="3740" w:type="dxa"/>
            <w:vAlign w:val="bottom"/>
            <w:tcBorders>
              <w:bottom w:val="single" w:sz="8" w:color="auto"/>
            </w:tcBorders>
            <w:shd w:val="clear" w:color="auto" w:fill="CFF0FC"/>
          </w:tcPr>
          <w:p>
            <w:pPr>
              <w:ind w:left="540"/>
              <w:spacing w:after="0"/>
              <w:rPr>
                <w:sz w:val="20"/>
                <w:szCs w:val="20"/>
                <w:color w:val="auto"/>
              </w:rPr>
            </w:pPr>
            <w:r>
              <w:rPr>
                <w:rFonts w:ascii="Arial" w:cs="Arial" w:eastAsia="Arial" w:hAnsi="Arial"/>
                <w:sz w:val="16"/>
                <w:szCs w:val="16"/>
                <w:b w:val="1"/>
                <w:bCs w:val="1"/>
                <w:color w:val="auto"/>
              </w:rPr>
              <w:t>December 31, 2021</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340" w:type="dxa"/>
            <w:vAlign w:val="bottom"/>
          </w:tcPr>
          <w:p>
            <w:pPr>
              <w:spacing w:after="0"/>
              <w:rPr>
                <w:sz w:val="20"/>
                <w:szCs w:val="20"/>
                <w:color w:val="auto"/>
              </w:rPr>
            </w:pPr>
            <w:r>
              <w:rPr>
                <w:rFonts w:ascii="Arial" w:cs="Arial" w:eastAsia="Arial" w:hAnsi="Arial"/>
                <w:sz w:val="16"/>
                <w:szCs w:val="16"/>
                <w:color w:val="auto"/>
              </w:rPr>
              <w:t>AHTS</w:t>
            </w:r>
          </w:p>
        </w:tc>
        <w:tc>
          <w:tcPr>
            <w:tcW w:w="4860" w:type="dxa"/>
            <w:vAlign w:val="bottom"/>
            <w:gridSpan w:val="3"/>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340" w:type="dxa"/>
            <w:vAlign w:val="bottom"/>
            <w:shd w:val="clear" w:color="auto" w:fill="CFF0FC"/>
          </w:tcPr>
          <w:p>
            <w:pPr>
              <w:spacing w:after="0"/>
              <w:rPr>
                <w:sz w:val="20"/>
                <w:szCs w:val="20"/>
                <w:color w:val="auto"/>
              </w:rPr>
            </w:pPr>
            <w:r>
              <w:rPr>
                <w:rFonts w:ascii="Arial" w:cs="Arial" w:eastAsia="Arial" w:hAnsi="Arial"/>
                <w:sz w:val="16"/>
                <w:szCs w:val="16"/>
                <w:color w:val="auto"/>
              </w:rPr>
              <w:t>FSV</w:t>
            </w:r>
          </w:p>
        </w:tc>
        <w:tc>
          <w:tcPr>
            <w:tcW w:w="48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340" w:type="dxa"/>
            <w:vAlign w:val="bottom"/>
          </w:tcPr>
          <w:p>
            <w:pPr>
              <w:spacing w:after="0"/>
              <w:rPr>
                <w:sz w:val="20"/>
                <w:szCs w:val="20"/>
                <w:color w:val="auto"/>
              </w:rPr>
            </w:pPr>
            <w:r>
              <w:rPr>
                <w:rFonts w:ascii="Arial" w:cs="Arial" w:eastAsia="Arial" w:hAnsi="Arial"/>
                <w:sz w:val="16"/>
                <w:szCs w:val="16"/>
                <w:color w:val="auto"/>
              </w:rPr>
              <w:t>Supply</w:t>
            </w:r>
          </w:p>
        </w:tc>
        <w:tc>
          <w:tcPr>
            <w:tcW w:w="4860" w:type="dxa"/>
            <w:vAlign w:val="bottom"/>
            <w:gridSpan w:val="3"/>
          </w:tcPr>
          <w:p>
            <w:pPr>
              <w:jc w:val="right"/>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34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Specialty </w:t>
            </w:r>
            <w:r>
              <w:rPr>
                <w:rFonts w:ascii="Arial" w:cs="Arial" w:eastAsia="Arial" w:hAnsi="Arial"/>
                <w:sz w:val="25"/>
                <w:szCs w:val="25"/>
                <w:color w:val="auto"/>
                <w:vertAlign w:val="superscript"/>
              </w:rPr>
              <w:t>(2)</w:t>
            </w:r>
          </w:p>
        </w:tc>
        <w:tc>
          <w:tcPr>
            <w:tcW w:w="48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Borders>
              <w:bottom w:val="single" w:sz="8" w:color="CFF0FC"/>
            </w:tcBorders>
          </w:tcPr>
          <w:p>
            <w:pPr>
              <w:spacing w:after="0" w:line="216" w:lineRule="exact"/>
              <w:rPr>
                <w:sz w:val="20"/>
                <w:szCs w:val="20"/>
                <w:color w:val="auto"/>
              </w:rPr>
            </w:pPr>
            <w:r>
              <w:rPr>
                <w:rFonts w:ascii="Arial" w:cs="Arial" w:eastAsia="Arial" w:hAnsi="Arial"/>
                <w:sz w:val="15"/>
                <w:szCs w:val="15"/>
                <w:color w:val="auto"/>
              </w:rPr>
              <w:t xml:space="preserve">Liftboats </w:t>
            </w:r>
            <w:r>
              <w:rPr>
                <w:rFonts w:ascii="Arial" w:cs="Arial" w:eastAsia="Arial" w:hAnsi="Arial"/>
                <w:sz w:val="25"/>
                <w:szCs w:val="25"/>
                <w:color w:val="auto"/>
                <w:vertAlign w:val="superscript"/>
              </w:rPr>
              <w:t>(3)</w:t>
            </w:r>
          </w:p>
        </w:tc>
        <w:tc>
          <w:tcPr>
            <w:tcW w:w="3860" w:type="dxa"/>
            <w:vAlign w:val="bottom"/>
            <w:tcBorders>
              <w:bottom w:val="single" w:sz="8" w:color="CFF0FC"/>
            </w:tcBorders>
            <w:gridSpan w:val="2"/>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0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340" w:type="dxa"/>
            <w:vAlign w:val="bottom"/>
            <w:shd w:val="clear" w:color="auto" w:fill="CFF0FC"/>
          </w:tcPr>
          <w:p>
            <w:pPr>
              <w:spacing w:after="0"/>
              <w:rPr>
                <w:sz w:val="17"/>
                <w:szCs w:val="17"/>
                <w:color w:val="auto"/>
              </w:rPr>
            </w:pPr>
          </w:p>
        </w:tc>
        <w:tc>
          <w:tcPr>
            <w:tcW w:w="48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FF0FC"/>
            </w:tcBorders>
          </w:tcPr>
          <w:p>
            <w:pPr>
              <w:spacing w:after="0" w:line="20" w:lineRule="exact"/>
              <w:rPr>
                <w:sz w:val="1"/>
                <w:szCs w:val="1"/>
                <w:color w:val="auto"/>
              </w:rPr>
            </w:pPr>
          </w:p>
        </w:tc>
        <w:tc>
          <w:tcPr>
            <w:tcW w:w="37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9512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0" w:lineRule="exact"/>
        <w:rPr>
          <w:sz w:val="20"/>
          <w:szCs w:val="20"/>
          <w:color w:val="auto"/>
        </w:rPr>
      </w:pPr>
    </w:p>
    <w:p>
      <w:pPr>
        <w:ind w:left="760" w:hanging="752"/>
        <w:spacing w:after="0"/>
        <w:tabs>
          <w:tab w:leader="none" w:pos="7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On September 29, 2022, the Company sold its equity interests in each of MexMar and OVH and acquired 100% of the equity interest in SEACOR Marlin LLC, resulting in the Company no longer operating joint-ventured vessels.</w:t>
      </w:r>
    </w:p>
    <w:p>
      <w:pPr>
        <w:ind w:left="760" w:hanging="752"/>
        <w:spacing w:after="0" w:line="221" w:lineRule="auto"/>
        <w:tabs>
          <w:tab w:leader="none" w:pos="7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One owned vessel classified as a Crew Transfer Continuing Operations as of December 31, 2020 was reclassified as a specialty vessel as of January 12, 2021 and removed from service in the second quarter of 2022. Removed from service vessels are not counted in active fleet count.</w:t>
      </w:r>
    </w:p>
    <w:p>
      <w:pPr>
        <w:ind w:left="760" w:hanging="752"/>
        <w:spacing w:after="0"/>
        <w:tabs>
          <w:tab w:leader="none" w:pos="7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 the second quarter of 2021, the Company removed from service four liftboats. Removed from service vessels are not counted in active fleet count.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2" w:name="page43"/>
    <w:bookmarkEnd w:id="42"/>
    <w:p>
      <w:pPr>
        <w:spacing w:after="0"/>
        <w:rPr>
          <w:sz w:val="20"/>
          <w:szCs w:val="20"/>
          <w:color w:val="auto"/>
        </w:rPr>
      </w:pPr>
      <w:r>
        <w:rPr>
          <w:rFonts w:ascii="Arial" w:cs="Arial" w:eastAsia="Arial" w:hAnsi="Arial"/>
          <w:sz w:val="22"/>
          <w:szCs w:val="22"/>
          <w:b w:val="1"/>
          <w:bCs w:val="1"/>
          <w:color w:val="auto"/>
        </w:rPr>
        <w:t>Operating Income (Loss)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9"/>
          <w:szCs w:val="19"/>
          <w:b w:val="1"/>
          <w:bCs w:val="1"/>
          <w:i w:val="1"/>
          <w:iCs w:val="1"/>
          <w:color w:val="auto"/>
        </w:rPr>
        <w:t xml:space="preserve">United States, primarily Gulf of Mexico. </w:t>
      </w:r>
      <w:r>
        <w:rPr>
          <w:rFonts w:ascii="Arial" w:cs="Arial" w:eastAsia="Arial" w:hAnsi="Arial"/>
          <w:sz w:val="19"/>
          <w:szCs w:val="19"/>
          <w:color w:val="auto"/>
        </w:rPr>
        <w:t>For the three and nine months ended September 30, 2022 and 2021 the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Company’s time charter statistics and direct vessel profit in the United States was as follows (in thousands, except statistics):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5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gridSpan w:val="9"/>
          </w:tcPr>
          <w:p>
            <w:pPr>
              <w:jc w:val="right"/>
              <w:ind w:right="480"/>
              <w:spacing w:after="0"/>
              <w:rPr>
                <w:sz w:val="20"/>
                <w:szCs w:val="20"/>
                <w:color w:val="auto"/>
              </w:rPr>
            </w:pPr>
            <w:r>
              <w:rPr>
                <w:rFonts w:ascii="Arial" w:cs="Arial" w:eastAsia="Arial" w:hAnsi="Arial"/>
                <w:sz w:val="16"/>
                <w:szCs w:val="16"/>
                <w:b w:val="1"/>
                <w:bCs w:val="1"/>
                <w:color w:val="auto"/>
                <w:w w:val="93"/>
              </w:rPr>
              <w:t>For the Three Months Ended September 30,</w:t>
            </w:r>
          </w:p>
        </w:tc>
        <w:tc>
          <w:tcPr>
            <w:tcW w:w="200" w:type="dxa"/>
            <w:vAlign w:val="bottom"/>
          </w:tcPr>
          <w:p>
            <w:pPr>
              <w:spacing w:after="0"/>
              <w:rPr>
                <w:sz w:val="18"/>
                <w:szCs w:val="18"/>
                <w:color w:val="auto"/>
              </w:rPr>
            </w:pPr>
          </w:p>
        </w:tc>
        <w:tc>
          <w:tcPr>
            <w:tcW w:w="3080" w:type="dxa"/>
            <w:vAlign w:val="bottom"/>
            <w:gridSpan w:val="8"/>
          </w:tcPr>
          <w:p>
            <w:pPr>
              <w:ind w:left="100"/>
              <w:spacing w:after="0"/>
              <w:rPr>
                <w:sz w:val="20"/>
                <w:szCs w:val="20"/>
                <w:color w:val="auto"/>
              </w:rPr>
            </w:pPr>
            <w:r>
              <w:rPr>
                <w:rFonts w:ascii="Arial" w:cs="Arial" w:eastAsia="Arial" w:hAnsi="Arial"/>
                <w:sz w:val="16"/>
                <w:szCs w:val="16"/>
                <w:b w:val="1"/>
                <w:bCs w:val="1"/>
                <w:color w:val="auto"/>
                <w:w w:val="91"/>
              </w:rPr>
              <w:t>For the Nine Months Ended September 30,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tcBorders>
              <w:bottom w:val="single" w:sz="8" w:color="CFF0FC"/>
            </w:tcBorders>
          </w:tcPr>
          <w:p>
            <w:pPr>
              <w:spacing w:after="0"/>
              <w:rPr>
                <w:sz w:val="18"/>
                <w:szCs w:val="18"/>
                <w:color w:val="auto"/>
              </w:rPr>
            </w:pPr>
          </w:p>
        </w:tc>
        <w:tc>
          <w:tcPr>
            <w:tcW w:w="22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60" w:type="dxa"/>
            <w:vAlign w:val="bottom"/>
            <w:gridSpan w:val="2"/>
          </w:tcPr>
          <w:p>
            <w:pPr>
              <w:ind w:left="260"/>
              <w:spacing w:after="0"/>
              <w:rPr>
                <w:sz w:val="20"/>
                <w:szCs w:val="20"/>
                <w:color w:val="auto"/>
              </w:rPr>
            </w:pPr>
            <w:r>
              <w:rPr>
                <w:rFonts w:ascii="Arial" w:cs="Arial" w:eastAsia="Arial" w:hAnsi="Arial"/>
                <w:sz w:val="16"/>
                <w:szCs w:val="16"/>
                <w:color w:val="auto"/>
              </w:rPr>
              <w:t>Rates Per Day Worked:</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30,158</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32,041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60" w:type="dxa"/>
            <w:vAlign w:val="bottom"/>
            <w:gridSpan w:val="2"/>
          </w:tcPr>
          <w:p>
            <w:pPr>
              <w:ind w:left="500"/>
              <w:spacing w:after="0"/>
              <w:rPr>
                <w:sz w:val="20"/>
                <w:szCs w:val="20"/>
                <w:color w:val="auto"/>
              </w:rPr>
            </w:pPr>
            <w:r>
              <w:rPr>
                <w:rFonts w:ascii="Arial" w:cs="Arial" w:eastAsia="Arial" w:hAnsi="Arial"/>
                <w:sz w:val="16"/>
                <w:szCs w:val="16"/>
                <w:color w:val="auto"/>
              </w:rPr>
              <w:t>FSV</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12,135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11,427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16,343</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15,944</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60" w:type="dxa"/>
            <w:vAlign w:val="bottom"/>
            <w:gridSpan w:val="2"/>
          </w:tcPr>
          <w:p>
            <w:pPr>
              <w:ind w:left="500"/>
              <w:spacing w:after="0"/>
              <w:rPr>
                <w:sz w:val="20"/>
                <w:szCs w:val="20"/>
                <w:color w:val="auto"/>
              </w:rPr>
            </w:pPr>
            <w:r>
              <w:rPr>
                <w:rFonts w:ascii="Arial" w:cs="Arial" w:eastAsia="Arial" w:hAnsi="Arial"/>
                <w:sz w:val="16"/>
                <w:szCs w:val="16"/>
                <w:color w:val="auto"/>
              </w:rPr>
              <w:t>Liftboats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27,134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13,179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23,693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13,820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21,551</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18,702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18,806</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17,677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60" w:type="dxa"/>
            <w:vAlign w:val="bottom"/>
            <w:gridSpan w:val="2"/>
          </w:tcPr>
          <w:p>
            <w:pPr>
              <w:ind w:left="260"/>
              <w:spacing w:after="0"/>
              <w:rPr>
                <w:sz w:val="20"/>
                <w:szCs w:val="20"/>
                <w:color w:val="auto"/>
              </w:rPr>
            </w:pPr>
            <w:r>
              <w:rPr>
                <w:rFonts w:ascii="Arial" w:cs="Arial" w:eastAsia="Arial" w:hAnsi="Arial"/>
                <w:sz w:val="16"/>
                <w:szCs w:val="16"/>
                <w:color w:val="auto"/>
              </w:rPr>
              <w:t>Utilization:</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50%</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40"/>
        </w:trPr>
        <w:tc>
          <w:tcPr>
            <w:tcW w:w="3760" w:type="dxa"/>
            <w:vAlign w:val="bottom"/>
            <w:gridSpan w:val="2"/>
          </w:tcPr>
          <w:p>
            <w:pPr>
              <w:ind w:left="500"/>
              <w:spacing w:after="0"/>
              <w:rPr>
                <w:sz w:val="20"/>
                <w:szCs w:val="20"/>
                <w:color w:val="auto"/>
              </w:rPr>
            </w:pPr>
            <w:r>
              <w:rPr>
                <w:rFonts w:ascii="Arial" w:cs="Arial" w:eastAsia="Arial" w:hAnsi="Arial"/>
                <w:sz w:val="16"/>
                <w:szCs w:val="16"/>
                <w:color w:val="auto"/>
              </w:rPr>
              <w:t>FSV</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56%</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47%</w:t>
            </w: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76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71%</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68%</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760" w:type="dxa"/>
            <w:vAlign w:val="bottom"/>
            <w:gridSpan w:val="2"/>
          </w:tcPr>
          <w:p>
            <w:pPr>
              <w:ind w:left="500"/>
              <w:spacing w:after="0" w:line="242" w:lineRule="exact"/>
              <w:rPr>
                <w:sz w:val="20"/>
                <w:szCs w:val="20"/>
                <w:color w:val="auto"/>
              </w:rPr>
            </w:pPr>
            <w:r>
              <w:rPr>
                <w:rFonts w:ascii="Arial" w:cs="Arial" w:eastAsia="Arial" w:hAnsi="Arial"/>
                <w:sz w:val="16"/>
                <w:szCs w:val="16"/>
                <w:color w:val="auto"/>
              </w:rPr>
              <w:t xml:space="preserve">Liftboats </w:t>
            </w:r>
            <w:r>
              <w:rPr>
                <w:rFonts w:ascii="Arial" w:cs="Arial" w:eastAsia="Arial" w:hAnsi="Arial"/>
                <w:sz w:val="27"/>
                <w:szCs w:val="27"/>
                <w:color w:val="auto"/>
                <w:vertAlign w:val="superscript"/>
              </w:rPr>
              <w:t>(1)</w:t>
            </w: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71%</w:t>
            </w: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37%</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51%</w:t>
            </w: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58%</w:t>
            </w: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27%</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47%</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3760" w:type="dxa"/>
            <w:vAlign w:val="bottom"/>
            <w:gridSpan w:val="2"/>
          </w:tcPr>
          <w:p>
            <w:pPr>
              <w:ind w:left="260"/>
              <w:spacing w:after="0"/>
              <w:rPr>
                <w:sz w:val="20"/>
                <w:szCs w:val="20"/>
                <w:color w:val="auto"/>
              </w:rPr>
            </w:pPr>
            <w:r>
              <w:rPr>
                <w:rFonts w:ascii="Arial" w:cs="Arial" w:eastAsia="Arial" w:hAnsi="Arial"/>
                <w:sz w:val="16"/>
                <w:szCs w:val="16"/>
                <w:color w:val="auto"/>
              </w:rPr>
              <w:t>Available Days: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546</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60" w:type="dxa"/>
            <w:vAlign w:val="bottom"/>
            <w:gridSpan w:val="2"/>
          </w:tcPr>
          <w:p>
            <w:pPr>
              <w:ind w:left="500"/>
              <w:spacing w:after="0"/>
              <w:rPr>
                <w:sz w:val="20"/>
                <w:szCs w:val="20"/>
                <w:color w:val="auto"/>
              </w:rPr>
            </w:pPr>
            <w:r>
              <w:rPr>
                <w:rFonts w:ascii="Arial" w:cs="Arial" w:eastAsia="Arial" w:hAnsi="Arial"/>
                <w:sz w:val="16"/>
                <w:szCs w:val="16"/>
                <w:color w:val="auto"/>
              </w:rPr>
              <w:t>FSV</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819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781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819</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60" w:type="dxa"/>
            <w:vAlign w:val="bottom"/>
            <w:tcBorders>
              <w:bottom w:val="single" w:sz="8" w:color="CFF0FC"/>
            </w:tcBorders>
            <w:gridSpan w:val="2"/>
          </w:tcPr>
          <w:p>
            <w:pPr>
              <w:ind w:left="500"/>
              <w:spacing w:after="0" w:line="216" w:lineRule="exact"/>
              <w:rPr>
                <w:sz w:val="20"/>
                <w:szCs w:val="20"/>
                <w:color w:val="auto"/>
              </w:rPr>
            </w:pPr>
            <w:r>
              <w:rPr>
                <w:rFonts w:ascii="Arial" w:cs="Arial" w:eastAsia="Arial" w:hAnsi="Arial"/>
                <w:sz w:val="15"/>
                <w:szCs w:val="15"/>
                <w:color w:val="auto"/>
              </w:rPr>
              <w:t xml:space="preserve">Liftboats </w:t>
            </w:r>
            <w:r>
              <w:rPr>
                <w:rFonts w:ascii="Arial" w:cs="Arial" w:eastAsia="Arial" w:hAnsi="Arial"/>
                <w:sz w:val="25"/>
                <w:szCs w:val="25"/>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w:t>
            </w:r>
          </w:p>
        </w:tc>
        <w:tc>
          <w:tcPr>
            <w:tcW w:w="220" w:type="dxa"/>
            <w:vAlign w:val="bottom"/>
            <w:tcBorders>
              <w:bottom w:val="single" w:sz="8" w:color="CFF0FC"/>
            </w:tcBorders>
          </w:tcPr>
          <w:p>
            <w:pPr>
              <w:spacing w:after="0"/>
              <w:rPr>
                <w:sz w:val="18"/>
                <w:szCs w:val="18"/>
                <w:color w:val="auto"/>
              </w:rPr>
            </w:pPr>
          </w:p>
        </w:tc>
        <w:tc>
          <w:tcPr>
            <w:tcW w:w="42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w:t>
            </w:r>
          </w:p>
        </w:tc>
        <w:tc>
          <w:tcPr>
            <w:tcW w:w="220" w:type="dxa"/>
            <w:vAlign w:val="bottom"/>
            <w:tcBorders>
              <w:bottom w:val="single" w:sz="8" w:color="CFF0FC"/>
            </w:tcBorders>
          </w:tcPr>
          <w:p>
            <w:pPr>
              <w:spacing w:after="0"/>
              <w:rPr>
                <w:sz w:val="18"/>
                <w:szCs w:val="18"/>
                <w:color w:val="auto"/>
              </w:rPr>
            </w:pPr>
          </w:p>
        </w:tc>
        <w:tc>
          <w:tcPr>
            <w:tcW w:w="42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1,771</w:t>
            </w:r>
          </w:p>
        </w:tc>
        <w:tc>
          <w:tcPr>
            <w:tcW w:w="220" w:type="dxa"/>
            <w:vAlign w:val="bottom"/>
            <w:tcBorders>
              <w:bottom w:val="single" w:sz="8" w:color="CFF0FC"/>
            </w:tcBorders>
          </w:tcPr>
          <w:p>
            <w:pPr>
              <w:spacing w:after="0"/>
              <w:rPr>
                <w:sz w:val="18"/>
                <w:szCs w:val="18"/>
                <w:color w:val="auto"/>
              </w:rPr>
            </w:pPr>
          </w:p>
        </w:tc>
        <w:tc>
          <w:tcPr>
            <w:tcW w:w="42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2,281</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760" w:type="dxa"/>
            <w:vAlign w:val="bottom"/>
            <w:tcBorders>
              <w:bottom w:val="single" w:sz="8" w:color="CFF0FC"/>
            </w:tcBorders>
            <w:gridSpan w:val="2"/>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1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1,363</w:t>
            </w:r>
          </w:p>
        </w:tc>
        <w:tc>
          <w:tcPr>
            <w:tcW w:w="2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right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1,062</w:t>
            </w:r>
          </w:p>
        </w:tc>
        <w:tc>
          <w:tcPr>
            <w:tcW w:w="2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right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3,955</w:t>
            </w:r>
          </w:p>
        </w:tc>
        <w:tc>
          <w:tcPr>
            <w:tcW w:w="2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right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3,692</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60" w:type="dxa"/>
            <w:vAlign w:val="bottom"/>
            <w:gridSpan w:val="2"/>
            <w:vMerge w:val="restart"/>
          </w:tcPr>
          <w:p>
            <w:pPr>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7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17,075</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89%</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5,289</w:t>
            </w:r>
          </w:p>
        </w:tc>
        <w:tc>
          <w:tcPr>
            <w:tcW w:w="220" w:type="dxa"/>
            <w:vAlign w:val="bottom"/>
            <w:shd w:val="clear" w:color="auto" w:fill="CFF0FC"/>
          </w:tcPr>
          <w:p>
            <w:pPr>
              <w:spacing w:after="0"/>
              <w:rPr>
                <w:sz w:val="19"/>
                <w:szCs w:val="19"/>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81%</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34,698</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84%</w:t>
            </w: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10,197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3"/>
        </w:trPr>
        <w:tc>
          <w:tcPr>
            <w:tcW w:w="3760" w:type="dxa"/>
            <w:vAlign w:val="bottom"/>
            <w:gridSpan w:val="2"/>
          </w:tcPr>
          <w:p>
            <w:pPr>
              <w:ind w:left="260"/>
              <w:spacing w:after="0"/>
              <w:rPr>
                <w:sz w:val="20"/>
                <w:szCs w:val="20"/>
                <w:color w:val="auto"/>
              </w:rPr>
            </w:pPr>
            <w:r>
              <w:rPr>
                <w:rFonts w:ascii="Arial" w:cs="Arial" w:eastAsia="Arial" w:hAnsi="Arial"/>
                <w:sz w:val="16"/>
                <w:szCs w:val="16"/>
                <w:color w:val="auto"/>
              </w:rPr>
              <w:t>Bareboat charter</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2,161</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w:t>
            </w: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1,215</w:t>
            </w:r>
          </w:p>
        </w:tc>
        <w:tc>
          <w:tcPr>
            <w:tcW w:w="220" w:type="dxa"/>
            <w:vAlign w:val="bottom"/>
            <w:shd w:val="clear" w:color="auto" w:fill="CFF0FC"/>
          </w:tcPr>
          <w:p>
            <w:pPr>
              <w:spacing w:after="0"/>
              <w:rPr>
                <w:sz w:val="18"/>
                <w:szCs w:val="18"/>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19%</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6,612</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16%</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19,236</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6,504</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41,310</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13,848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w w:val="97"/>
              </w:rPr>
              <w:t>100%</w:t>
            </w:r>
          </w:p>
        </w:tc>
        <w:tc>
          <w:tcPr>
            <w:tcW w:w="0" w:type="dxa"/>
            <w:vAlign w:val="bottom"/>
          </w:tcPr>
          <w:p>
            <w:pPr>
              <w:spacing w:after="0"/>
              <w:rPr>
                <w:sz w:val="1"/>
                <w:szCs w:val="1"/>
                <w:color w:val="auto"/>
              </w:rPr>
            </w:pPr>
          </w:p>
        </w:tc>
      </w:tr>
      <w:tr>
        <w:trPr>
          <w:trHeight w:val="213"/>
        </w:trPr>
        <w:tc>
          <w:tcPr>
            <w:tcW w:w="37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Direct operating expenses:</w:t>
            </w:r>
          </w:p>
        </w:tc>
        <w:tc>
          <w:tcPr>
            <w:tcW w:w="1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60" w:type="dxa"/>
            <w:vAlign w:val="bottom"/>
            <w:gridSpan w:val="2"/>
          </w:tcPr>
          <w:p>
            <w:pPr>
              <w:ind w:left="260"/>
              <w:spacing w:after="0"/>
              <w:rPr>
                <w:sz w:val="20"/>
                <w:szCs w:val="20"/>
                <w:color w:val="auto"/>
              </w:rPr>
            </w:pPr>
            <w:r>
              <w:rPr>
                <w:rFonts w:ascii="Arial" w:cs="Arial" w:eastAsia="Arial" w:hAnsi="Arial"/>
                <w:sz w:val="16"/>
                <w:szCs w:val="16"/>
                <w:color w:val="auto"/>
              </w:rPr>
              <w:t>Personnel</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7,243</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38%</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2,428</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37%</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17,939</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43%</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5,700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9"/>
        </w:trPr>
        <w:tc>
          <w:tcPr>
            <w:tcW w:w="37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Repairs and maintenance</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2,002</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1,266</w:t>
            </w:r>
          </w:p>
        </w:tc>
        <w:tc>
          <w:tcPr>
            <w:tcW w:w="220" w:type="dxa"/>
            <w:vAlign w:val="bottom"/>
            <w:shd w:val="clear" w:color="auto" w:fill="CFF0FC"/>
          </w:tcPr>
          <w:p>
            <w:pPr>
              <w:spacing w:after="0"/>
              <w:rPr>
                <w:sz w:val="19"/>
                <w:szCs w:val="19"/>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19%</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4,383</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3760" w:type="dxa"/>
            <w:vAlign w:val="bottom"/>
            <w:gridSpan w:val="2"/>
          </w:tcPr>
          <w:p>
            <w:pPr>
              <w:ind w:left="260"/>
              <w:spacing w:after="0"/>
              <w:rPr>
                <w:sz w:val="20"/>
                <w:szCs w:val="20"/>
                <w:color w:val="auto"/>
              </w:rPr>
            </w:pPr>
            <w:r>
              <w:rPr>
                <w:rFonts w:ascii="Arial" w:cs="Arial" w:eastAsia="Arial" w:hAnsi="Arial"/>
                <w:sz w:val="16"/>
                <w:szCs w:val="16"/>
                <w:color w:val="auto"/>
              </w:rPr>
              <w:t>Drydocking</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1,549</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8%</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239</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8,506</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21%</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1,891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37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Insurance and loss reserves</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1,382</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w:t>
            </w:r>
          </w:p>
        </w:tc>
        <w:tc>
          <w:tcPr>
            <w:tcW w:w="220" w:type="dxa"/>
            <w:vAlign w:val="bottom"/>
            <w:shd w:val="clear" w:color="auto" w:fill="CFF0FC"/>
          </w:tcPr>
          <w:p>
            <w:pPr>
              <w:spacing w:after="0"/>
              <w:rPr>
                <w:sz w:val="19"/>
                <w:szCs w:val="19"/>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2,809</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3760" w:type="dxa"/>
            <w:vAlign w:val="bottom"/>
            <w:gridSpan w:val="2"/>
          </w:tcPr>
          <w:p>
            <w:pPr>
              <w:ind w:left="260"/>
              <w:spacing w:after="0"/>
              <w:rPr>
                <w:sz w:val="20"/>
                <w:szCs w:val="20"/>
                <w:color w:val="auto"/>
              </w:rPr>
            </w:pPr>
            <w:r>
              <w:rPr>
                <w:rFonts w:ascii="Arial" w:cs="Arial" w:eastAsia="Arial" w:hAnsi="Arial"/>
                <w:sz w:val="16"/>
                <w:szCs w:val="16"/>
                <w:color w:val="auto"/>
              </w:rPr>
              <w:t>Fuel, lubes and supplies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1,143</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6%</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259</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2,599</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6%</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w:t>
            </w: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w:t>
            </w:r>
          </w:p>
        </w:tc>
        <w:tc>
          <w:tcPr>
            <w:tcW w:w="220" w:type="dxa"/>
            <w:vAlign w:val="bottom"/>
            <w:shd w:val="clear" w:color="auto" w:fill="CFF0FC"/>
          </w:tcPr>
          <w:p>
            <w:pPr>
              <w:spacing w:after="0"/>
              <w:rPr>
                <w:sz w:val="18"/>
                <w:szCs w:val="18"/>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819</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13,633</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71%</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4,801</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74%</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37,055</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90%</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12,963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
        </w:trPr>
        <w:tc>
          <w:tcPr>
            <w:tcW w:w="3760" w:type="dxa"/>
            <w:vAlign w:val="bottom"/>
            <w:gridSpan w:val="2"/>
            <w:vMerge w:val="restart"/>
            <w:shd w:val="clear" w:color="auto" w:fill="CFF0FC"/>
          </w:tcPr>
          <w:p>
            <w:pPr>
              <w:spacing w:after="0"/>
              <w:rPr>
                <w:sz w:val="20"/>
                <w:szCs w:val="20"/>
                <w:color w:val="auto"/>
              </w:rPr>
            </w:pPr>
            <w:r>
              <w:rPr>
                <w:rFonts w:ascii="Arial" w:cs="Arial" w:eastAsia="Arial" w:hAnsi="Arial"/>
                <w:sz w:val="16"/>
                <w:szCs w:val="16"/>
                <w:color w:val="auto"/>
              </w:rPr>
              <w:t>Direct Vessel Profit</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5,603</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29%</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1,703</w:t>
            </w:r>
          </w:p>
        </w:tc>
        <w:tc>
          <w:tcPr>
            <w:tcW w:w="220" w:type="dxa"/>
            <w:vAlign w:val="bottom"/>
            <w:shd w:val="clear" w:color="auto" w:fill="CFF0FC"/>
          </w:tcPr>
          <w:p>
            <w:pPr>
              <w:spacing w:after="0"/>
              <w:rPr>
                <w:sz w:val="18"/>
                <w:szCs w:val="18"/>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26%</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4,255</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w:t>
            </w: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1500" w:type="dxa"/>
            <w:vAlign w:val="bottom"/>
            <w:tcBorders>
              <w:top w:val="single" w:sz="8" w:color="CFF0FC"/>
            </w:tcBorders>
          </w:tcPr>
          <w:p>
            <w:pPr>
              <w:spacing w:after="0" w:line="20" w:lineRule="exact"/>
              <w:rPr>
                <w:sz w:val="1"/>
                <w:szCs w:val="1"/>
                <w:color w:val="auto"/>
              </w:rPr>
            </w:pPr>
          </w:p>
        </w:tc>
        <w:tc>
          <w:tcPr>
            <w:tcW w:w="2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500" w:type="dxa"/>
            <w:vAlign w:val="bottom"/>
            <w:tcBorders>
              <w:bottom w:val="single" w:sz="8" w:color="auto"/>
            </w:tcBorders>
          </w:tcPr>
          <w:p>
            <w:pPr>
              <w:spacing w:after="0"/>
              <w:rPr>
                <w:sz w:val="10"/>
                <w:szCs w:val="10"/>
                <w:color w:val="auto"/>
              </w:rPr>
            </w:pPr>
          </w:p>
        </w:tc>
        <w:tc>
          <w:tcPr>
            <w:tcW w:w="2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760" w:hanging="752"/>
        <w:spacing w:after="0" w:line="253" w:lineRule="auto"/>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 the second quarter of 2021, the Company removed from service four liftboats in this class. Liftboat Utilization and Available Days reflects the removed from service status of these vessels.</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212"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i w:val="1"/>
          <w:iCs w:val="1"/>
          <w:color w:val="auto"/>
        </w:rPr>
        <w:t>Operating Revenues</w:t>
      </w:r>
      <w:r>
        <w:rPr>
          <w:rFonts w:ascii="Arial" w:cs="Arial" w:eastAsia="Arial" w:hAnsi="Arial"/>
          <w:sz w:val="19"/>
          <w:szCs w:val="19"/>
          <w:color w:val="auto"/>
        </w:rPr>
        <w:t>. Charter revenues were $11.8 million higher in the Current Year Quarter compared with the Prior</w:t>
      </w:r>
      <w:r>
        <w:rPr>
          <w:rFonts w:ascii="Arial" w:cs="Arial" w:eastAsia="Arial" w:hAnsi="Arial"/>
          <w:sz w:val="19"/>
          <w:szCs w:val="19"/>
          <w:i w:val="1"/>
          <w:iCs w:val="1"/>
          <w:color w:val="auto"/>
        </w:rPr>
        <w:t xml:space="preserve"> </w:t>
      </w:r>
      <w:r>
        <w:rPr>
          <w:rFonts w:ascii="Arial" w:cs="Arial" w:eastAsia="Arial" w:hAnsi="Arial"/>
          <w:sz w:val="19"/>
          <w:szCs w:val="19"/>
          <w:color w:val="auto"/>
        </w:rPr>
        <w:t>Year Quarter. Charter revenues were $6.8 million higher due to the repositioning of vessels between geographic regions, $3.2 million higher due to the acquisition of an additional three PSVs in this region as a result of the OSV Partners Merger and $1.8 million higher due to improved utilization of the core fleet. Other marine services were $0.9 million higher primarily due to business interruption insurance revenue and higher liftboat catering revenues. As of September 30, 2022, the Company had two of 14 owned and leased-in vessels (one AHTS and one liftboat) cold-stacked in this region compared with five of 12 vessels (one AHTS, one FSV, one PSV and two liftboats) as of September 30, 2021.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3" w:name="page44"/>
    <w:bookmarkEnd w:id="43"/>
    <w:p>
      <w:pPr>
        <w:jc w:val="both"/>
        <w:ind w:firstLine="749"/>
        <w:spacing w:after="0" w:line="238" w:lineRule="auto"/>
        <w:rPr>
          <w:sz w:val="20"/>
          <w:szCs w:val="20"/>
          <w:color w:val="auto"/>
        </w:rPr>
      </w:pPr>
      <w:r>
        <w:rPr>
          <w:rFonts w:ascii="Arial" w:cs="Arial" w:eastAsia="Arial" w:hAnsi="Arial"/>
          <w:sz w:val="22"/>
          <w:szCs w:val="22"/>
          <w:i w:val="1"/>
          <w:iCs w:val="1"/>
          <w:color w:val="auto"/>
        </w:rPr>
        <w:t>Direct Operating Expenses</w:t>
      </w:r>
      <w:r>
        <w:rPr>
          <w:rFonts w:ascii="Arial" w:cs="Arial" w:eastAsia="Arial" w:hAnsi="Arial"/>
          <w:sz w:val="22"/>
          <w:szCs w:val="22"/>
          <w:color w:val="auto"/>
        </w:rPr>
        <w:t>. Direct operating expenses were $8.8 million higher in the Current Year Quarter compared</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Prior Year Quarter. Direct operating expenses were $4.8 million higher due to the repositioning of vessels between geographic regions, $2.7 million higher due to net fleet additions and $1.3 million higher for the core fleet as a result of vessels changing from bareboat to time charter status and timing of drydockings.</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Year Nine Months compared with Prior Year Nine Months</w:t>
      </w:r>
    </w:p>
    <w:p>
      <w:pPr>
        <w:spacing w:after="0" w:line="21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i w:val="1"/>
          <w:iCs w:val="1"/>
          <w:color w:val="auto"/>
        </w:rPr>
        <w:t xml:space="preserve">Operating Revenues. </w:t>
      </w:r>
      <w:r>
        <w:rPr>
          <w:rFonts w:ascii="Arial" w:cs="Arial" w:eastAsia="Arial" w:hAnsi="Arial"/>
          <w:sz w:val="21"/>
          <w:szCs w:val="21"/>
          <w:color w:val="auto"/>
        </w:rPr>
        <w:t>Charter revenues were $23.3 million higher in the Current Year Nine Months. Charter revenues</w:t>
      </w:r>
      <w:r>
        <w:rPr>
          <w:rFonts w:ascii="Arial" w:cs="Arial" w:eastAsia="Arial" w:hAnsi="Arial"/>
          <w:sz w:val="21"/>
          <w:szCs w:val="21"/>
          <w:i w:val="1"/>
          <w:iCs w:val="1"/>
          <w:color w:val="auto"/>
        </w:rPr>
        <w:t xml:space="preserve"> </w:t>
      </w:r>
      <w:r>
        <w:rPr>
          <w:rFonts w:ascii="Arial" w:cs="Arial" w:eastAsia="Arial" w:hAnsi="Arial"/>
          <w:sz w:val="21"/>
          <w:szCs w:val="21"/>
          <w:color w:val="auto"/>
        </w:rPr>
        <w:t>were $11.6 million higher due to the repositioning of vessels between geographic regions, $7.7 million higher due to the acquisition of an additional three PSVs in this region as a result of the OSV Partners Merger and $4.0 million higher due to improved utilization of the core fleet. Other marine services were $4.1 million higher primarily due to business interruption insurance revenue and higher management fees and liftboat catering revenues.</w:t>
      </w:r>
    </w:p>
    <w:p>
      <w:pPr>
        <w:spacing w:after="0" w:line="178"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i w:val="1"/>
          <w:iCs w:val="1"/>
          <w:color w:val="auto"/>
        </w:rPr>
        <w:t xml:space="preserve">Direct Operating Expenses. </w:t>
      </w:r>
      <w:r>
        <w:rPr>
          <w:rFonts w:ascii="Arial" w:cs="Arial" w:eastAsia="Arial" w:hAnsi="Arial"/>
          <w:sz w:val="19"/>
          <w:szCs w:val="19"/>
          <w:color w:val="auto"/>
        </w:rPr>
        <w:t>Direct operating expenses were $24.1 million higher in the Current Year Nine Months</w:t>
      </w:r>
      <w:r>
        <w:rPr>
          <w:rFonts w:ascii="Arial" w:cs="Arial" w:eastAsia="Arial" w:hAnsi="Arial"/>
          <w:sz w:val="19"/>
          <w:szCs w:val="19"/>
          <w:i w:val="1"/>
          <w:iCs w:val="1"/>
          <w:color w:val="auto"/>
        </w:rPr>
        <w:t xml:space="preserve"> </w:t>
      </w:r>
      <w:r>
        <w:rPr>
          <w:rFonts w:ascii="Arial" w:cs="Arial" w:eastAsia="Arial" w:hAnsi="Arial"/>
          <w:sz w:val="19"/>
          <w:szCs w:val="19"/>
          <w:color w:val="auto"/>
        </w:rPr>
        <w:t>compared with the Prior Year Nine Months. Direct operating expenses were $12.8 million higher due to the repositioning of vessels between geographic regions, $6.1 million higher due to net fleet additions and $5.2 million higher for the core fleet as a result of timing of drydocking and vessels changing from bareboat to time charter status. The Current Year Nine Months drydocking and repair expenditures included $0.8 million of costs pending adjustment of insurance claims.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4" w:name="page45"/>
    <w:bookmarkEnd w:id="44"/>
    <w:p>
      <w:pPr>
        <w:ind w:left="760"/>
        <w:spacing w:after="0"/>
        <w:rPr>
          <w:sz w:val="20"/>
          <w:szCs w:val="20"/>
          <w:color w:val="auto"/>
        </w:rPr>
      </w:pPr>
      <w:r>
        <w:rPr>
          <w:rFonts w:ascii="Arial" w:cs="Arial" w:eastAsia="Arial" w:hAnsi="Arial"/>
          <w:sz w:val="19"/>
          <w:szCs w:val="19"/>
          <w:b w:val="1"/>
          <w:bCs w:val="1"/>
          <w:i w:val="1"/>
          <w:iCs w:val="1"/>
          <w:color w:val="auto"/>
        </w:rPr>
        <w:t xml:space="preserve">Africa and Europe, continuing operations. </w:t>
      </w:r>
      <w:r>
        <w:rPr>
          <w:rFonts w:ascii="Arial" w:cs="Arial" w:eastAsia="Arial" w:hAnsi="Arial"/>
          <w:sz w:val="19"/>
          <w:szCs w:val="19"/>
          <w:color w:val="auto"/>
        </w:rPr>
        <w:t>For the three and nine months ended September 30, 2022 and 2021 the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Company’s time charter statistics and direct vessel profit in Africa and Europe was as follows (in thousands, except statistics):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8"/>
          </w:tcPr>
          <w:p>
            <w:pPr>
              <w:ind w:left="100"/>
              <w:spacing w:after="0"/>
              <w:rPr>
                <w:sz w:val="20"/>
                <w:szCs w:val="20"/>
                <w:color w:val="auto"/>
              </w:rPr>
            </w:pPr>
            <w:r>
              <w:rPr>
                <w:rFonts w:ascii="Arial" w:cs="Arial" w:eastAsia="Arial" w:hAnsi="Arial"/>
                <w:sz w:val="16"/>
                <w:szCs w:val="16"/>
                <w:b w:val="1"/>
                <w:bCs w:val="1"/>
                <w:color w:val="auto"/>
                <w:w w:val="92"/>
              </w:rPr>
              <w:t>For the Three Months Ended September 30,</w:t>
            </w:r>
          </w:p>
        </w:tc>
        <w:tc>
          <w:tcPr>
            <w:tcW w:w="2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8"/>
          </w:tcPr>
          <w:p>
            <w:pPr>
              <w:ind w:left="120"/>
              <w:spacing w:after="0"/>
              <w:rPr>
                <w:sz w:val="20"/>
                <w:szCs w:val="20"/>
                <w:color w:val="auto"/>
              </w:rPr>
            </w:pPr>
            <w:r>
              <w:rPr>
                <w:rFonts w:ascii="Arial" w:cs="Arial" w:eastAsia="Arial" w:hAnsi="Arial"/>
                <w:sz w:val="16"/>
                <w:szCs w:val="16"/>
                <w:b w:val="1"/>
                <w:bCs w:val="1"/>
                <w:color w:val="auto"/>
                <w:w w:val="93"/>
              </w:rPr>
              <w:t>For the Nine Months Ended September 30,</w:t>
            </w:r>
          </w:p>
        </w:tc>
        <w:tc>
          <w:tcPr>
            <w:tcW w:w="3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60"/>
              <w:spacing w:after="0"/>
              <w:rPr>
                <w:sz w:val="20"/>
                <w:szCs w:val="20"/>
                <w:color w:val="auto"/>
              </w:rPr>
            </w:pPr>
            <w:r>
              <w:rPr>
                <w:rFonts w:ascii="Arial" w:cs="Arial" w:eastAsia="Arial" w:hAnsi="Arial"/>
                <w:sz w:val="16"/>
                <w:szCs w:val="16"/>
                <w:color w:val="auto"/>
              </w:rPr>
              <w:t>Rates Per Day Worked: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9,917</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9,953</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8,687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500"/>
              <w:spacing w:after="0"/>
              <w:rPr>
                <w:sz w:val="20"/>
                <w:szCs w:val="20"/>
                <w:color w:val="auto"/>
              </w:rPr>
            </w:pPr>
            <w:r>
              <w:rPr>
                <w:rFonts w:ascii="Arial" w:cs="Arial" w:eastAsia="Arial" w:hAnsi="Arial"/>
                <w:sz w:val="16"/>
                <w:szCs w:val="16"/>
                <w:color w:val="auto"/>
              </w:rPr>
              <w:t>FSV</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11,378</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9,132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10,690</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8,996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14,020</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9,740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12,956</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2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36,010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34,856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11,813</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9,551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11,089</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10,664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60"/>
              <w:spacing w:after="0"/>
              <w:rPr>
                <w:sz w:val="20"/>
                <w:szCs w:val="20"/>
                <w:color w:val="auto"/>
              </w:rPr>
            </w:pPr>
            <w:r>
              <w:rPr>
                <w:rFonts w:ascii="Arial" w:cs="Arial" w:eastAsia="Arial" w:hAnsi="Arial"/>
                <w:sz w:val="16"/>
                <w:szCs w:val="16"/>
                <w:color w:val="auto"/>
              </w:rPr>
              <w:t>Utilization:</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99%</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99%</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3"/>
        </w:trPr>
        <w:tc>
          <w:tcPr>
            <w:tcW w:w="3400" w:type="dxa"/>
            <w:vAlign w:val="bottom"/>
          </w:tcPr>
          <w:p>
            <w:pPr>
              <w:ind w:left="500"/>
              <w:spacing w:after="0"/>
              <w:rPr>
                <w:sz w:val="20"/>
                <w:szCs w:val="20"/>
                <w:color w:val="auto"/>
              </w:rPr>
            </w:pPr>
            <w:r>
              <w:rPr>
                <w:rFonts w:ascii="Arial" w:cs="Arial" w:eastAsia="Arial" w:hAnsi="Arial"/>
                <w:sz w:val="16"/>
                <w:szCs w:val="16"/>
                <w:color w:val="auto"/>
              </w:rPr>
              <w:t>FSV</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98%</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74%</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87%</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9"/>
        </w:trPr>
        <w:tc>
          <w:tcPr>
            <w:tcW w:w="34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76%</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79%</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75%</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3"/>
        </w:trPr>
        <w:tc>
          <w:tcPr>
            <w:tcW w:w="340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9"/>
        </w:trPr>
        <w:tc>
          <w:tcPr>
            <w:tcW w:w="34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91%</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77%</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86%</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3"/>
        </w:trPr>
        <w:tc>
          <w:tcPr>
            <w:tcW w:w="3400" w:type="dxa"/>
            <w:vAlign w:val="bottom"/>
          </w:tcPr>
          <w:p>
            <w:pPr>
              <w:ind w:left="260"/>
              <w:spacing w:after="0"/>
              <w:rPr>
                <w:sz w:val="20"/>
                <w:szCs w:val="20"/>
                <w:color w:val="auto"/>
              </w:rPr>
            </w:pPr>
            <w:r>
              <w:rPr>
                <w:rFonts w:ascii="Arial" w:cs="Arial" w:eastAsia="Arial" w:hAnsi="Arial"/>
                <w:sz w:val="16"/>
                <w:szCs w:val="16"/>
                <w:color w:val="auto"/>
              </w:rPr>
              <w:t>Available Days: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819</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500"/>
              <w:spacing w:after="0"/>
              <w:rPr>
                <w:sz w:val="20"/>
                <w:szCs w:val="20"/>
                <w:color w:val="auto"/>
              </w:rPr>
            </w:pPr>
            <w:r>
              <w:rPr>
                <w:rFonts w:ascii="Arial" w:cs="Arial" w:eastAsia="Arial" w:hAnsi="Arial"/>
                <w:sz w:val="16"/>
                <w:szCs w:val="16"/>
                <w:color w:val="auto"/>
              </w:rPr>
              <w:t>FSV</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828</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828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2,580</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2,463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525</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1,296</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2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1,629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5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CFF0FC"/>
              <w:bottom w:val="single" w:sz="8" w:color="CFF0FC"/>
              <w:right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1,417</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4,695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5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CFF0FC"/>
              <w:bottom w:val="single" w:sz="8" w:color="CFF0FC"/>
              <w:right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4,138</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6"/>
                <w:szCs w:val="16"/>
                <w:color w:val="auto"/>
              </w:rPr>
              <w:t>Operating revenues:</w:t>
            </w: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4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17,551</w:t>
            </w:r>
          </w:p>
        </w:tc>
        <w:tc>
          <w:tcPr>
            <w:tcW w:w="22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w:t>
            </w: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10,446</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w w:val="97"/>
              </w:rPr>
              <w:t>104%</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44,761</w:t>
            </w:r>
          </w:p>
        </w:tc>
        <w:tc>
          <w:tcPr>
            <w:tcW w:w="220" w:type="dxa"/>
            <w:vAlign w:val="bottom"/>
            <w:shd w:val="clear" w:color="auto" w:fill="CFF0FC"/>
          </w:tcPr>
          <w:p>
            <w:pPr>
              <w:spacing w:after="0"/>
              <w:rPr>
                <w:sz w:val="19"/>
                <w:szCs w:val="19"/>
                <w:color w:val="auto"/>
              </w:rPr>
            </w:pPr>
          </w:p>
        </w:tc>
        <w:tc>
          <w:tcPr>
            <w:tcW w:w="7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99%</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32,385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3"/>
        </w:trPr>
        <w:tc>
          <w:tcPr>
            <w:tcW w:w="3400" w:type="dxa"/>
            <w:vAlign w:val="bottom"/>
          </w:tcPr>
          <w:p>
            <w:pPr>
              <w:ind w:left="260"/>
              <w:spacing w:after="0"/>
              <w:rPr>
                <w:sz w:val="20"/>
                <w:szCs w:val="20"/>
                <w:color w:val="auto"/>
              </w:rPr>
            </w:pPr>
            <w:r>
              <w:rPr>
                <w:rFonts w:ascii="Arial" w:cs="Arial" w:eastAsia="Arial" w:hAnsi="Arial"/>
                <w:sz w:val="16"/>
                <w:szCs w:val="16"/>
                <w:color w:val="auto"/>
              </w:rPr>
              <w:t>Other marine services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c>
          <w:tcPr>
            <w:tcW w:w="3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(429)</w:t>
            </w:r>
          </w:p>
        </w:tc>
        <w:tc>
          <w:tcPr>
            <w:tcW w:w="2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516</w:t>
            </w:r>
          </w:p>
        </w:tc>
        <w:tc>
          <w:tcPr>
            <w:tcW w:w="2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(922)</w:t>
            </w:r>
          </w:p>
        </w:tc>
        <w:tc>
          <w:tcPr>
            <w:tcW w:w="2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34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17,611</w:t>
            </w:r>
          </w:p>
        </w:tc>
        <w:tc>
          <w:tcPr>
            <w:tcW w:w="220" w:type="dxa"/>
            <w:vAlign w:val="bottom"/>
            <w:shd w:val="clear" w:color="auto" w:fill="CFF0FC"/>
          </w:tcPr>
          <w:p>
            <w:pPr>
              <w:spacing w:after="0"/>
              <w:rPr>
                <w:sz w:val="18"/>
                <w:szCs w:val="18"/>
                <w:color w:val="auto"/>
              </w:rPr>
            </w:pPr>
          </w:p>
        </w:tc>
        <w:tc>
          <w:tcPr>
            <w:tcW w:w="7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10,017</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w w:val="97"/>
              </w:rPr>
              <w:t>100%</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45,277</w:t>
            </w:r>
          </w:p>
        </w:tc>
        <w:tc>
          <w:tcPr>
            <w:tcW w:w="220" w:type="dxa"/>
            <w:vAlign w:val="bottom"/>
            <w:shd w:val="clear" w:color="auto" w:fill="CFF0FC"/>
          </w:tcPr>
          <w:p>
            <w:pPr>
              <w:spacing w:after="0"/>
              <w:rPr>
                <w:sz w:val="18"/>
                <w:szCs w:val="18"/>
                <w:color w:val="auto"/>
              </w:rPr>
            </w:pPr>
          </w:p>
        </w:tc>
        <w:tc>
          <w:tcPr>
            <w:tcW w:w="7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31,463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6"/>
        </w:trPr>
        <w:tc>
          <w:tcPr>
            <w:tcW w:w="3400" w:type="dxa"/>
            <w:vAlign w:val="bottom"/>
          </w:tcPr>
          <w:p>
            <w:pPr>
              <w:spacing w:after="0"/>
              <w:rPr>
                <w:sz w:val="20"/>
                <w:szCs w:val="20"/>
                <w:color w:val="auto"/>
              </w:rPr>
            </w:pPr>
            <w:r>
              <w:rPr>
                <w:rFonts w:ascii="Arial" w:cs="Arial" w:eastAsia="Arial" w:hAnsi="Arial"/>
                <w:sz w:val="16"/>
                <w:szCs w:val="16"/>
                <w:color w:val="auto"/>
              </w:rPr>
              <w:t>Direct operating expenses:</w:t>
            </w: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4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Personnel</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4,694</w:t>
            </w:r>
          </w:p>
        </w:tc>
        <w:tc>
          <w:tcPr>
            <w:tcW w:w="22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27%</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3,147</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31%</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11,756</w:t>
            </w:r>
          </w:p>
        </w:tc>
        <w:tc>
          <w:tcPr>
            <w:tcW w:w="220" w:type="dxa"/>
            <w:vAlign w:val="bottom"/>
            <w:shd w:val="clear" w:color="auto" w:fill="CFF0FC"/>
          </w:tcPr>
          <w:p>
            <w:pPr>
              <w:spacing w:after="0"/>
              <w:rPr>
                <w:sz w:val="19"/>
                <w:szCs w:val="19"/>
                <w:color w:val="auto"/>
              </w:rPr>
            </w:pPr>
          </w:p>
        </w:tc>
        <w:tc>
          <w:tcPr>
            <w:tcW w:w="7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26%</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10,620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3"/>
        </w:trPr>
        <w:tc>
          <w:tcPr>
            <w:tcW w:w="3400" w:type="dxa"/>
            <w:vAlign w:val="bottom"/>
          </w:tcPr>
          <w:p>
            <w:pPr>
              <w:ind w:left="260"/>
              <w:spacing w:after="0"/>
              <w:rPr>
                <w:sz w:val="20"/>
                <w:szCs w:val="20"/>
                <w:color w:val="auto"/>
              </w:rPr>
            </w:pPr>
            <w:r>
              <w:rPr>
                <w:rFonts w:ascii="Arial" w:cs="Arial" w:eastAsia="Arial" w:hAnsi="Arial"/>
                <w:sz w:val="16"/>
                <w:szCs w:val="16"/>
                <w:color w:val="auto"/>
              </w:rPr>
              <w:t>Repairs and maintenance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2,110</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12%</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1,540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6,327</w:t>
            </w:r>
          </w:p>
        </w:tc>
        <w:tc>
          <w:tcPr>
            <w:tcW w:w="2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14%</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4,926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9"/>
        </w:trPr>
        <w:tc>
          <w:tcPr>
            <w:tcW w:w="34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Drydocking</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383</w:t>
            </w:r>
          </w:p>
        </w:tc>
        <w:tc>
          <w:tcPr>
            <w:tcW w:w="22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1,661</w:t>
            </w:r>
          </w:p>
        </w:tc>
        <w:tc>
          <w:tcPr>
            <w:tcW w:w="220" w:type="dxa"/>
            <w:vAlign w:val="bottom"/>
            <w:shd w:val="clear" w:color="auto" w:fill="CFF0FC"/>
          </w:tcPr>
          <w:p>
            <w:pPr>
              <w:spacing w:after="0"/>
              <w:rPr>
                <w:sz w:val="19"/>
                <w:szCs w:val="19"/>
                <w:color w:val="auto"/>
              </w:rPr>
            </w:pPr>
          </w:p>
        </w:tc>
        <w:tc>
          <w:tcPr>
            <w:tcW w:w="7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3400" w:type="dxa"/>
            <w:vAlign w:val="bottom"/>
          </w:tcPr>
          <w:p>
            <w:pPr>
              <w:ind w:left="260"/>
              <w:spacing w:after="0"/>
              <w:rPr>
                <w:sz w:val="20"/>
                <w:szCs w:val="20"/>
                <w:color w:val="auto"/>
              </w:rPr>
            </w:pPr>
            <w:r>
              <w:rPr>
                <w:rFonts w:ascii="Arial" w:cs="Arial" w:eastAsia="Arial" w:hAnsi="Arial"/>
                <w:sz w:val="16"/>
                <w:szCs w:val="16"/>
                <w:color w:val="auto"/>
              </w:rPr>
              <w:t>Insurance and loss reserves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359</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812</w:t>
            </w:r>
          </w:p>
        </w:tc>
        <w:tc>
          <w:tcPr>
            <w:tcW w:w="2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1,108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34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Fuel, lubes and supplies</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2,284</w:t>
            </w:r>
          </w:p>
        </w:tc>
        <w:tc>
          <w:tcPr>
            <w:tcW w:w="22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16%</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5,247</w:t>
            </w:r>
          </w:p>
        </w:tc>
        <w:tc>
          <w:tcPr>
            <w:tcW w:w="220" w:type="dxa"/>
            <w:vAlign w:val="bottom"/>
            <w:shd w:val="clear" w:color="auto" w:fill="CFF0FC"/>
          </w:tcPr>
          <w:p>
            <w:pPr>
              <w:spacing w:after="0"/>
              <w:rPr>
                <w:sz w:val="19"/>
                <w:szCs w:val="19"/>
                <w:color w:val="auto"/>
              </w:rPr>
            </w:pPr>
          </w:p>
        </w:tc>
        <w:tc>
          <w:tcPr>
            <w:tcW w:w="7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12%</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3400" w:type="dxa"/>
            <w:vAlign w:val="bottom"/>
          </w:tcPr>
          <w:p>
            <w:pPr>
              <w:ind w:left="26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1,580</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9%</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1,424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5,279</w:t>
            </w:r>
          </w:p>
        </w:tc>
        <w:tc>
          <w:tcPr>
            <w:tcW w:w="2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11%</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4,075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34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11,410</w:t>
            </w:r>
          </w:p>
        </w:tc>
        <w:tc>
          <w:tcPr>
            <w:tcW w:w="220" w:type="dxa"/>
            <w:vAlign w:val="bottom"/>
            <w:shd w:val="clear" w:color="auto" w:fill="CFF0FC"/>
          </w:tcPr>
          <w:p>
            <w:pPr>
              <w:spacing w:after="0"/>
              <w:rPr>
                <w:sz w:val="18"/>
                <w:szCs w:val="18"/>
                <w:color w:val="auto"/>
              </w:rPr>
            </w:pPr>
          </w:p>
        </w:tc>
        <w:tc>
          <w:tcPr>
            <w:tcW w:w="7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65%</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8,402</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84%</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31,082</w:t>
            </w:r>
          </w:p>
        </w:tc>
        <w:tc>
          <w:tcPr>
            <w:tcW w:w="220" w:type="dxa"/>
            <w:vAlign w:val="bottom"/>
            <w:shd w:val="clear" w:color="auto" w:fill="CFF0FC"/>
          </w:tcPr>
          <w:p>
            <w:pPr>
              <w:spacing w:after="0"/>
              <w:rPr>
                <w:sz w:val="18"/>
                <w:szCs w:val="18"/>
                <w:color w:val="auto"/>
              </w:rPr>
            </w:pPr>
          </w:p>
        </w:tc>
        <w:tc>
          <w:tcPr>
            <w:tcW w:w="7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69%</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24,834</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6"/>
                <w:szCs w:val="16"/>
                <w:color w:val="auto"/>
              </w:rPr>
              <w:t>Direct Vessel Profit</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400" w:type="dxa"/>
            <w:vAlign w:val="bottom"/>
            <w:vMerge w:val="continue"/>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6,201</w:t>
            </w:r>
          </w:p>
        </w:tc>
        <w:tc>
          <w:tcPr>
            <w:tcW w:w="22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35%</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1,615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16%</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14,195</w:t>
            </w:r>
          </w:p>
        </w:tc>
        <w:tc>
          <w:tcPr>
            <w:tcW w:w="2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31%</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6,629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18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i w:val="1"/>
          <w:iCs w:val="1"/>
          <w:color w:val="auto"/>
        </w:rPr>
        <w:t xml:space="preserve">Operating Revenues. </w:t>
      </w:r>
      <w:r>
        <w:rPr>
          <w:rFonts w:ascii="Arial" w:cs="Arial" w:eastAsia="Arial" w:hAnsi="Arial"/>
          <w:sz w:val="21"/>
          <w:szCs w:val="21"/>
          <w:color w:val="auto"/>
        </w:rPr>
        <w:t>Charter revenues were $7.1 million higher in the Current Year Quarter compared with the Prior</w:t>
      </w:r>
      <w:r>
        <w:rPr>
          <w:rFonts w:ascii="Arial" w:cs="Arial" w:eastAsia="Arial" w:hAnsi="Arial"/>
          <w:sz w:val="21"/>
          <w:szCs w:val="21"/>
          <w:i w:val="1"/>
          <w:iCs w:val="1"/>
          <w:color w:val="auto"/>
        </w:rPr>
        <w:t xml:space="preserve"> </w:t>
      </w:r>
      <w:r>
        <w:rPr>
          <w:rFonts w:ascii="Arial" w:cs="Arial" w:eastAsia="Arial" w:hAnsi="Arial"/>
          <w:sz w:val="21"/>
          <w:szCs w:val="21"/>
          <w:color w:val="auto"/>
        </w:rPr>
        <w:t>Year Quarter. Charter revenues were $4.1 million higher due to the repositioning of vessels between geographic regions, $2.3 million higher for the core fleet as a result of increased day rates and utilization, and $1.1 million higher due to the reactivation of vessels from cold-stacked status partially offset by $0.4 million of net asset dispositions. As of September 30, 2022, the Company had no owned or leased-in vessels cold-stacked in this region.</w:t>
      </w:r>
    </w:p>
    <w:p>
      <w:pPr>
        <w:spacing w:after="0" w:line="138" w:lineRule="exact"/>
        <w:rPr>
          <w:sz w:val="20"/>
          <w:szCs w:val="20"/>
          <w:color w:val="auto"/>
        </w:rPr>
      </w:pPr>
    </w:p>
    <w:p>
      <w:pPr>
        <w:jc w:val="both"/>
        <w:ind w:firstLine="749"/>
        <w:spacing w:after="0"/>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$3.0 million higher in the Current Year Quarter compared</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Prior Year Quarter. Direct operating expenses were $3.3 million higher due to the repositioning of vessels between geographic regions and $0.3 million lower due to net asset dispositions.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Year Nine Months compared with Prior Year Nine Months</w:t>
      </w:r>
    </w:p>
    <w:p>
      <w:pPr>
        <w:spacing w:after="0" w:line="172"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i w:val="1"/>
          <w:iCs w:val="1"/>
          <w:color w:val="auto"/>
        </w:rPr>
        <w:t xml:space="preserve">Operating Revenues. </w:t>
      </w:r>
      <w:r>
        <w:rPr>
          <w:rFonts w:ascii="Arial" w:cs="Arial" w:eastAsia="Arial" w:hAnsi="Arial"/>
          <w:sz w:val="19"/>
          <w:szCs w:val="19"/>
          <w:color w:val="auto"/>
        </w:rPr>
        <w:t>Charter revenues were $12.4 million higher in the Current Year Nine Months compared with the</w:t>
      </w:r>
      <w:r>
        <w:rPr>
          <w:rFonts w:ascii="Arial" w:cs="Arial" w:eastAsia="Arial" w:hAnsi="Arial"/>
          <w:sz w:val="19"/>
          <w:szCs w:val="19"/>
          <w:i w:val="1"/>
          <w:iCs w:val="1"/>
          <w:color w:val="auto"/>
        </w:rPr>
        <w:t xml:space="preserve"> </w:t>
      </w:r>
      <w:r>
        <w:rPr>
          <w:rFonts w:ascii="Arial" w:cs="Arial" w:eastAsia="Arial" w:hAnsi="Arial"/>
          <w:sz w:val="19"/>
          <w:szCs w:val="19"/>
          <w:color w:val="auto"/>
        </w:rPr>
        <w:t>Prior Year Nine Months. Charter revenues were $5.8 million higher due to the reactivation of vessels from cold-stacked status, $3.8 million higher for the core fleet as a result of increased day rates and utilization, and $3.2 million higher due to the repositioning of vessels between geographic regions partially offset by $0.4 million of net asset dispositions. Other marine services were $1.4 million higher primarily due to the receipt of cash from the settlement of a mediation in our favor.</w:t>
      </w:r>
    </w:p>
    <w:p>
      <w:pPr>
        <w:sectPr>
          <w:pgSz w:w="11900" w:h="16838" w:orient="portrait"/>
          <w:cols w:equalWidth="0" w:num="1">
            <w:col w:w="11240"/>
          </w:cols>
          <w:pgMar w:left="320" w:top="294" w:right="33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type w:val="continuous"/>
        </w:sectPr>
      </w:pPr>
    </w:p>
    <w:bookmarkStart w:id="45" w:name="page46"/>
    <w:bookmarkEnd w:id="45"/>
    <w:p>
      <w:pPr>
        <w:jc w:val="both"/>
        <w:ind w:firstLine="749"/>
        <w:spacing w:after="0" w:line="252" w:lineRule="auto"/>
        <w:rPr>
          <w:sz w:val="20"/>
          <w:szCs w:val="20"/>
          <w:color w:val="auto"/>
        </w:rPr>
      </w:pPr>
      <w:r>
        <w:rPr>
          <w:rFonts w:ascii="Arial" w:cs="Arial" w:eastAsia="Arial" w:hAnsi="Arial"/>
          <w:sz w:val="21"/>
          <w:szCs w:val="21"/>
          <w:i w:val="1"/>
          <w:iCs w:val="1"/>
          <w:color w:val="auto"/>
        </w:rPr>
        <w:t>Direct Operating Expenses</w:t>
      </w:r>
      <w:r>
        <w:rPr>
          <w:rFonts w:ascii="Arial" w:cs="Arial" w:eastAsia="Arial" w:hAnsi="Arial"/>
          <w:sz w:val="21"/>
          <w:szCs w:val="21"/>
          <w:color w:val="auto"/>
        </w:rPr>
        <w:t>. Direct operating expenses were $6.2 million higher in the Current Year Nine Months</w:t>
      </w:r>
      <w:r>
        <w:rPr>
          <w:rFonts w:ascii="Arial" w:cs="Arial" w:eastAsia="Arial" w:hAnsi="Arial"/>
          <w:sz w:val="21"/>
          <w:szCs w:val="21"/>
          <w:i w:val="1"/>
          <w:iCs w:val="1"/>
          <w:color w:val="auto"/>
        </w:rPr>
        <w:t xml:space="preserve"> </w:t>
      </w:r>
      <w:r>
        <w:rPr>
          <w:rFonts w:ascii="Arial" w:cs="Arial" w:eastAsia="Arial" w:hAnsi="Arial"/>
          <w:sz w:val="21"/>
          <w:szCs w:val="21"/>
          <w:color w:val="auto"/>
        </w:rPr>
        <w:t>compared with the Prior Year Nine Months. Direct operating expenses were $6.1 million higher due to the repositioning of vessels between geographic regions and $1.0 million higher due to the reactivation of vessels from cold-stacked status partially offset by $0.6 million of net asset dispositions and $0.3 million of decreased expenses for the core fleet.</w:t>
      </w:r>
    </w:p>
    <w:p>
      <w:pPr>
        <w:spacing w:after="0" w:line="147"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b w:val="1"/>
          <w:bCs w:val="1"/>
          <w:i w:val="1"/>
          <w:iCs w:val="1"/>
          <w:color w:val="auto"/>
        </w:rPr>
        <w:t xml:space="preserve">Middle East and Asia. </w:t>
      </w:r>
      <w:r>
        <w:rPr>
          <w:rFonts w:ascii="Arial" w:cs="Arial" w:eastAsia="Arial" w:hAnsi="Arial"/>
          <w:sz w:val="19"/>
          <w:szCs w:val="19"/>
          <w:color w:val="auto"/>
        </w:rPr>
        <w:t>For the three and nine months ended September 30, 2022 and 2021 the Company’s time charter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statistics and direct vessel (loss) profit in the Middle East and Asia was as follows (in thousands, except statistics):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6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w w:val="93"/>
              </w:rPr>
              <w:t>For the Three Months Ended September 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20" w:type="dxa"/>
            <w:vAlign w:val="bottom"/>
            <w:gridSpan w:val="5"/>
          </w:tcPr>
          <w:p>
            <w:pPr>
              <w:ind w:left="100"/>
              <w:spacing w:after="0"/>
              <w:rPr>
                <w:sz w:val="20"/>
                <w:szCs w:val="20"/>
                <w:color w:val="auto"/>
              </w:rPr>
            </w:pPr>
            <w:r>
              <w:rPr>
                <w:rFonts w:ascii="Arial" w:cs="Arial" w:eastAsia="Arial" w:hAnsi="Arial"/>
                <w:sz w:val="16"/>
                <w:szCs w:val="16"/>
                <w:b w:val="1"/>
                <w:bCs w:val="1"/>
                <w:color w:val="auto"/>
              </w:rPr>
              <w:t>For the Nine Months Ended September 30,</w:t>
            </w:r>
          </w:p>
        </w:tc>
      </w:tr>
      <w:tr>
        <w:trPr>
          <w:trHeight w:val="210"/>
        </w:trPr>
        <w:tc>
          <w:tcPr>
            <w:tcW w:w="37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top w:val="single" w:sz="8" w:color="auto"/>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top w:val="single" w:sz="8" w:color="auto"/>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FF0FC"/>
            </w:tcBorders>
          </w:tcPr>
          <w:p>
            <w:pPr>
              <w:spacing w:after="0"/>
              <w:rPr>
                <w:sz w:val="18"/>
                <w:szCs w:val="18"/>
                <w:color w:val="auto"/>
              </w:rPr>
            </w:pPr>
          </w:p>
        </w:tc>
      </w:tr>
      <w:tr>
        <w:trPr>
          <w:trHeight w:val="226"/>
        </w:trPr>
        <w:tc>
          <w:tcPr>
            <w:tcW w:w="376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3"/>
        </w:trPr>
        <w:tc>
          <w:tcPr>
            <w:tcW w:w="3760" w:type="dxa"/>
            <w:vAlign w:val="bottom"/>
          </w:tcPr>
          <w:p>
            <w:pPr>
              <w:ind w:left="260"/>
              <w:spacing w:after="0"/>
              <w:rPr>
                <w:sz w:val="20"/>
                <w:szCs w:val="20"/>
                <w:color w:val="auto"/>
              </w:rPr>
            </w:pPr>
            <w:r>
              <w:rPr>
                <w:rFonts w:ascii="Arial" w:cs="Arial" w:eastAsia="Arial" w:hAnsi="Arial"/>
                <w:sz w:val="16"/>
                <w:szCs w:val="16"/>
                <w:color w:val="auto"/>
              </w:rPr>
              <w:t>Rates Per Day Worked:</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rPr>
              <w:t>5,643</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rPr>
              <w:t>5,660</w:t>
            </w: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599"/>
              <w:spacing w:after="0"/>
              <w:rPr>
                <w:sz w:val="20"/>
                <w:szCs w:val="20"/>
                <w:color w:val="auto"/>
              </w:rPr>
            </w:pPr>
            <w:r>
              <w:rPr>
                <w:rFonts w:ascii="Arial" w:cs="Arial" w:eastAsia="Arial" w:hAnsi="Arial"/>
                <w:sz w:val="16"/>
                <w:szCs w:val="16"/>
                <w:color w:val="auto"/>
              </w:rPr>
              <w:t>5,834</w:t>
            </w:r>
          </w:p>
        </w:tc>
        <w:tc>
          <w:tcPr>
            <w:tcW w:w="140" w:type="dxa"/>
            <w:vAlign w:val="bottom"/>
            <w:shd w:val="clear" w:color="auto" w:fill="CFF0FC"/>
          </w:tcPr>
          <w:p>
            <w:pPr>
              <w:spacing w:after="0"/>
              <w:rPr>
                <w:sz w:val="19"/>
                <w:szCs w:val="19"/>
                <w:color w:val="auto"/>
              </w:rPr>
            </w:pPr>
          </w:p>
        </w:tc>
      </w:tr>
      <w:tr>
        <w:trPr>
          <w:trHeight w:val="213"/>
        </w:trPr>
        <w:tc>
          <w:tcPr>
            <w:tcW w:w="3760" w:type="dxa"/>
            <w:vAlign w:val="bottom"/>
          </w:tcPr>
          <w:p>
            <w:pPr>
              <w:ind w:left="500"/>
              <w:spacing w:after="0"/>
              <w:rPr>
                <w:sz w:val="20"/>
                <w:szCs w:val="20"/>
                <w:color w:val="auto"/>
              </w:rPr>
            </w:pPr>
            <w:r>
              <w:rPr>
                <w:rFonts w:ascii="Arial" w:cs="Arial" w:eastAsia="Arial" w:hAnsi="Arial"/>
                <w:sz w:val="16"/>
                <w:szCs w:val="16"/>
                <w:color w:val="auto"/>
              </w:rPr>
              <w:t>FSV</w:t>
            </w:r>
          </w:p>
        </w:tc>
        <w:tc>
          <w:tcPr>
            <w:tcW w:w="160" w:type="dxa"/>
            <w:vAlign w:val="bottom"/>
          </w:tcPr>
          <w:p>
            <w:pPr>
              <w:spacing w:after="0"/>
              <w:rPr>
                <w:sz w:val="18"/>
                <w:szCs w:val="18"/>
                <w:color w:val="auto"/>
              </w:rPr>
            </w:pPr>
          </w:p>
        </w:tc>
        <w:tc>
          <w:tcPr>
            <w:tcW w:w="1460" w:type="dxa"/>
            <w:vAlign w:val="bottom"/>
          </w:tcPr>
          <w:p>
            <w:pPr>
              <w:jc w:val="right"/>
              <w:ind w:right="559"/>
              <w:spacing w:after="0"/>
              <w:rPr>
                <w:sz w:val="20"/>
                <w:szCs w:val="20"/>
                <w:color w:val="auto"/>
              </w:rPr>
            </w:pPr>
            <w:r>
              <w:rPr>
                <w:rFonts w:ascii="Arial" w:cs="Arial" w:eastAsia="Arial" w:hAnsi="Arial"/>
                <w:sz w:val="16"/>
                <w:szCs w:val="16"/>
                <w:color w:val="auto"/>
              </w:rPr>
              <w:t>8,223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ind w:right="579"/>
              <w:spacing w:after="0"/>
              <w:rPr>
                <w:sz w:val="20"/>
                <w:szCs w:val="20"/>
                <w:color w:val="auto"/>
              </w:rPr>
            </w:pPr>
            <w:r>
              <w:rPr>
                <w:rFonts w:ascii="Arial" w:cs="Arial" w:eastAsia="Arial" w:hAnsi="Arial"/>
                <w:sz w:val="16"/>
                <w:szCs w:val="16"/>
                <w:color w:val="auto"/>
              </w:rPr>
              <w:t>8,061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559"/>
              <w:spacing w:after="0"/>
              <w:rPr>
                <w:sz w:val="20"/>
                <w:szCs w:val="20"/>
                <w:color w:val="auto"/>
              </w:rPr>
            </w:pPr>
            <w:r>
              <w:rPr>
                <w:rFonts w:ascii="Arial" w:cs="Arial" w:eastAsia="Arial" w:hAnsi="Arial"/>
                <w:sz w:val="16"/>
                <w:szCs w:val="16"/>
                <w:color w:val="auto"/>
              </w:rPr>
              <w:t>7,763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599"/>
              <w:spacing w:after="0"/>
              <w:rPr>
                <w:sz w:val="20"/>
                <w:szCs w:val="20"/>
                <w:color w:val="auto"/>
              </w:rPr>
            </w:pPr>
            <w:r>
              <w:rPr>
                <w:rFonts w:ascii="Arial" w:cs="Arial" w:eastAsia="Arial" w:hAnsi="Arial"/>
                <w:sz w:val="16"/>
                <w:szCs w:val="16"/>
                <w:color w:val="auto"/>
              </w:rPr>
              <w:t>7,492</w:t>
            </w:r>
          </w:p>
        </w:tc>
        <w:tc>
          <w:tcPr>
            <w:tcW w:w="140" w:type="dxa"/>
            <w:vAlign w:val="bottom"/>
          </w:tcPr>
          <w:p>
            <w:pPr>
              <w:spacing w:after="0"/>
              <w:rPr>
                <w:sz w:val="18"/>
                <w:szCs w:val="18"/>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rPr>
              <w:t>7,906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rPr>
              <w:t>7,565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rPr>
              <w:t>8,861</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99"/>
              <w:spacing w:after="0"/>
              <w:rPr>
                <w:sz w:val="20"/>
                <w:szCs w:val="20"/>
                <w:color w:val="auto"/>
              </w:rPr>
            </w:pPr>
            <w:r>
              <w:rPr>
                <w:rFonts w:ascii="Arial" w:cs="Arial" w:eastAsia="Arial" w:hAnsi="Arial"/>
                <w:sz w:val="16"/>
                <w:szCs w:val="16"/>
                <w:color w:val="auto"/>
              </w:rPr>
              <w:t>7,781</w:t>
            </w:r>
          </w:p>
        </w:tc>
        <w:tc>
          <w:tcPr>
            <w:tcW w:w="140" w:type="dxa"/>
            <w:vAlign w:val="bottom"/>
            <w:shd w:val="clear" w:color="auto" w:fill="CFF0FC"/>
          </w:tcPr>
          <w:p>
            <w:pPr>
              <w:spacing w:after="0"/>
              <w:rPr>
                <w:sz w:val="19"/>
                <w:szCs w:val="19"/>
                <w:color w:val="auto"/>
              </w:rPr>
            </w:pPr>
          </w:p>
        </w:tc>
      </w:tr>
      <w:tr>
        <w:trPr>
          <w:trHeight w:val="213"/>
        </w:trPr>
        <w:tc>
          <w:tcPr>
            <w:tcW w:w="376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160" w:type="dxa"/>
            <w:vAlign w:val="bottom"/>
          </w:tcPr>
          <w:p>
            <w:pPr>
              <w:spacing w:after="0"/>
              <w:rPr>
                <w:sz w:val="18"/>
                <w:szCs w:val="18"/>
                <w:color w:val="auto"/>
              </w:rPr>
            </w:pPr>
          </w:p>
        </w:tc>
        <w:tc>
          <w:tcPr>
            <w:tcW w:w="1460" w:type="dxa"/>
            <w:vAlign w:val="bottom"/>
          </w:tcPr>
          <w:p>
            <w:pPr>
              <w:jc w:val="right"/>
              <w:ind w:right="559"/>
              <w:spacing w:after="0"/>
              <w:rPr>
                <w:sz w:val="20"/>
                <w:szCs w:val="20"/>
                <w:color w:val="auto"/>
              </w:rPr>
            </w:pPr>
            <w:r>
              <w:rPr>
                <w:rFonts w:ascii="Arial" w:cs="Arial" w:eastAsia="Arial" w:hAnsi="Arial"/>
                <w:sz w:val="16"/>
                <w:szCs w:val="16"/>
                <w:color w:val="auto"/>
              </w:rPr>
              <w:t>29,000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ind w:right="579"/>
              <w:spacing w:after="0"/>
              <w:rPr>
                <w:sz w:val="20"/>
                <w:szCs w:val="20"/>
                <w:color w:val="auto"/>
              </w:rPr>
            </w:pPr>
            <w:r>
              <w:rPr>
                <w:rFonts w:ascii="Arial" w:cs="Arial" w:eastAsia="Arial" w:hAnsi="Arial"/>
                <w:sz w:val="16"/>
                <w:szCs w:val="16"/>
                <w:color w:val="auto"/>
              </w:rPr>
              <w:t>25,332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559"/>
              <w:spacing w:after="0"/>
              <w:rPr>
                <w:sz w:val="20"/>
                <w:szCs w:val="20"/>
                <w:color w:val="auto"/>
              </w:rPr>
            </w:pPr>
            <w:r>
              <w:rPr>
                <w:rFonts w:ascii="Arial" w:cs="Arial" w:eastAsia="Arial" w:hAnsi="Arial"/>
                <w:sz w:val="16"/>
                <w:szCs w:val="16"/>
                <w:color w:val="auto"/>
              </w:rPr>
              <w:t>29,000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599"/>
              <w:spacing w:after="0"/>
              <w:rPr>
                <w:sz w:val="20"/>
                <w:szCs w:val="20"/>
                <w:color w:val="auto"/>
              </w:rPr>
            </w:pPr>
            <w:r>
              <w:rPr>
                <w:rFonts w:ascii="Arial" w:cs="Arial" w:eastAsia="Arial" w:hAnsi="Arial"/>
                <w:sz w:val="16"/>
                <w:szCs w:val="16"/>
                <w:color w:val="auto"/>
              </w:rPr>
              <w:t>25,253</w:t>
            </w:r>
          </w:p>
        </w:tc>
        <w:tc>
          <w:tcPr>
            <w:tcW w:w="140" w:type="dxa"/>
            <w:vAlign w:val="bottom"/>
          </w:tcPr>
          <w:p>
            <w:pPr>
              <w:spacing w:after="0"/>
              <w:rPr>
                <w:sz w:val="18"/>
                <w:szCs w:val="18"/>
                <w:color w:val="auto"/>
              </w:rPr>
            </w:pPr>
          </w:p>
        </w:tc>
      </w:tr>
      <w:tr>
        <w:trPr>
          <w:trHeight w:val="219"/>
        </w:trPr>
        <w:tc>
          <w:tcPr>
            <w:tcW w:w="3760" w:type="dxa"/>
            <w:vAlign w:val="bottom"/>
            <w:shd w:val="clear" w:color="auto" w:fill="CFF0FC"/>
          </w:tcPr>
          <w:p>
            <w:pPr>
              <w:ind w:left="500"/>
              <w:spacing w:after="0" w:line="218" w:lineRule="exact"/>
              <w:rPr>
                <w:sz w:val="20"/>
                <w:szCs w:val="20"/>
                <w:color w:val="auto"/>
              </w:rPr>
            </w:pPr>
            <w:r>
              <w:rPr>
                <w:rFonts w:ascii="Arial" w:cs="Arial" w:eastAsia="Arial" w:hAnsi="Arial"/>
                <w:sz w:val="15"/>
                <w:szCs w:val="15"/>
                <w:color w:val="auto"/>
              </w:rPr>
              <w:t xml:space="preserve">Specialty </w:t>
            </w:r>
            <w:r>
              <w:rPr>
                <w:rFonts w:ascii="Arial" w:cs="Arial" w:eastAsia="Arial" w:hAnsi="Arial"/>
                <w:sz w:val="25"/>
                <w:szCs w:val="25"/>
                <w:color w:val="auto"/>
                <w:vertAlign w:val="superscript"/>
              </w:rPr>
              <w:t>(1)</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99"/>
              <w:spacing w:after="0"/>
              <w:rPr>
                <w:sz w:val="20"/>
                <w:szCs w:val="20"/>
                <w:color w:val="auto"/>
              </w:rPr>
            </w:pPr>
            <w:r>
              <w:rPr>
                <w:rFonts w:ascii="Arial" w:cs="Arial" w:eastAsia="Arial" w:hAnsi="Arial"/>
                <w:sz w:val="16"/>
                <w:szCs w:val="16"/>
                <w:color w:val="auto"/>
              </w:rPr>
              <w:t>1,732</w:t>
            </w:r>
          </w:p>
        </w:tc>
        <w:tc>
          <w:tcPr>
            <w:tcW w:w="140" w:type="dxa"/>
            <w:vAlign w:val="bottom"/>
            <w:shd w:val="clear" w:color="auto" w:fill="CFF0FC"/>
          </w:tcPr>
          <w:p>
            <w:pPr>
              <w:spacing w:after="0"/>
              <w:rPr>
                <w:sz w:val="19"/>
                <w:szCs w:val="19"/>
                <w:color w:val="auto"/>
              </w:rPr>
            </w:pPr>
          </w:p>
        </w:tc>
      </w:tr>
      <w:tr>
        <w:trPr>
          <w:trHeight w:val="210"/>
        </w:trPr>
        <w:tc>
          <w:tcPr>
            <w:tcW w:w="3760" w:type="dxa"/>
            <w:vAlign w:val="bottom"/>
          </w:tcPr>
          <w:p>
            <w:pPr>
              <w:ind w:left="500"/>
              <w:spacing w:after="0"/>
              <w:rPr>
                <w:sz w:val="20"/>
                <w:szCs w:val="20"/>
                <w:color w:val="auto"/>
              </w:rPr>
            </w:pPr>
            <w:r>
              <w:rPr>
                <w:rFonts w:ascii="Arial" w:cs="Arial" w:eastAsia="Arial" w:hAnsi="Arial"/>
                <w:sz w:val="16"/>
                <w:szCs w:val="16"/>
                <w:color w:val="auto"/>
              </w:rPr>
              <w:t>Overall</w:t>
            </w:r>
          </w:p>
        </w:tc>
        <w:tc>
          <w:tcPr>
            <w:tcW w:w="160" w:type="dxa"/>
            <w:vAlign w:val="bottom"/>
          </w:tcPr>
          <w:p>
            <w:pPr>
              <w:spacing w:after="0"/>
              <w:rPr>
                <w:sz w:val="18"/>
                <w:szCs w:val="18"/>
                <w:color w:val="auto"/>
              </w:rPr>
            </w:pPr>
          </w:p>
        </w:tc>
        <w:tc>
          <w:tcPr>
            <w:tcW w:w="1460" w:type="dxa"/>
            <w:vAlign w:val="bottom"/>
          </w:tcPr>
          <w:p>
            <w:pPr>
              <w:jc w:val="right"/>
              <w:ind w:right="559"/>
              <w:spacing w:after="0"/>
              <w:rPr>
                <w:sz w:val="20"/>
                <w:szCs w:val="20"/>
                <w:color w:val="auto"/>
              </w:rPr>
            </w:pPr>
            <w:r>
              <w:rPr>
                <w:rFonts w:ascii="Arial" w:cs="Arial" w:eastAsia="Arial" w:hAnsi="Arial"/>
                <w:sz w:val="16"/>
                <w:szCs w:val="16"/>
                <w:color w:val="auto"/>
              </w:rPr>
              <w:t>9,507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ind w:right="579"/>
              <w:spacing w:after="0"/>
              <w:rPr>
                <w:sz w:val="20"/>
                <w:szCs w:val="20"/>
                <w:color w:val="auto"/>
              </w:rPr>
            </w:pPr>
            <w:r>
              <w:rPr>
                <w:rFonts w:ascii="Arial" w:cs="Arial" w:eastAsia="Arial" w:hAnsi="Arial"/>
                <w:sz w:val="16"/>
                <w:szCs w:val="16"/>
                <w:color w:val="auto"/>
              </w:rPr>
              <w:t>10,374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559"/>
              <w:spacing w:after="0"/>
              <w:rPr>
                <w:sz w:val="20"/>
                <w:szCs w:val="20"/>
                <w:color w:val="auto"/>
              </w:rPr>
            </w:pPr>
            <w:r>
              <w:rPr>
                <w:rFonts w:ascii="Arial" w:cs="Arial" w:eastAsia="Arial" w:hAnsi="Arial"/>
                <w:sz w:val="16"/>
                <w:szCs w:val="16"/>
                <w:color w:val="auto"/>
              </w:rPr>
              <w:t>9,694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599"/>
              <w:spacing w:after="0"/>
              <w:rPr>
                <w:sz w:val="20"/>
                <w:szCs w:val="20"/>
                <w:color w:val="auto"/>
              </w:rPr>
            </w:pPr>
            <w:r>
              <w:rPr>
                <w:rFonts w:ascii="Arial" w:cs="Arial" w:eastAsia="Arial" w:hAnsi="Arial"/>
                <w:sz w:val="16"/>
                <w:szCs w:val="16"/>
                <w:color w:val="auto"/>
              </w:rPr>
              <w:t>9,637</w:t>
            </w:r>
          </w:p>
        </w:tc>
        <w:tc>
          <w:tcPr>
            <w:tcW w:w="140" w:type="dxa"/>
            <w:vAlign w:val="bottom"/>
          </w:tcPr>
          <w:p>
            <w:pPr>
              <w:spacing w:after="0"/>
              <w:rPr>
                <w:sz w:val="18"/>
                <w:szCs w:val="18"/>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Utilization:</w:t>
            </w:r>
          </w:p>
        </w:tc>
        <w:tc>
          <w:tcPr>
            <w:tcW w:w="3020" w:type="dxa"/>
            <w:vAlign w:val="bottom"/>
            <w:shd w:val="clear" w:color="auto" w:fill="CFF0FC"/>
          </w:tcPr>
          <w:p>
            <w:pPr>
              <w:spacing w:after="0"/>
              <w:rPr>
                <w:sz w:val="17"/>
                <w:szCs w:val="17"/>
                <w:color w:val="auto"/>
              </w:rPr>
            </w:pPr>
          </w:p>
        </w:tc>
        <w:tc>
          <w:tcPr>
            <w:tcW w:w="19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13"/>
        </w:trPr>
        <w:tc>
          <w:tcPr>
            <w:tcW w:w="3220" w:type="dxa"/>
            <w:vAlign w:val="bottom"/>
          </w:tcPr>
          <w:p>
            <w:pPr>
              <w:ind w:left="500"/>
              <w:spacing w:after="0"/>
              <w:rPr>
                <w:sz w:val="20"/>
                <w:szCs w:val="20"/>
                <w:color w:val="auto"/>
              </w:rPr>
            </w:pPr>
            <w:r>
              <w:rPr>
                <w:rFonts w:ascii="Arial" w:cs="Arial" w:eastAsia="Arial" w:hAnsi="Arial"/>
                <w:sz w:val="16"/>
                <w:szCs w:val="16"/>
                <w:color w:val="auto"/>
              </w:rPr>
              <w:t>AHTS</w:t>
            </w:r>
          </w:p>
        </w:tc>
        <w:tc>
          <w:tcPr>
            <w:tcW w:w="3020" w:type="dxa"/>
            <w:vAlign w:val="bottom"/>
          </w:tcPr>
          <w:p>
            <w:pPr>
              <w:jc w:val="right"/>
              <w:ind w:right="639"/>
              <w:spacing w:after="0"/>
              <w:rPr>
                <w:sz w:val="20"/>
                <w:szCs w:val="20"/>
                <w:color w:val="auto"/>
              </w:rPr>
            </w:pPr>
            <w:r>
              <w:rPr>
                <w:rFonts w:ascii="Arial" w:cs="Arial" w:eastAsia="Arial" w:hAnsi="Arial"/>
                <w:sz w:val="16"/>
                <w:szCs w:val="16"/>
                <w:color w:val="auto"/>
              </w:rPr>
              <w:t>100%</w:t>
            </w:r>
          </w:p>
        </w:tc>
        <w:tc>
          <w:tcPr>
            <w:tcW w:w="196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679"/>
              <w:spacing w:after="0"/>
              <w:rPr>
                <w:sz w:val="20"/>
                <w:szCs w:val="20"/>
                <w:color w:val="auto"/>
              </w:rPr>
            </w:pPr>
            <w:r>
              <w:rPr>
                <w:rFonts w:ascii="Arial" w:cs="Arial" w:eastAsia="Arial" w:hAnsi="Arial"/>
                <w:sz w:val="16"/>
                <w:szCs w:val="16"/>
                <w:color w:val="auto"/>
              </w:rPr>
              <w:t>99%</w:t>
            </w:r>
          </w:p>
        </w:tc>
        <w:tc>
          <w:tcPr>
            <w:tcW w:w="118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9"/>
        </w:trPr>
        <w:tc>
          <w:tcPr>
            <w:tcW w:w="32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FSV</w:t>
            </w:r>
          </w:p>
        </w:tc>
        <w:tc>
          <w:tcPr>
            <w:tcW w:w="302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91%</w:t>
            </w:r>
          </w:p>
        </w:tc>
        <w:tc>
          <w:tcPr>
            <w:tcW w:w="1960" w:type="dxa"/>
            <w:vAlign w:val="bottom"/>
            <w:shd w:val="clear" w:color="auto" w:fill="CFF0FC"/>
          </w:tcPr>
          <w:p>
            <w:pPr>
              <w:jc w:val="right"/>
              <w:ind w:right="719"/>
              <w:spacing w:after="0"/>
              <w:rPr>
                <w:sz w:val="20"/>
                <w:szCs w:val="20"/>
                <w:color w:val="auto"/>
              </w:rPr>
            </w:pPr>
            <w:r>
              <w:rPr>
                <w:rFonts w:ascii="Arial" w:cs="Arial" w:eastAsia="Arial" w:hAnsi="Arial"/>
                <w:sz w:val="16"/>
                <w:szCs w:val="16"/>
                <w:color w:val="auto"/>
              </w:rPr>
              <w:t>81%</w:t>
            </w:r>
          </w:p>
        </w:tc>
        <w:tc>
          <w:tcPr>
            <w:tcW w:w="1860" w:type="dxa"/>
            <w:vAlign w:val="bottom"/>
            <w:shd w:val="clear" w:color="auto" w:fill="CFF0FC"/>
          </w:tcPr>
          <w:p>
            <w:pPr>
              <w:jc w:val="right"/>
              <w:ind w:right="679"/>
              <w:spacing w:after="0"/>
              <w:rPr>
                <w:sz w:val="20"/>
                <w:szCs w:val="20"/>
                <w:color w:val="auto"/>
              </w:rPr>
            </w:pPr>
            <w:r>
              <w:rPr>
                <w:rFonts w:ascii="Arial" w:cs="Arial" w:eastAsia="Arial" w:hAnsi="Arial"/>
                <w:sz w:val="16"/>
                <w:szCs w:val="16"/>
                <w:color w:val="auto"/>
              </w:rPr>
              <w:t>92%</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r>
      <w:tr>
        <w:trPr>
          <w:trHeight w:val="213"/>
        </w:trPr>
        <w:tc>
          <w:tcPr>
            <w:tcW w:w="3220" w:type="dxa"/>
            <w:vAlign w:val="bottom"/>
          </w:tcPr>
          <w:p>
            <w:pPr>
              <w:ind w:left="500"/>
              <w:spacing w:after="0"/>
              <w:rPr>
                <w:sz w:val="20"/>
                <w:szCs w:val="20"/>
                <w:color w:val="auto"/>
              </w:rPr>
            </w:pPr>
            <w:r>
              <w:rPr>
                <w:rFonts w:ascii="Arial" w:cs="Arial" w:eastAsia="Arial" w:hAnsi="Arial"/>
                <w:sz w:val="16"/>
                <w:szCs w:val="16"/>
                <w:color w:val="auto"/>
              </w:rPr>
              <w:t>Supply</w:t>
            </w:r>
          </w:p>
        </w:tc>
        <w:tc>
          <w:tcPr>
            <w:tcW w:w="3020" w:type="dxa"/>
            <w:vAlign w:val="bottom"/>
          </w:tcPr>
          <w:p>
            <w:pPr>
              <w:jc w:val="right"/>
              <w:ind w:right="639"/>
              <w:spacing w:after="0"/>
              <w:rPr>
                <w:sz w:val="20"/>
                <w:szCs w:val="20"/>
                <w:color w:val="auto"/>
              </w:rPr>
            </w:pPr>
            <w:r>
              <w:rPr>
                <w:rFonts w:ascii="Arial" w:cs="Arial" w:eastAsia="Arial" w:hAnsi="Arial"/>
                <w:sz w:val="16"/>
                <w:szCs w:val="16"/>
                <w:color w:val="auto"/>
              </w:rPr>
              <w:t>63%</w:t>
            </w:r>
          </w:p>
        </w:tc>
        <w:tc>
          <w:tcPr>
            <w:tcW w:w="1960" w:type="dxa"/>
            <w:vAlign w:val="bottom"/>
          </w:tcPr>
          <w:p>
            <w:pPr>
              <w:jc w:val="right"/>
              <w:ind w:right="719"/>
              <w:spacing w:after="0"/>
              <w:rPr>
                <w:sz w:val="20"/>
                <w:szCs w:val="20"/>
                <w:color w:val="auto"/>
              </w:rPr>
            </w:pPr>
            <w:r>
              <w:rPr>
                <w:rFonts w:ascii="Arial" w:cs="Arial" w:eastAsia="Arial" w:hAnsi="Arial"/>
                <w:sz w:val="16"/>
                <w:szCs w:val="16"/>
                <w:color w:val="auto"/>
              </w:rPr>
              <w:t>75%</w:t>
            </w:r>
          </w:p>
        </w:tc>
        <w:tc>
          <w:tcPr>
            <w:tcW w:w="1860" w:type="dxa"/>
            <w:vAlign w:val="bottom"/>
          </w:tcPr>
          <w:p>
            <w:pPr>
              <w:jc w:val="right"/>
              <w:ind w:right="679"/>
              <w:spacing w:after="0"/>
              <w:rPr>
                <w:sz w:val="20"/>
                <w:szCs w:val="20"/>
                <w:color w:val="auto"/>
              </w:rPr>
            </w:pPr>
            <w:r>
              <w:rPr>
                <w:rFonts w:ascii="Arial" w:cs="Arial" w:eastAsia="Arial" w:hAnsi="Arial"/>
                <w:sz w:val="16"/>
                <w:szCs w:val="16"/>
                <w:color w:val="auto"/>
              </w:rPr>
              <w:t>72%</w:t>
            </w:r>
          </w:p>
        </w:tc>
        <w:tc>
          <w:tcPr>
            <w:tcW w:w="118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19"/>
        </w:trPr>
        <w:tc>
          <w:tcPr>
            <w:tcW w:w="32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Liftboats</w:t>
            </w:r>
          </w:p>
        </w:tc>
        <w:tc>
          <w:tcPr>
            <w:tcW w:w="302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50%</w:t>
            </w:r>
          </w:p>
        </w:tc>
        <w:tc>
          <w:tcPr>
            <w:tcW w:w="1960" w:type="dxa"/>
            <w:vAlign w:val="bottom"/>
            <w:shd w:val="clear" w:color="auto" w:fill="CFF0FC"/>
          </w:tcPr>
          <w:p>
            <w:pPr>
              <w:jc w:val="right"/>
              <w:ind w:right="719"/>
              <w:spacing w:after="0"/>
              <w:rPr>
                <w:sz w:val="20"/>
                <w:szCs w:val="20"/>
                <w:color w:val="auto"/>
              </w:rPr>
            </w:pPr>
            <w:r>
              <w:rPr>
                <w:rFonts w:ascii="Arial" w:cs="Arial" w:eastAsia="Arial" w:hAnsi="Arial"/>
                <w:sz w:val="16"/>
                <w:szCs w:val="16"/>
                <w:color w:val="auto"/>
              </w:rPr>
              <w:t>100%</w:t>
            </w:r>
          </w:p>
        </w:tc>
        <w:tc>
          <w:tcPr>
            <w:tcW w:w="1860" w:type="dxa"/>
            <w:vAlign w:val="bottom"/>
            <w:shd w:val="clear" w:color="auto" w:fill="CFF0FC"/>
          </w:tcPr>
          <w:p>
            <w:pPr>
              <w:jc w:val="right"/>
              <w:ind w:right="679"/>
              <w:spacing w:after="0"/>
              <w:rPr>
                <w:sz w:val="20"/>
                <w:szCs w:val="20"/>
                <w:color w:val="auto"/>
              </w:rPr>
            </w:pPr>
            <w:r>
              <w:rPr>
                <w:rFonts w:ascii="Arial" w:cs="Arial" w:eastAsia="Arial" w:hAnsi="Arial"/>
                <w:sz w:val="16"/>
                <w:szCs w:val="16"/>
                <w:color w:val="auto"/>
              </w:rPr>
              <w:t>61%</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r>
      <w:tr>
        <w:trPr>
          <w:trHeight w:val="216"/>
        </w:trPr>
        <w:tc>
          <w:tcPr>
            <w:tcW w:w="3220" w:type="dxa"/>
            <w:vAlign w:val="bottom"/>
          </w:tcPr>
          <w:p>
            <w:pPr>
              <w:ind w:left="500"/>
              <w:spacing w:after="0" w:line="216" w:lineRule="exact"/>
              <w:rPr>
                <w:sz w:val="20"/>
                <w:szCs w:val="20"/>
                <w:color w:val="auto"/>
              </w:rPr>
            </w:pPr>
            <w:r>
              <w:rPr>
                <w:rFonts w:ascii="Arial" w:cs="Arial" w:eastAsia="Arial" w:hAnsi="Arial"/>
                <w:sz w:val="15"/>
                <w:szCs w:val="15"/>
                <w:color w:val="auto"/>
              </w:rPr>
              <w:t xml:space="preserve">Specialty </w:t>
            </w:r>
            <w:r>
              <w:rPr>
                <w:rFonts w:ascii="Arial" w:cs="Arial" w:eastAsia="Arial" w:hAnsi="Arial"/>
                <w:sz w:val="25"/>
                <w:szCs w:val="25"/>
                <w:color w:val="auto"/>
                <w:vertAlign w:val="superscript"/>
              </w:rPr>
              <w:t>(1)</w:t>
            </w:r>
          </w:p>
        </w:tc>
        <w:tc>
          <w:tcPr>
            <w:tcW w:w="302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96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16"/>
        </w:trPr>
        <w:tc>
          <w:tcPr>
            <w:tcW w:w="32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302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79%</w:t>
            </w:r>
          </w:p>
        </w:tc>
        <w:tc>
          <w:tcPr>
            <w:tcW w:w="1960" w:type="dxa"/>
            <w:vAlign w:val="bottom"/>
            <w:shd w:val="clear" w:color="auto" w:fill="CFF0FC"/>
          </w:tcPr>
          <w:p>
            <w:pPr>
              <w:jc w:val="right"/>
              <w:ind w:right="719"/>
              <w:spacing w:after="0"/>
              <w:rPr>
                <w:sz w:val="20"/>
                <w:szCs w:val="20"/>
                <w:color w:val="auto"/>
              </w:rPr>
            </w:pPr>
            <w:r>
              <w:rPr>
                <w:rFonts w:ascii="Arial" w:cs="Arial" w:eastAsia="Arial" w:hAnsi="Arial"/>
                <w:sz w:val="16"/>
                <w:szCs w:val="16"/>
                <w:color w:val="auto"/>
              </w:rPr>
              <w:t>73%</w:t>
            </w:r>
          </w:p>
        </w:tc>
        <w:tc>
          <w:tcPr>
            <w:tcW w:w="1860" w:type="dxa"/>
            <w:vAlign w:val="bottom"/>
            <w:shd w:val="clear" w:color="auto" w:fill="CFF0FC"/>
          </w:tcPr>
          <w:p>
            <w:pPr>
              <w:jc w:val="right"/>
              <w:ind w:right="679"/>
              <w:spacing w:after="0"/>
              <w:rPr>
                <w:sz w:val="20"/>
                <w:szCs w:val="20"/>
                <w:color w:val="auto"/>
              </w:rPr>
            </w:pPr>
            <w:r>
              <w:rPr>
                <w:rFonts w:ascii="Arial" w:cs="Arial" w:eastAsia="Arial" w:hAnsi="Arial"/>
                <w:sz w:val="16"/>
                <w:szCs w:val="16"/>
                <w:color w:val="auto"/>
              </w:rPr>
              <w:t>81%</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760" w:type="dxa"/>
            <w:vAlign w:val="bottom"/>
            <w:gridSpan w:val="2"/>
          </w:tcPr>
          <w:p>
            <w:pPr>
              <w:ind w:left="260"/>
              <w:spacing w:after="0"/>
              <w:rPr>
                <w:sz w:val="20"/>
                <w:szCs w:val="20"/>
                <w:color w:val="auto"/>
              </w:rPr>
            </w:pPr>
            <w:r>
              <w:rPr>
                <w:rFonts w:ascii="Arial" w:cs="Arial" w:eastAsia="Arial" w:hAnsi="Arial"/>
                <w:sz w:val="16"/>
                <w:szCs w:val="16"/>
                <w:color w:val="auto"/>
              </w:rPr>
              <w:t>Available Days:</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376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3"/>
        </w:trPr>
        <w:tc>
          <w:tcPr>
            <w:tcW w:w="3760" w:type="dxa"/>
            <w:vAlign w:val="bottom"/>
            <w:gridSpan w:val="2"/>
          </w:tcPr>
          <w:p>
            <w:pPr>
              <w:ind w:left="500"/>
              <w:spacing w:after="0"/>
              <w:rPr>
                <w:sz w:val="20"/>
                <w:szCs w:val="20"/>
                <w:color w:val="auto"/>
              </w:rPr>
            </w:pPr>
            <w:r>
              <w:rPr>
                <w:rFonts w:ascii="Arial" w:cs="Arial" w:eastAsia="Arial" w:hAnsi="Arial"/>
                <w:sz w:val="16"/>
                <w:szCs w:val="16"/>
                <w:color w:val="auto"/>
              </w:rPr>
              <w:t>FSV</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828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921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2,457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2,724</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376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460</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491</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1,649</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1,636</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3"/>
        </w:trPr>
        <w:tc>
          <w:tcPr>
            <w:tcW w:w="3760" w:type="dxa"/>
            <w:vAlign w:val="bottom"/>
            <w:gridSpan w:val="2"/>
          </w:tcPr>
          <w:p>
            <w:pPr>
              <w:ind w:left="500"/>
              <w:spacing w:after="0"/>
              <w:rPr>
                <w:sz w:val="20"/>
                <w:szCs w:val="20"/>
                <w:color w:val="auto"/>
              </w:rPr>
            </w:pPr>
            <w:r>
              <w:rPr>
                <w:rFonts w:ascii="Arial" w:cs="Arial" w:eastAsia="Arial" w:hAnsi="Arial"/>
                <w:sz w:val="16"/>
                <w:szCs w:val="16"/>
                <w:color w:val="auto"/>
              </w:rPr>
              <w:t>Liftboats</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546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546</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3760" w:type="dxa"/>
            <w:vAlign w:val="bottom"/>
            <w:gridSpan w:val="2"/>
            <w:shd w:val="clear" w:color="auto" w:fill="CFF0FC"/>
          </w:tcPr>
          <w:p>
            <w:pPr>
              <w:ind w:left="500"/>
              <w:spacing w:after="0" w:line="218" w:lineRule="exact"/>
              <w:rPr>
                <w:sz w:val="20"/>
                <w:szCs w:val="20"/>
                <w:color w:val="auto"/>
              </w:rPr>
            </w:pPr>
            <w:r>
              <w:rPr>
                <w:rFonts w:ascii="Arial" w:cs="Arial" w:eastAsia="Arial" w:hAnsi="Arial"/>
                <w:sz w:val="15"/>
                <w:szCs w:val="15"/>
                <w:color w:val="auto"/>
              </w:rPr>
              <w:t xml:space="preserve">Specialty </w:t>
            </w:r>
            <w:r>
              <w:rPr>
                <w:rFonts w:ascii="Arial" w:cs="Arial" w:eastAsia="Arial" w:hAnsi="Arial"/>
                <w:sz w:val="25"/>
                <w:szCs w:val="25"/>
                <w:color w:val="auto"/>
                <w:vertAlign w:val="superscript"/>
              </w:rPr>
              <w:t>(1)</w:t>
            </w:r>
          </w:p>
        </w:tc>
        <w:tc>
          <w:tcPr>
            <w:tcW w:w="3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46"/>
        </w:trPr>
        <w:tc>
          <w:tcPr>
            <w:tcW w:w="3760" w:type="dxa"/>
            <w:vAlign w:val="bottom"/>
            <w:tcBorders>
              <w:bottom w:val="single" w:sz="8" w:color="CFF0FC"/>
            </w:tcBorders>
            <w:gridSpan w:val="2"/>
          </w:tcPr>
          <w:p>
            <w:pPr>
              <w:ind w:left="500"/>
              <w:spacing w:after="0"/>
              <w:rPr>
                <w:sz w:val="20"/>
                <w:szCs w:val="20"/>
                <w:color w:val="auto"/>
              </w:rPr>
            </w:pPr>
            <w:r>
              <w:rPr>
                <w:rFonts w:ascii="Arial" w:cs="Arial" w:eastAsia="Arial" w:hAnsi="Arial"/>
                <w:sz w:val="16"/>
                <w:szCs w:val="16"/>
                <w:color w:val="auto"/>
              </w:rPr>
              <w:t>Overall</w:t>
            </w:r>
          </w:p>
        </w:tc>
        <w:tc>
          <w:tcPr>
            <w:tcW w:w="3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1,564</w:t>
            </w:r>
          </w:p>
        </w:tc>
        <w:tc>
          <w:tcPr>
            <w:tcW w:w="22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1,780</w:t>
            </w:r>
          </w:p>
        </w:tc>
        <w:tc>
          <w:tcPr>
            <w:tcW w:w="22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5,015</w:t>
            </w:r>
          </w:p>
        </w:tc>
        <w:tc>
          <w:tcPr>
            <w:tcW w:w="22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5,452</w:t>
            </w:r>
          </w:p>
        </w:tc>
        <w:tc>
          <w:tcPr>
            <w:tcW w:w="220" w:type="dxa"/>
            <w:vAlign w:val="bottom"/>
            <w:tcBorders>
              <w:bottom w:val="single" w:sz="8" w:color="CFF0FC"/>
            </w:tcBorders>
          </w:tcPr>
          <w:p>
            <w:pPr>
              <w:spacing w:after="0"/>
              <w:rPr>
                <w:sz w:val="21"/>
                <w:szCs w:val="21"/>
                <w:color w:val="auto"/>
              </w:rPr>
            </w:pPr>
          </w:p>
        </w:tc>
        <w:tc>
          <w:tcPr>
            <w:tcW w:w="46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r>
      <w:tr>
        <w:trPr>
          <w:trHeight w:val="200"/>
        </w:trPr>
        <w:tc>
          <w:tcPr>
            <w:tcW w:w="37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13"/>
        </w:trPr>
        <w:tc>
          <w:tcPr>
            <w:tcW w:w="3760" w:type="dxa"/>
            <w:vAlign w:val="bottom"/>
            <w:gridSpan w:val="2"/>
          </w:tcPr>
          <w:p>
            <w:pPr>
              <w:ind w:left="260"/>
              <w:spacing w:after="0"/>
              <w:rPr>
                <w:sz w:val="20"/>
                <w:szCs w:val="20"/>
                <w:color w:val="auto"/>
              </w:rPr>
            </w:pPr>
            <w:r>
              <w:rPr>
                <w:rFonts w:ascii="Arial" w:cs="Arial" w:eastAsia="Arial" w:hAnsi="Arial"/>
                <w:sz w:val="16"/>
                <w:szCs w:val="16"/>
                <w:color w:val="auto"/>
              </w:rPr>
              <w:t>Time charter</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11,712</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97%</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13,417</w:t>
            </w:r>
          </w:p>
        </w:tc>
        <w:tc>
          <w:tcPr>
            <w:tcW w:w="2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99%</w:t>
            </w:r>
          </w:p>
        </w:tc>
        <w:tc>
          <w:tcPr>
            <w:tcW w:w="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39,278</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98%</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39,744</w:t>
            </w: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99%</w:t>
            </w:r>
          </w:p>
        </w:tc>
      </w:tr>
      <w:tr>
        <w:trPr>
          <w:trHeight w:val="216"/>
        </w:trPr>
        <w:tc>
          <w:tcPr>
            <w:tcW w:w="37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w:t>
            </w: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2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w:t>
            </w: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828</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476</w:t>
            </w:r>
          </w:p>
        </w:tc>
        <w:tc>
          <w:tcPr>
            <w:tcW w:w="2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w:t>
            </w:r>
          </w:p>
        </w:tc>
      </w:tr>
      <w:tr>
        <w:trPr>
          <w:trHeight w:val="20"/>
        </w:trPr>
        <w:tc>
          <w:tcPr>
            <w:tcW w:w="15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15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12,031</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13,502</w:t>
            </w:r>
          </w:p>
        </w:tc>
        <w:tc>
          <w:tcPr>
            <w:tcW w:w="2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100%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40,106</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40,220</w:t>
            </w: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100%</w:t>
            </w:r>
          </w:p>
        </w:tc>
      </w:tr>
      <w:tr>
        <w:trPr>
          <w:trHeight w:val="213"/>
        </w:trPr>
        <w:tc>
          <w:tcPr>
            <w:tcW w:w="37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Direct operating expenses:</w:t>
            </w:r>
          </w:p>
        </w:tc>
        <w:tc>
          <w:tcPr>
            <w:tcW w:w="3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3"/>
        </w:trPr>
        <w:tc>
          <w:tcPr>
            <w:tcW w:w="3760" w:type="dxa"/>
            <w:vAlign w:val="bottom"/>
            <w:gridSpan w:val="2"/>
          </w:tcPr>
          <w:p>
            <w:pPr>
              <w:ind w:left="260"/>
              <w:spacing w:after="0"/>
              <w:rPr>
                <w:sz w:val="20"/>
                <w:szCs w:val="20"/>
                <w:color w:val="auto"/>
              </w:rPr>
            </w:pPr>
            <w:r>
              <w:rPr>
                <w:rFonts w:ascii="Arial" w:cs="Arial" w:eastAsia="Arial" w:hAnsi="Arial"/>
                <w:sz w:val="16"/>
                <w:szCs w:val="16"/>
                <w:color w:val="auto"/>
              </w:rPr>
              <w:t>Personnel</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5,384</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45%</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5,849</w:t>
            </w:r>
          </w:p>
        </w:tc>
        <w:tc>
          <w:tcPr>
            <w:tcW w:w="2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43%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17,106</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43%</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16,435</w:t>
            </w: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41%</w:t>
            </w:r>
          </w:p>
        </w:tc>
      </w:tr>
      <w:tr>
        <w:trPr>
          <w:trHeight w:val="219"/>
        </w:trPr>
        <w:tc>
          <w:tcPr>
            <w:tcW w:w="37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Repairs and maintenance</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1,776</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15%</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1,610</w:t>
            </w:r>
          </w:p>
        </w:tc>
        <w:tc>
          <w:tcPr>
            <w:tcW w:w="2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6,153</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15%</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5,319</w:t>
            </w:r>
          </w:p>
        </w:tc>
        <w:tc>
          <w:tcPr>
            <w:tcW w:w="2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w:t>
            </w:r>
          </w:p>
        </w:tc>
      </w:tr>
      <w:tr>
        <w:trPr>
          <w:trHeight w:val="213"/>
        </w:trPr>
        <w:tc>
          <w:tcPr>
            <w:tcW w:w="3760" w:type="dxa"/>
            <w:vAlign w:val="bottom"/>
            <w:gridSpan w:val="2"/>
          </w:tcPr>
          <w:p>
            <w:pPr>
              <w:ind w:left="260"/>
              <w:spacing w:after="0"/>
              <w:rPr>
                <w:sz w:val="20"/>
                <w:szCs w:val="20"/>
                <w:color w:val="auto"/>
              </w:rPr>
            </w:pPr>
            <w:r>
              <w:rPr>
                <w:rFonts w:ascii="Arial" w:cs="Arial" w:eastAsia="Arial" w:hAnsi="Arial"/>
                <w:sz w:val="16"/>
                <w:szCs w:val="16"/>
                <w:color w:val="auto"/>
              </w:rPr>
              <w:t>Drydocking</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3,113</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26%</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156</w:t>
            </w:r>
          </w:p>
        </w:tc>
        <w:tc>
          <w:tcPr>
            <w:tcW w:w="2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6,325</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16%</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2,407</w:t>
            </w: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r>
      <w:tr>
        <w:trPr>
          <w:trHeight w:val="219"/>
        </w:trPr>
        <w:tc>
          <w:tcPr>
            <w:tcW w:w="37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Insurance and loss reserves</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707</w:t>
            </w:r>
          </w:p>
        </w:tc>
        <w:tc>
          <w:tcPr>
            <w:tcW w:w="2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2,017</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1,870</w:t>
            </w:r>
          </w:p>
        </w:tc>
        <w:tc>
          <w:tcPr>
            <w:tcW w:w="2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w:t>
            </w:r>
          </w:p>
        </w:tc>
      </w:tr>
      <w:tr>
        <w:trPr>
          <w:trHeight w:val="213"/>
        </w:trPr>
        <w:tc>
          <w:tcPr>
            <w:tcW w:w="3760" w:type="dxa"/>
            <w:vAlign w:val="bottom"/>
            <w:gridSpan w:val="2"/>
          </w:tcPr>
          <w:p>
            <w:pPr>
              <w:ind w:left="260"/>
              <w:spacing w:after="0"/>
              <w:rPr>
                <w:sz w:val="20"/>
                <w:szCs w:val="20"/>
                <w:color w:val="auto"/>
              </w:rPr>
            </w:pPr>
            <w:r>
              <w:rPr>
                <w:rFonts w:ascii="Arial" w:cs="Arial" w:eastAsia="Arial" w:hAnsi="Arial"/>
                <w:sz w:val="16"/>
                <w:szCs w:val="16"/>
                <w:color w:val="auto"/>
              </w:rPr>
              <w:t>Fuel, lubes and supplies</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1,426</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12%</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777</w:t>
            </w:r>
          </w:p>
        </w:tc>
        <w:tc>
          <w:tcPr>
            <w:tcW w:w="2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3,754</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9%</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2,417</w:t>
            </w: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r>
      <w:tr>
        <w:trPr>
          <w:trHeight w:val="216"/>
        </w:trPr>
        <w:tc>
          <w:tcPr>
            <w:tcW w:w="37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878</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w:t>
            </w: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2,823</w:t>
            </w:r>
          </w:p>
        </w:tc>
        <w:tc>
          <w:tcPr>
            <w:tcW w:w="2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w:t>
            </w: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3,718</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4,010</w:t>
            </w:r>
          </w:p>
        </w:tc>
        <w:tc>
          <w:tcPr>
            <w:tcW w:w="2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w:t>
            </w:r>
          </w:p>
        </w:tc>
      </w:tr>
      <w:tr>
        <w:trPr>
          <w:trHeight w:val="20"/>
        </w:trPr>
        <w:tc>
          <w:tcPr>
            <w:tcW w:w="15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3"/>
        </w:trPr>
        <w:tc>
          <w:tcPr>
            <w:tcW w:w="15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13,339</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111%</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11,922</w:t>
            </w:r>
          </w:p>
        </w:tc>
        <w:tc>
          <w:tcPr>
            <w:tcW w:w="2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88%</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39,073</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97%</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32,458</w:t>
            </w: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81%</w:t>
            </w:r>
          </w:p>
        </w:tc>
      </w:tr>
      <w:tr>
        <w:trPr>
          <w:trHeight w:val="20"/>
        </w:trPr>
        <w:tc>
          <w:tcPr>
            <w:tcW w:w="1500" w:type="dxa"/>
            <w:vAlign w:val="bottom"/>
            <w:tcBorders>
              <w:bottom w:val="single" w:sz="8" w:color="CFF0FC"/>
            </w:tcBorders>
            <w:shd w:val="clear" w:color="auto" w:fill="CFF0FC"/>
          </w:tcPr>
          <w:p>
            <w:pPr>
              <w:spacing w:after="0" w:line="20" w:lineRule="exact"/>
              <w:rPr>
                <w:sz w:val="1"/>
                <w:szCs w:val="1"/>
                <w:color w:val="auto"/>
              </w:rPr>
            </w:pPr>
          </w:p>
        </w:tc>
        <w:tc>
          <w:tcPr>
            <w:tcW w:w="2260" w:type="dxa"/>
            <w:vAlign w:val="bottom"/>
            <w:tcBorders>
              <w:bottom w:val="single" w:sz="8" w:color="CFF0FC"/>
            </w:tcBorders>
            <w:shd w:val="clear" w:color="auto" w:fill="CFF0FC"/>
          </w:tcPr>
          <w:p>
            <w:pPr>
              <w:spacing w:after="0" w:line="20" w:lineRule="exact"/>
              <w:rPr>
                <w:sz w:val="1"/>
                <w:szCs w:val="1"/>
                <w:color w:val="auto"/>
              </w:rPr>
            </w:pPr>
          </w:p>
        </w:tc>
        <w:tc>
          <w:tcPr>
            <w:tcW w:w="300" w:type="dxa"/>
            <w:vAlign w:val="bottom"/>
            <w:tcBorders>
              <w:bottom w:val="single" w:sz="8" w:color="auto"/>
            </w:tcBorders>
            <w:shd w:val="clear" w:color="auto" w:fill="CFF0FC"/>
          </w:tcPr>
          <w:p>
            <w:pPr>
              <w:spacing w:after="0" w:line="20" w:lineRule="exact"/>
              <w:rPr>
                <w:sz w:val="1"/>
                <w:szCs w:val="1"/>
                <w:color w:val="auto"/>
              </w:rPr>
            </w:pPr>
          </w:p>
        </w:tc>
        <w:tc>
          <w:tcPr>
            <w:tcW w:w="680" w:type="dxa"/>
            <w:vAlign w:val="bottom"/>
            <w:tcBorders>
              <w:bottom w:val="single" w:sz="8" w:color="auto"/>
            </w:tcBorders>
            <w:shd w:val="clear" w:color="auto" w:fill="CFF0FC"/>
          </w:tcPr>
          <w:p>
            <w:pPr>
              <w:spacing w:after="0" w:line="20" w:lineRule="exact"/>
              <w:rPr>
                <w:sz w:val="1"/>
                <w:szCs w:val="1"/>
                <w:color w:val="auto"/>
              </w:rPr>
            </w:pPr>
          </w:p>
        </w:tc>
        <w:tc>
          <w:tcPr>
            <w:tcW w:w="220" w:type="dxa"/>
            <w:vAlign w:val="bottom"/>
            <w:tcBorders>
              <w:bottom w:val="single" w:sz="8" w:color="CFF0FC"/>
            </w:tcBorders>
            <w:shd w:val="clear" w:color="auto" w:fill="CFF0FC"/>
          </w:tcPr>
          <w:p>
            <w:pPr>
              <w:spacing w:after="0" w:line="20" w:lineRule="exact"/>
              <w:rPr>
                <w:sz w:val="1"/>
                <w:szCs w:val="1"/>
                <w:color w:val="auto"/>
              </w:rPr>
            </w:pPr>
          </w:p>
        </w:tc>
        <w:tc>
          <w:tcPr>
            <w:tcW w:w="420" w:type="dxa"/>
            <w:vAlign w:val="bottom"/>
            <w:tcBorders>
              <w:bottom w:val="single" w:sz="8" w:color="CFF0FC"/>
            </w:tcBorders>
            <w:shd w:val="clear" w:color="auto" w:fill="000000"/>
          </w:tcPr>
          <w:p>
            <w:pPr>
              <w:spacing w:after="0" w:line="20" w:lineRule="exact"/>
              <w:rPr>
                <w:sz w:val="1"/>
                <w:szCs w:val="1"/>
                <w:color w:val="auto"/>
              </w:rPr>
            </w:pPr>
          </w:p>
        </w:tc>
        <w:tc>
          <w:tcPr>
            <w:tcW w:w="260" w:type="dxa"/>
            <w:vAlign w:val="bottom"/>
            <w:tcBorders>
              <w:bottom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bottom w:val="single" w:sz="8" w:color="CFF0FC"/>
            </w:tcBorders>
            <w:shd w:val="clear" w:color="auto" w:fill="000000"/>
          </w:tcPr>
          <w:p>
            <w:pPr>
              <w:spacing w:after="0" w:line="20" w:lineRule="exact"/>
              <w:rPr>
                <w:sz w:val="1"/>
                <w:szCs w:val="1"/>
                <w:color w:val="auto"/>
              </w:rPr>
            </w:pPr>
          </w:p>
        </w:tc>
        <w:tc>
          <w:tcPr>
            <w:tcW w:w="700" w:type="dxa"/>
            <w:vAlign w:val="bottom"/>
            <w:tcBorders>
              <w:bottom w:val="single" w:sz="8" w:color="CFF0FC"/>
            </w:tcBorders>
            <w:shd w:val="clear" w:color="auto" w:fill="000000"/>
          </w:tcPr>
          <w:p>
            <w:pPr>
              <w:spacing w:after="0" w:line="20" w:lineRule="exact"/>
              <w:rPr>
                <w:sz w:val="1"/>
                <w:szCs w:val="1"/>
                <w:color w:val="auto"/>
              </w:rPr>
            </w:pPr>
          </w:p>
        </w:tc>
        <w:tc>
          <w:tcPr>
            <w:tcW w:w="220" w:type="dxa"/>
            <w:vAlign w:val="bottom"/>
            <w:tcBorders>
              <w:bottom w:val="single" w:sz="8" w:color="CFF0FC"/>
            </w:tcBorders>
            <w:shd w:val="clear" w:color="auto" w:fill="CFF0FC"/>
          </w:tcPr>
          <w:p>
            <w:pPr>
              <w:spacing w:after="0" w:line="20" w:lineRule="exact"/>
              <w:rPr>
                <w:sz w:val="1"/>
                <w:szCs w:val="1"/>
                <w:color w:val="auto"/>
              </w:rPr>
            </w:pPr>
          </w:p>
        </w:tc>
        <w:tc>
          <w:tcPr>
            <w:tcW w:w="420" w:type="dxa"/>
            <w:vAlign w:val="bottom"/>
            <w:tcBorders>
              <w:bottom w:val="single" w:sz="8" w:color="CFF0FC"/>
            </w:tcBorders>
            <w:shd w:val="clear" w:color="auto" w:fill="000000"/>
          </w:tcPr>
          <w:p>
            <w:pPr>
              <w:spacing w:after="0" w:line="20" w:lineRule="exact"/>
              <w:rPr>
                <w:sz w:val="1"/>
                <w:szCs w:val="1"/>
                <w:color w:val="auto"/>
              </w:rPr>
            </w:pPr>
          </w:p>
        </w:tc>
        <w:tc>
          <w:tcPr>
            <w:tcW w:w="180" w:type="dxa"/>
            <w:vAlign w:val="bottom"/>
            <w:tcBorders>
              <w:bottom w:val="single" w:sz="8" w:color="CFF0FC"/>
            </w:tcBorders>
            <w:shd w:val="clear" w:color="auto" w:fill="CFF0FC"/>
          </w:tcPr>
          <w:p>
            <w:pPr>
              <w:spacing w:after="0" w:line="20" w:lineRule="exact"/>
              <w:rPr>
                <w:sz w:val="1"/>
                <w:szCs w:val="1"/>
                <w:color w:val="auto"/>
              </w:rPr>
            </w:pPr>
          </w:p>
        </w:tc>
        <w:tc>
          <w:tcPr>
            <w:tcW w:w="60" w:type="dxa"/>
            <w:vAlign w:val="bottom"/>
            <w:tcBorders>
              <w:bottom w:val="single" w:sz="8" w:color="CFF0FC"/>
            </w:tcBorders>
            <w:shd w:val="clear" w:color="auto" w:fill="CFF0FC"/>
          </w:tcPr>
          <w:p>
            <w:pPr>
              <w:spacing w:after="0" w:line="20" w:lineRule="exact"/>
              <w:rPr>
                <w:sz w:val="1"/>
                <w:szCs w:val="1"/>
                <w:color w:val="auto"/>
              </w:rPr>
            </w:pPr>
          </w:p>
        </w:tc>
        <w:tc>
          <w:tcPr>
            <w:tcW w:w="320" w:type="dxa"/>
            <w:vAlign w:val="bottom"/>
            <w:tcBorders>
              <w:bottom w:val="single" w:sz="8" w:color="auto"/>
            </w:tcBorders>
            <w:shd w:val="clear" w:color="auto" w:fill="CFF0FC"/>
          </w:tcPr>
          <w:p>
            <w:pPr>
              <w:spacing w:after="0" w:line="20" w:lineRule="exact"/>
              <w:rPr>
                <w:sz w:val="1"/>
                <w:szCs w:val="1"/>
                <w:color w:val="auto"/>
              </w:rPr>
            </w:pPr>
          </w:p>
        </w:tc>
        <w:tc>
          <w:tcPr>
            <w:tcW w:w="680" w:type="dxa"/>
            <w:vAlign w:val="bottom"/>
            <w:tcBorders>
              <w:bottom w:val="single" w:sz="8" w:color="auto"/>
            </w:tcBorders>
            <w:shd w:val="clear" w:color="auto" w:fill="CFF0FC"/>
          </w:tcPr>
          <w:p>
            <w:pPr>
              <w:spacing w:after="0" w:line="20" w:lineRule="exact"/>
              <w:rPr>
                <w:sz w:val="1"/>
                <w:szCs w:val="1"/>
                <w:color w:val="auto"/>
              </w:rPr>
            </w:pPr>
          </w:p>
        </w:tc>
        <w:tc>
          <w:tcPr>
            <w:tcW w:w="220" w:type="dxa"/>
            <w:vAlign w:val="bottom"/>
            <w:tcBorders>
              <w:bottom w:val="single" w:sz="8" w:color="CFF0FC"/>
            </w:tcBorders>
            <w:shd w:val="clear" w:color="auto" w:fill="CFF0FC"/>
          </w:tcPr>
          <w:p>
            <w:pPr>
              <w:spacing w:after="0" w:line="20" w:lineRule="exact"/>
              <w:rPr>
                <w:sz w:val="1"/>
                <w:szCs w:val="1"/>
                <w:color w:val="auto"/>
              </w:rPr>
            </w:pPr>
          </w:p>
        </w:tc>
        <w:tc>
          <w:tcPr>
            <w:tcW w:w="420" w:type="dxa"/>
            <w:vAlign w:val="bottom"/>
            <w:tcBorders>
              <w:bottom w:val="single" w:sz="8" w:color="CFF0FC"/>
            </w:tcBorders>
            <w:shd w:val="clear" w:color="auto" w:fill="000000"/>
          </w:tcPr>
          <w:p>
            <w:pPr>
              <w:spacing w:after="0" w:line="20" w:lineRule="exact"/>
              <w:rPr>
                <w:sz w:val="1"/>
                <w:szCs w:val="1"/>
                <w:color w:val="auto"/>
              </w:rPr>
            </w:pPr>
          </w:p>
        </w:tc>
        <w:tc>
          <w:tcPr>
            <w:tcW w:w="260" w:type="dxa"/>
            <w:vAlign w:val="bottom"/>
            <w:tcBorders>
              <w:bottom w:val="single" w:sz="8" w:color="CFF0FC"/>
              <w:right w:val="single" w:sz="8" w:color="CFF0FC"/>
            </w:tcBorders>
            <w:shd w:val="clear" w:color="auto" w:fill="CFF0FC"/>
          </w:tcPr>
          <w:p>
            <w:pPr>
              <w:spacing w:after="0" w:line="20" w:lineRule="exact"/>
              <w:rPr>
                <w:sz w:val="1"/>
                <w:szCs w:val="1"/>
                <w:color w:val="auto"/>
              </w:rPr>
            </w:pPr>
          </w:p>
        </w:tc>
        <w:tc>
          <w:tcPr>
            <w:tcW w:w="320" w:type="dxa"/>
            <w:vAlign w:val="bottom"/>
            <w:tcBorders>
              <w:bottom w:val="single" w:sz="8" w:color="CFF0FC"/>
            </w:tcBorders>
            <w:shd w:val="clear" w:color="auto" w:fill="000000"/>
          </w:tcPr>
          <w:p>
            <w:pPr>
              <w:spacing w:after="0" w:line="20" w:lineRule="exact"/>
              <w:rPr>
                <w:sz w:val="1"/>
                <w:szCs w:val="1"/>
                <w:color w:val="auto"/>
              </w:rPr>
            </w:pPr>
          </w:p>
        </w:tc>
        <w:tc>
          <w:tcPr>
            <w:tcW w:w="680" w:type="dxa"/>
            <w:vAlign w:val="bottom"/>
            <w:tcBorders>
              <w:bottom w:val="single" w:sz="8" w:color="CFF0FC"/>
            </w:tcBorders>
            <w:shd w:val="clear" w:color="auto" w:fill="000000"/>
          </w:tcPr>
          <w:p>
            <w:pPr>
              <w:spacing w:after="0" w:line="20" w:lineRule="exact"/>
              <w:rPr>
                <w:sz w:val="1"/>
                <w:szCs w:val="1"/>
                <w:color w:val="auto"/>
              </w:rPr>
            </w:pPr>
          </w:p>
        </w:tc>
        <w:tc>
          <w:tcPr>
            <w:tcW w:w="220" w:type="dxa"/>
            <w:vAlign w:val="bottom"/>
            <w:tcBorders>
              <w:bottom w:val="single" w:sz="8" w:color="CFF0FC"/>
            </w:tcBorders>
            <w:shd w:val="clear" w:color="auto" w:fill="CFF0FC"/>
          </w:tcPr>
          <w:p>
            <w:pPr>
              <w:spacing w:after="0" w:line="20" w:lineRule="exact"/>
              <w:rPr>
                <w:sz w:val="1"/>
                <w:szCs w:val="1"/>
                <w:color w:val="auto"/>
              </w:rPr>
            </w:pPr>
          </w:p>
        </w:tc>
        <w:tc>
          <w:tcPr>
            <w:tcW w:w="460" w:type="dxa"/>
            <w:vAlign w:val="bottom"/>
            <w:tcBorders>
              <w:bottom w:val="single" w:sz="8" w:color="CFF0FC"/>
            </w:tcBorders>
            <w:shd w:val="clear" w:color="auto" w:fill="000000"/>
          </w:tcPr>
          <w:p>
            <w:pPr>
              <w:spacing w:after="0" w:line="20" w:lineRule="exact"/>
              <w:rPr>
                <w:sz w:val="1"/>
                <w:szCs w:val="1"/>
                <w:color w:val="auto"/>
              </w:rPr>
            </w:pPr>
          </w:p>
        </w:tc>
        <w:tc>
          <w:tcPr>
            <w:tcW w:w="140" w:type="dxa"/>
            <w:vAlign w:val="bottom"/>
            <w:tcBorders>
              <w:bottom w:val="single" w:sz="8" w:color="CFF0FC"/>
            </w:tcBorders>
            <w:shd w:val="clear" w:color="auto" w:fill="CFF0FC"/>
          </w:tcPr>
          <w:p>
            <w:pPr>
              <w:spacing w:after="0" w:line="20" w:lineRule="exact"/>
              <w:rPr>
                <w:sz w:val="1"/>
                <w:szCs w:val="1"/>
                <w:color w:val="auto"/>
              </w:rPr>
            </w:pPr>
          </w:p>
        </w:tc>
      </w:tr>
      <w:tr>
        <w:trPr>
          <w:trHeight w:val="193"/>
        </w:trPr>
        <w:tc>
          <w:tcPr>
            <w:tcW w:w="37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Direct Vessel (Loss) Profit</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(1,308)</w:t>
            </w: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1,580</w:t>
            </w:r>
          </w:p>
        </w:tc>
        <w:tc>
          <w:tcPr>
            <w:tcW w:w="22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w:t>
            </w: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1,033</w:t>
            </w:r>
          </w:p>
        </w:tc>
        <w:tc>
          <w:tcPr>
            <w:tcW w:w="220" w:type="dxa"/>
            <w:vAlign w:val="bottom"/>
            <w:shd w:val="clear" w:color="auto" w:fill="CFF0FC"/>
          </w:tcPr>
          <w:p>
            <w:pPr>
              <w:spacing w:after="0"/>
              <w:rPr>
                <w:sz w:val="16"/>
                <w:szCs w:val="16"/>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w:t>
            </w: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7,762</w:t>
            </w:r>
          </w:p>
        </w:tc>
        <w:tc>
          <w:tcPr>
            <w:tcW w:w="22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w:t>
            </w:r>
          </w:p>
        </w:tc>
      </w:tr>
      <w:tr>
        <w:trPr>
          <w:trHeight w:val="20"/>
        </w:trPr>
        <w:tc>
          <w:tcPr>
            <w:tcW w:w="1500" w:type="dxa"/>
            <w:vAlign w:val="bottom"/>
            <w:tcBorders>
              <w:top w:val="single" w:sz="8" w:color="CFF0FC"/>
            </w:tcBorders>
          </w:tcPr>
          <w:p>
            <w:pPr>
              <w:spacing w:after="0" w:line="20" w:lineRule="exact"/>
              <w:rPr>
                <w:sz w:val="1"/>
                <w:szCs w:val="1"/>
                <w:color w:val="auto"/>
              </w:rPr>
            </w:pPr>
          </w:p>
        </w:tc>
        <w:tc>
          <w:tcPr>
            <w:tcW w:w="2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r>
      <w:tr>
        <w:trPr>
          <w:trHeight w:val="119"/>
        </w:trPr>
        <w:tc>
          <w:tcPr>
            <w:tcW w:w="1500" w:type="dxa"/>
            <w:vAlign w:val="bottom"/>
            <w:tcBorders>
              <w:bottom w:val="single" w:sz="8" w:color="auto"/>
            </w:tcBorders>
          </w:tcPr>
          <w:p>
            <w:pPr>
              <w:spacing w:after="0"/>
              <w:rPr>
                <w:sz w:val="10"/>
                <w:szCs w:val="10"/>
                <w:color w:val="auto"/>
              </w:rPr>
            </w:pPr>
          </w:p>
        </w:tc>
        <w:tc>
          <w:tcPr>
            <w:tcW w:w="2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r>
    </w:tbl>
    <w:p>
      <w:pPr>
        <w:spacing w:after="0" w:line="22" w:lineRule="exact"/>
        <w:rPr>
          <w:sz w:val="20"/>
          <w:szCs w:val="20"/>
          <w:color w:val="auto"/>
        </w:rPr>
      </w:pPr>
    </w:p>
    <w:p>
      <w:pPr>
        <w:ind w:left="760" w:hanging="752"/>
        <w:spacing w:after="0"/>
        <w:tabs>
          <w:tab w:leader="none" w:pos="7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In the second quarter of 2022, the Company removed from service one specialty vessel in this region. Specialty statistics reflect the removed from service status of this vessel.</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46" w:name="page47"/>
    <w:bookmarkEnd w:id="46"/>
    <w:p>
      <w:pPr>
        <w:ind w:left="7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17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i w:val="1"/>
          <w:iCs w:val="1"/>
          <w:color w:val="auto"/>
        </w:rPr>
        <w:t xml:space="preserve">Operating Revenues. </w:t>
      </w:r>
      <w:r>
        <w:rPr>
          <w:rFonts w:ascii="Arial" w:cs="Arial" w:eastAsia="Arial" w:hAnsi="Arial"/>
          <w:sz w:val="21"/>
          <w:szCs w:val="21"/>
          <w:color w:val="auto"/>
        </w:rPr>
        <w:t>Charter revenues were $1.7 million lower in the Current Year Quarter compared with the Prior Year</w:t>
      </w:r>
      <w:r>
        <w:rPr>
          <w:rFonts w:ascii="Arial" w:cs="Arial" w:eastAsia="Arial" w:hAnsi="Arial"/>
          <w:sz w:val="21"/>
          <w:szCs w:val="21"/>
          <w:i w:val="1"/>
          <w:iCs w:val="1"/>
          <w:color w:val="auto"/>
        </w:rPr>
        <w:t xml:space="preserve"> </w:t>
      </w:r>
      <w:r>
        <w:rPr>
          <w:rFonts w:ascii="Arial" w:cs="Arial" w:eastAsia="Arial" w:hAnsi="Arial"/>
          <w:sz w:val="21"/>
          <w:szCs w:val="21"/>
          <w:color w:val="auto"/>
        </w:rPr>
        <w:t>Quarter. Charter revenues were $2.0 million lower for the core fleet as a result of decreased day rates and utilization and $0.8 million lower due to the repositioning of vessels between geographic regions partially offset by a $1.1 million increase due to the acquisition of an additional two PSVs in this region as a result of the OSV Partners Merger. As of September 30, 2022, the Company had no owned or leased-in vessels cold-stacked in this region compared with two of 19 owned and leased-in vessels (one Specialty and one PSV) as of September 30, 2021.</w:t>
      </w:r>
    </w:p>
    <w:p>
      <w:pPr>
        <w:spacing w:after="0" w:line="15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i w:val="1"/>
          <w:iCs w:val="1"/>
          <w:color w:val="auto"/>
        </w:rPr>
        <w:t xml:space="preserve">Direct Operating Expenses. </w:t>
      </w:r>
      <w:r>
        <w:rPr>
          <w:rFonts w:ascii="Arial" w:cs="Arial" w:eastAsia="Arial" w:hAnsi="Arial"/>
          <w:sz w:val="21"/>
          <w:szCs w:val="21"/>
          <w:color w:val="auto"/>
        </w:rPr>
        <w:t>Direct operating expenses were $1.4 million higher in the Current Year Quarter compared</w:t>
      </w:r>
      <w:r>
        <w:rPr>
          <w:rFonts w:ascii="Arial" w:cs="Arial" w:eastAsia="Arial" w:hAnsi="Arial"/>
          <w:sz w:val="21"/>
          <w:szCs w:val="21"/>
          <w:i w:val="1"/>
          <w:iCs w:val="1"/>
          <w:color w:val="auto"/>
        </w:rPr>
        <w:t xml:space="preserve"> </w:t>
      </w:r>
      <w:r>
        <w:rPr>
          <w:rFonts w:ascii="Arial" w:cs="Arial" w:eastAsia="Arial" w:hAnsi="Arial"/>
          <w:sz w:val="21"/>
          <w:szCs w:val="21"/>
          <w:color w:val="auto"/>
        </w:rPr>
        <w:t>with the Prior Year Quarter. Direct operating expenses were $1.4 million higher for the core fleet primarily due to the timing of certain drydocking and repair expenditures and $1.3 million higher due to net fleet additions partially offset by $1.3 million due to the repositioning of vessels between geographic regions. The Current Year Quarter drydocking and repair expenditures included $2.0 million of costs pending adjustment of insurance claims.</w:t>
      </w:r>
    </w:p>
    <w:p>
      <w:pPr>
        <w:spacing w:after="0" w:line="132"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Year Nine Months compared with Prior Year Nine Months</w:t>
      </w:r>
    </w:p>
    <w:p>
      <w:pPr>
        <w:spacing w:after="0" w:line="172"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i w:val="1"/>
          <w:iCs w:val="1"/>
          <w:color w:val="auto"/>
        </w:rPr>
        <w:t xml:space="preserve">Operating Revenues. </w:t>
      </w:r>
      <w:r>
        <w:rPr>
          <w:rFonts w:ascii="Arial" w:cs="Arial" w:eastAsia="Arial" w:hAnsi="Arial"/>
          <w:sz w:val="19"/>
          <w:szCs w:val="19"/>
          <w:color w:val="auto"/>
        </w:rPr>
        <w:t>Charter revenues were $0.5 million lower in the Current Year Nine Months compared with the</w:t>
      </w:r>
      <w:r>
        <w:rPr>
          <w:rFonts w:ascii="Arial" w:cs="Arial" w:eastAsia="Arial" w:hAnsi="Arial"/>
          <w:sz w:val="19"/>
          <w:szCs w:val="19"/>
          <w:i w:val="1"/>
          <w:iCs w:val="1"/>
          <w:color w:val="auto"/>
        </w:rPr>
        <w:t xml:space="preserve"> </w:t>
      </w:r>
      <w:r>
        <w:rPr>
          <w:rFonts w:ascii="Arial" w:cs="Arial" w:eastAsia="Arial" w:hAnsi="Arial"/>
          <w:sz w:val="19"/>
          <w:szCs w:val="19"/>
          <w:color w:val="auto"/>
        </w:rPr>
        <w:t>Prior Year Nine Months. Charter revenues were $2.9 million lower for the core fleet as a result of decreased day rates and utilization and $0.6 million lower due to the repositioning of vessels between geographic regions partially offset by a $3.0 million increase due to the acquisition of an additional two PSVs in this region as a result of the OSV Partners Merger.</w:t>
      </w:r>
    </w:p>
    <w:p>
      <w:pPr>
        <w:spacing w:after="0" w:line="11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i w:val="1"/>
          <w:iCs w:val="1"/>
          <w:color w:val="auto"/>
        </w:rPr>
        <w:t xml:space="preserve">Direct Operating Expenses. </w:t>
      </w:r>
      <w:r>
        <w:rPr>
          <w:rFonts w:ascii="Arial" w:cs="Arial" w:eastAsia="Arial" w:hAnsi="Arial"/>
          <w:sz w:val="21"/>
          <w:szCs w:val="21"/>
          <w:color w:val="auto"/>
        </w:rPr>
        <w:t>Direct operating expenses were $6.6 million higher in the Current Year Nine Months</w:t>
      </w:r>
      <w:r>
        <w:rPr>
          <w:rFonts w:ascii="Arial" w:cs="Arial" w:eastAsia="Arial" w:hAnsi="Arial"/>
          <w:sz w:val="21"/>
          <w:szCs w:val="21"/>
          <w:i w:val="1"/>
          <w:iCs w:val="1"/>
          <w:color w:val="auto"/>
        </w:rPr>
        <w:t xml:space="preserve"> </w:t>
      </w:r>
      <w:r>
        <w:rPr>
          <w:rFonts w:ascii="Arial" w:cs="Arial" w:eastAsia="Arial" w:hAnsi="Arial"/>
          <w:sz w:val="21"/>
          <w:szCs w:val="21"/>
          <w:color w:val="auto"/>
        </w:rPr>
        <w:t>compared with the Prior Year Nine Months. Direct operating expenses were $4.0 million higher due to net fleet additions and $3.3 million higher for the core fleet primarily due to the timing of certain drydocking and repair expenditures partially offset by $0.7 million due to the repositioning of vessels between geographic regions. The Current Year Nine Months drydocking and repair expenditures included $3.2 million of costs pending adjustment of insurance claims.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47" w:name="page48"/>
    <w:bookmarkEnd w:id="47"/>
    <w:p>
      <w:pPr>
        <w:jc w:val="both"/>
        <w:ind w:firstLine="749"/>
        <w:spacing w:after="0"/>
        <w:rPr>
          <w:sz w:val="20"/>
          <w:szCs w:val="20"/>
          <w:color w:val="auto"/>
        </w:rPr>
      </w:pPr>
      <w:r>
        <w:rPr>
          <w:rFonts w:ascii="Arial" w:cs="Arial" w:eastAsia="Arial" w:hAnsi="Arial"/>
          <w:sz w:val="22"/>
          <w:szCs w:val="22"/>
          <w:b w:val="1"/>
          <w:bCs w:val="1"/>
          <w:i w:val="1"/>
          <w:iCs w:val="1"/>
          <w:color w:val="auto"/>
        </w:rPr>
        <w:t xml:space="preserve">Latin America (Brazil, Mexico, Central and South America). </w:t>
      </w:r>
      <w:r>
        <w:rPr>
          <w:rFonts w:ascii="Arial" w:cs="Arial" w:eastAsia="Arial" w:hAnsi="Arial"/>
          <w:sz w:val="22"/>
          <w:szCs w:val="22"/>
          <w:color w:val="auto"/>
        </w:rPr>
        <w:t>For the three and nine months ended September 30, 2022</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2021 the Company’s time charter statistics and direct vessel profit in Latin America was as follows (in thousands, except statistics):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gridSpan w:val="9"/>
          </w:tcPr>
          <w:p>
            <w:pPr>
              <w:jc w:val="right"/>
              <w:ind w:right="480"/>
              <w:spacing w:after="0"/>
              <w:rPr>
                <w:sz w:val="20"/>
                <w:szCs w:val="20"/>
                <w:color w:val="auto"/>
              </w:rPr>
            </w:pPr>
            <w:r>
              <w:rPr>
                <w:rFonts w:ascii="Arial" w:cs="Arial" w:eastAsia="Arial" w:hAnsi="Arial"/>
                <w:sz w:val="16"/>
                <w:szCs w:val="16"/>
                <w:b w:val="1"/>
                <w:bCs w:val="1"/>
                <w:color w:val="auto"/>
                <w:w w:val="93"/>
              </w:rPr>
              <w:t>For the Three Months Ended September 30,</w:t>
            </w:r>
          </w:p>
        </w:tc>
        <w:tc>
          <w:tcPr>
            <w:tcW w:w="200" w:type="dxa"/>
            <w:vAlign w:val="bottom"/>
          </w:tcPr>
          <w:p>
            <w:pPr>
              <w:spacing w:after="0"/>
              <w:rPr>
                <w:sz w:val="18"/>
                <w:szCs w:val="18"/>
                <w:color w:val="auto"/>
              </w:rPr>
            </w:pPr>
          </w:p>
        </w:tc>
        <w:tc>
          <w:tcPr>
            <w:tcW w:w="3080" w:type="dxa"/>
            <w:vAlign w:val="bottom"/>
            <w:gridSpan w:val="8"/>
          </w:tcPr>
          <w:p>
            <w:pPr>
              <w:ind w:left="100"/>
              <w:spacing w:after="0"/>
              <w:rPr>
                <w:sz w:val="20"/>
                <w:szCs w:val="20"/>
                <w:color w:val="auto"/>
              </w:rPr>
            </w:pPr>
            <w:r>
              <w:rPr>
                <w:rFonts w:ascii="Arial" w:cs="Arial" w:eastAsia="Arial" w:hAnsi="Arial"/>
                <w:sz w:val="16"/>
                <w:szCs w:val="16"/>
                <w:b w:val="1"/>
                <w:bCs w:val="1"/>
                <w:color w:val="auto"/>
                <w:w w:val="91"/>
              </w:rPr>
              <w:t>For the Nine Months Ended September 30,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6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260"/>
              <w:spacing w:after="0"/>
              <w:rPr>
                <w:sz w:val="20"/>
                <w:szCs w:val="20"/>
                <w:color w:val="auto"/>
              </w:rPr>
            </w:pPr>
            <w:r>
              <w:rPr>
                <w:rFonts w:ascii="Arial" w:cs="Arial" w:eastAsia="Arial" w:hAnsi="Arial"/>
                <w:sz w:val="16"/>
                <w:szCs w:val="16"/>
                <w:color w:val="auto"/>
              </w:rPr>
              <w:t>Rates Per Day Worked:</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FSV</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8,421</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7,785</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8,061</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7,663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500"/>
              <w:spacing w:after="0"/>
              <w:rPr>
                <w:sz w:val="20"/>
                <w:szCs w:val="20"/>
                <w:color w:val="auto"/>
              </w:rPr>
            </w:pPr>
            <w:r>
              <w:rPr>
                <w:rFonts w:ascii="Arial" w:cs="Arial" w:eastAsia="Arial" w:hAnsi="Arial"/>
                <w:sz w:val="16"/>
                <w:szCs w:val="16"/>
                <w:color w:val="auto"/>
              </w:rPr>
              <w:t>Supply</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15,797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15,379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15,527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15,429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Liftboats</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24,901</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36,742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25,801</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37,941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500"/>
              <w:spacing w:after="0"/>
              <w:rPr>
                <w:sz w:val="20"/>
                <w:szCs w:val="20"/>
                <w:color w:val="auto"/>
              </w:rPr>
            </w:pPr>
            <w:r>
              <w:rPr>
                <w:rFonts w:ascii="Arial" w:cs="Arial" w:eastAsia="Arial" w:hAnsi="Arial"/>
                <w:sz w:val="16"/>
                <w:szCs w:val="16"/>
                <w:color w:val="auto"/>
              </w:rPr>
              <w:t>Overall</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14,010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16,240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13,927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16,066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Utilization:</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500"/>
              <w:spacing w:after="0"/>
              <w:rPr>
                <w:sz w:val="20"/>
                <w:szCs w:val="20"/>
                <w:color w:val="auto"/>
              </w:rPr>
            </w:pPr>
            <w:r>
              <w:rPr>
                <w:rFonts w:ascii="Arial" w:cs="Arial" w:eastAsia="Arial" w:hAnsi="Arial"/>
                <w:sz w:val="16"/>
                <w:szCs w:val="16"/>
                <w:color w:val="auto"/>
              </w:rPr>
              <w:t>FSV</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97%</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96%</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94%</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90%</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93%</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3"/>
        </w:trPr>
        <w:tc>
          <w:tcPr>
            <w:tcW w:w="376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10%</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85%</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34%</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93%</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92%</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90%</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3"/>
        </w:trPr>
        <w:tc>
          <w:tcPr>
            <w:tcW w:w="3760" w:type="dxa"/>
            <w:vAlign w:val="bottom"/>
          </w:tcPr>
          <w:p>
            <w:pPr>
              <w:ind w:left="260"/>
              <w:spacing w:after="0"/>
              <w:rPr>
                <w:sz w:val="20"/>
                <w:szCs w:val="20"/>
                <w:color w:val="auto"/>
              </w:rPr>
            </w:pPr>
            <w:r>
              <w:rPr>
                <w:rFonts w:ascii="Arial" w:cs="Arial" w:eastAsia="Arial" w:hAnsi="Arial"/>
                <w:sz w:val="16"/>
                <w:szCs w:val="16"/>
                <w:color w:val="auto"/>
              </w:rPr>
              <w:t>Available Days: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FSV</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546</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500"/>
              <w:spacing w:after="0"/>
              <w:rPr>
                <w:sz w:val="20"/>
                <w:szCs w:val="20"/>
                <w:color w:val="auto"/>
              </w:rPr>
            </w:pPr>
            <w:r>
              <w:rPr>
                <w:rFonts w:ascii="Arial" w:cs="Arial" w:eastAsia="Arial" w:hAnsi="Arial"/>
                <w:sz w:val="16"/>
                <w:szCs w:val="16"/>
                <w:color w:val="auto"/>
              </w:rPr>
              <w:t>Supply</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552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1,696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Liftboats</w:t>
            </w: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140</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76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Overall</w:t>
            </w: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w:t>
            </w:r>
          </w:p>
        </w:tc>
        <w:tc>
          <w:tcPr>
            <w:tcW w:w="22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w:t>
            </w:r>
          </w:p>
        </w:tc>
        <w:tc>
          <w:tcPr>
            <w:tcW w:w="22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2,382</w:t>
            </w:r>
          </w:p>
        </w:tc>
        <w:tc>
          <w:tcPr>
            <w:tcW w:w="22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2,508</w:t>
            </w:r>
          </w:p>
        </w:tc>
        <w:tc>
          <w:tcPr>
            <w:tcW w:w="22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76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260"/>
              <w:spacing w:after="0"/>
              <w:rPr>
                <w:sz w:val="20"/>
                <w:szCs w:val="20"/>
                <w:color w:val="auto"/>
              </w:rPr>
            </w:pPr>
            <w:r>
              <w:rPr>
                <w:rFonts w:ascii="Arial" w:cs="Arial" w:eastAsia="Arial" w:hAnsi="Arial"/>
                <w:sz w:val="16"/>
                <w:szCs w:val="16"/>
                <w:color w:val="auto"/>
              </w:rPr>
              <w:t>Time charter</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10,162</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93%</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12,630</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93%</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30,008</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92%</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35,220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Bareboat charter</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332</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w:t>
            </w:r>
          </w:p>
        </w:tc>
        <w:tc>
          <w:tcPr>
            <w:tcW w:w="3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998</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w:t>
            </w:r>
          </w:p>
        </w:tc>
        <w:tc>
          <w:tcPr>
            <w:tcW w:w="32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760" w:type="dxa"/>
            <w:vAlign w:val="bottom"/>
          </w:tcPr>
          <w:p>
            <w:pPr>
              <w:ind w:left="260"/>
              <w:spacing w:after="0"/>
              <w:rPr>
                <w:sz w:val="20"/>
                <w:szCs w:val="20"/>
                <w:color w:val="auto"/>
              </w:rPr>
            </w:pPr>
            <w:r>
              <w:rPr>
                <w:rFonts w:ascii="Arial" w:cs="Arial" w:eastAsia="Arial" w:hAnsi="Arial"/>
                <w:sz w:val="16"/>
                <w:szCs w:val="16"/>
                <w:color w:val="auto"/>
              </w:rPr>
              <w:t>Other marine services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419</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1,010</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1,700</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37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10,913</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w:t>
            </w: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13,640</w:t>
            </w:r>
          </w:p>
        </w:tc>
        <w:tc>
          <w:tcPr>
            <w:tcW w:w="220" w:type="dxa"/>
            <w:vAlign w:val="bottom"/>
            <w:shd w:val="clear" w:color="auto" w:fill="CFF0FC"/>
          </w:tcPr>
          <w:p>
            <w:pPr>
              <w:spacing w:after="0"/>
              <w:rPr>
                <w:sz w:val="18"/>
                <w:szCs w:val="18"/>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32,706</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37,443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w w:val="97"/>
              </w:rPr>
              <w:t>100%</w:t>
            </w:r>
          </w:p>
        </w:tc>
        <w:tc>
          <w:tcPr>
            <w:tcW w:w="0" w:type="dxa"/>
            <w:vAlign w:val="bottom"/>
          </w:tcPr>
          <w:p>
            <w:pPr>
              <w:spacing w:after="0"/>
              <w:rPr>
                <w:sz w:val="1"/>
                <w:szCs w:val="1"/>
                <w:color w:val="auto"/>
              </w:rPr>
            </w:pPr>
          </w:p>
        </w:tc>
      </w:tr>
      <w:tr>
        <w:trPr>
          <w:trHeight w:val="207"/>
        </w:trPr>
        <w:tc>
          <w:tcPr>
            <w:tcW w:w="3760" w:type="dxa"/>
            <w:vAlign w:val="bottom"/>
          </w:tcPr>
          <w:p>
            <w:pPr>
              <w:spacing w:after="0"/>
              <w:rPr>
                <w:sz w:val="20"/>
                <w:szCs w:val="20"/>
                <w:color w:val="auto"/>
              </w:rPr>
            </w:pPr>
            <w:r>
              <w:rPr>
                <w:rFonts w:ascii="Arial" w:cs="Arial" w:eastAsia="Arial" w:hAnsi="Arial"/>
                <w:sz w:val="16"/>
                <w:szCs w:val="16"/>
                <w:color w:val="auto"/>
              </w:rPr>
              <w:t>Direct operating expenses:</w:t>
            </w: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Personnel</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2,831</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26%</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3,627</w:t>
            </w:r>
          </w:p>
        </w:tc>
        <w:tc>
          <w:tcPr>
            <w:tcW w:w="220" w:type="dxa"/>
            <w:vAlign w:val="bottom"/>
            <w:shd w:val="clear" w:color="auto" w:fill="CFF0FC"/>
          </w:tcPr>
          <w:p>
            <w:pPr>
              <w:spacing w:after="0"/>
              <w:rPr>
                <w:sz w:val="19"/>
                <w:szCs w:val="19"/>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27%</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10,132</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31%</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10,067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3"/>
        </w:trPr>
        <w:tc>
          <w:tcPr>
            <w:tcW w:w="3760" w:type="dxa"/>
            <w:vAlign w:val="bottom"/>
          </w:tcPr>
          <w:p>
            <w:pPr>
              <w:ind w:left="260"/>
              <w:spacing w:after="0"/>
              <w:rPr>
                <w:sz w:val="20"/>
                <w:szCs w:val="20"/>
                <w:color w:val="auto"/>
              </w:rPr>
            </w:pPr>
            <w:r>
              <w:rPr>
                <w:rFonts w:ascii="Arial" w:cs="Arial" w:eastAsia="Arial" w:hAnsi="Arial"/>
                <w:sz w:val="16"/>
                <w:szCs w:val="16"/>
                <w:color w:val="auto"/>
              </w:rPr>
              <w:t>Repairs and maintenance</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1,489</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14%</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2,120</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5,685</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17%</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4,781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Drydocking</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220" w:type="dxa"/>
            <w:vAlign w:val="bottom"/>
            <w:shd w:val="clear" w:color="auto" w:fill="CFF0FC"/>
          </w:tcPr>
          <w:p>
            <w:pPr>
              <w:spacing w:after="0"/>
              <w:rPr>
                <w:sz w:val="19"/>
                <w:szCs w:val="19"/>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3760" w:type="dxa"/>
            <w:vAlign w:val="bottom"/>
          </w:tcPr>
          <w:p>
            <w:pPr>
              <w:ind w:left="260"/>
              <w:spacing w:after="0"/>
              <w:rPr>
                <w:sz w:val="20"/>
                <w:szCs w:val="20"/>
                <w:color w:val="auto"/>
              </w:rPr>
            </w:pPr>
            <w:r>
              <w:rPr>
                <w:rFonts w:ascii="Arial" w:cs="Arial" w:eastAsia="Arial" w:hAnsi="Arial"/>
                <w:sz w:val="16"/>
                <w:szCs w:val="16"/>
                <w:color w:val="auto"/>
              </w:rPr>
              <w:t>Insurance and loss reserves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347</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697</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943</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Fuel, lubes and supplies</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563</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1,017</w:t>
            </w:r>
          </w:p>
        </w:tc>
        <w:tc>
          <w:tcPr>
            <w:tcW w:w="220" w:type="dxa"/>
            <w:vAlign w:val="bottom"/>
            <w:shd w:val="clear" w:color="auto" w:fill="CFF0FC"/>
          </w:tcPr>
          <w:p>
            <w:pPr>
              <w:spacing w:after="0"/>
              <w:rPr>
                <w:sz w:val="19"/>
                <w:szCs w:val="19"/>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1,895</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3760" w:type="dxa"/>
            <w:vAlign w:val="bottom"/>
          </w:tcPr>
          <w:p>
            <w:pPr>
              <w:ind w:left="26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393</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823</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1,781</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37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5,624</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52%</w:t>
            </w: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8,323</w:t>
            </w:r>
          </w:p>
        </w:tc>
        <w:tc>
          <w:tcPr>
            <w:tcW w:w="220" w:type="dxa"/>
            <w:vAlign w:val="bottom"/>
            <w:shd w:val="clear" w:color="auto" w:fill="CFF0FC"/>
          </w:tcPr>
          <w:p>
            <w:pPr>
              <w:spacing w:after="0"/>
              <w:rPr>
                <w:sz w:val="18"/>
                <w:szCs w:val="18"/>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61%</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20,437</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62%</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22,115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6"/>
                <w:szCs w:val="16"/>
                <w:color w:val="auto"/>
              </w:rPr>
              <w:t>Direct Vessel Profit</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60" w:type="dxa"/>
            <w:vAlign w:val="bottom"/>
            <w:vMerge w:val="continue"/>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5,289</w:t>
            </w:r>
          </w:p>
        </w:tc>
        <w:tc>
          <w:tcPr>
            <w:tcW w:w="2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48%</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5,317</w:t>
            </w:r>
          </w:p>
        </w:tc>
        <w:tc>
          <w:tcPr>
            <w:tcW w:w="22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39%</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12,269</w:t>
            </w:r>
          </w:p>
        </w:tc>
        <w:tc>
          <w:tcPr>
            <w:tcW w:w="2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38%</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15,328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18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i w:val="1"/>
          <w:iCs w:val="1"/>
          <w:color w:val="auto"/>
        </w:rPr>
        <w:t xml:space="preserve">Operating Revenues. </w:t>
      </w:r>
      <w:r>
        <w:rPr>
          <w:rFonts w:ascii="Arial" w:cs="Arial" w:eastAsia="Arial" w:hAnsi="Arial"/>
          <w:sz w:val="22"/>
          <w:szCs w:val="22"/>
          <w:color w:val="auto"/>
        </w:rPr>
        <w:t>Charter revenues were $2.1 million lower in the Current Year Quarter compared with the Prior Year</w:t>
      </w:r>
      <w:r>
        <w:rPr>
          <w:rFonts w:ascii="Arial" w:cs="Arial" w:eastAsia="Arial" w:hAnsi="Arial"/>
          <w:sz w:val="22"/>
          <w:szCs w:val="22"/>
          <w:i w:val="1"/>
          <w:iCs w:val="1"/>
          <w:color w:val="auto"/>
        </w:rPr>
        <w:t xml:space="preserve"> </w:t>
      </w:r>
      <w:r>
        <w:rPr>
          <w:rFonts w:ascii="Arial" w:cs="Arial" w:eastAsia="Arial" w:hAnsi="Arial"/>
          <w:sz w:val="22"/>
          <w:szCs w:val="22"/>
          <w:color w:val="auto"/>
        </w:rPr>
        <w:t>Quarter. Charter revenues were $2.6 million lower due to the repositioning of vessels between geographic regions and $0.5 million higher for the core fleet as a result of increased day rates and utilization. As of September 30, 2022, the Company had no owned or leased-in vessels cold-stacked in this region.</w:t>
      </w:r>
    </w:p>
    <w:p>
      <w:pPr>
        <w:spacing w:after="0" w:line="14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$2.7 million lower in the Current Year Quarter compared</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Prior Year Quarter primarily due to the repositioning of vessels between geographic regions.</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Year Nine Months compared with Prior Year Nine Months</w:t>
      </w:r>
    </w:p>
    <w:p>
      <w:pPr>
        <w:spacing w:after="0" w:line="18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i w:val="1"/>
          <w:iCs w:val="1"/>
          <w:color w:val="auto"/>
        </w:rPr>
        <w:t xml:space="preserve">Operating Revenues. </w:t>
      </w:r>
      <w:r>
        <w:rPr>
          <w:rFonts w:ascii="Arial" w:cs="Arial" w:eastAsia="Arial" w:hAnsi="Arial"/>
          <w:sz w:val="21"/>
          <w:szCs w:val="21"/>
          <w:color w:val="auto"/>
        </w:rPr>
        <w:t>Charter revenues were $4.2 million lower in the Current Year Nine Months compared with the</w:t>
      </w:r>
      <w:r>
        <w:rPr>
          <w:rFonts w:ascii="Arial" w:cs="Arial" w:eastAsia="Arial" w:hAnsi="Arial"/>
          <w:sz w:val="21"/>
          <w:szCs w:val="21"/>
          <w:i w:val="1"/>
          <w:iCs w:val="1"/>
          <w:color w:val="auto"/>
        </w:rPr>
        <w:t xml:space="preserve"> </w:t>
      </w:r>
      <w:r>
        <w:rPr>
          <w:rFonts w:ascii="Arial" w:cs="Arial" w:eastAsia="Arial" w:hAnsi="Arial"/>
          <w:sz w:val="21"/>
          <w:szCs w:val="21"/>
          <w:color w:val="auto"/>
        </w:rPr>
        <w:t>Prior Year Nine Months. Charter revenues were $6.0 million lower due to the repositioning of vessels between geographic regions and $1.8 million higher for the core fleet as a result of increased day rates and utilization.</w:t>
      </w:r>
    </w:p>
    <w:p>
      <w:pPr>
        <w:spacing w:after="0" w:line="129"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i w:val="1"/>
          <w:iCs w:val="1"/>
          <w:color w:val="auto"/>
        </w:rPr>
        <w:t xml:space="preserve">Direct Operating Expenses. </w:t>
      </w:r>
      <w:r>
        <w:rPr>
          <w:rFonts w:ascii="Arial" w:cs="Arial" w:eastAsia="Arial" w:hAnsi="Arial"/>
          <w:sz w:val="19"/>
          <w:szCs w:val="19"/>
          <w:color w:val="auto"/>
        </w:rPr>
        <w:t>Direct operating expenses were $1.7 million lower in the Current Year Nine Months</w:t>
      </w:r>
      <w:r>
        <w:rPr>
          <w:rFonts w:ascii="Arial" w:cs="Arial" w:eastAsia="Arial" w:hAnsi="Arial"/>
          <w:sz w:val="19"/>
          <w:szCs w:val="19"/>
          <w:i w:val="1"/>
          <w:iCs w:val="1"/>
          <w:color w:val="auto"/>
        </w:rPr>
        <w:t xml:space="preserve"> </w:t>
      </w:r>
      <w:r>
        <w:rPr>
          <w:rFonts w:ascii="Arial" w:cs="Arial" w:eastAsia="Arial" w:hAnsi="Arial"/>
          <w:sz w:val="19"/>
          <w:szCs w:val="19"/>
          <w:color w:val="auto"/>
        </w:rPr>
        <w:t>compared with the Prior Year Nine Months. Direct operating expenses were $4.7 million lower due to the repositioning of vessels between geographic regions and $3.0 million higher for the core fleet primarily due to the timing of certain repair expenditures.</w:t>
      </w:r>
    </w:p>
    <w:p>
      <w:pPr>
        <w:sectPr>
          <w:pgSz w:w="11900" w:h="16838" w:orient="portrait"/>
          <w:cols w:equalWidth="0" w:num="1">
            <w:col w:w="11240"/>
          </w:cols>
          <w:pgMar w:left="320" w:top="294" w:right="3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type w:val="continuous"/>
        </w:sectPr>
      </w:pPr>
    </w:p>
    <w:bookmarkStart w:id="48" w:name="page49"/>
    <w:bookmarkEnd w:id="48"/>
    <w:p>
      <w:pPr>
        <w:ind w:left="760"/>
        <w:spacing w:after="0"/>
        <w:rPr>
          <w:sz w:val="20"/>
          <w:szCs w:val="20"/>
          <w:color w:val="auto"/>
        </w:rPr>
      </w:pPr>
      <w:r>
        <w:rPr>
          <w:rFonts w:ascii="Arial" w:cs="Arial" w:eastAsia="Arial" w:hAnsi="Arial"/>
          <w:sz w:val="22"/>
          <w:szCs w:val="22"/>
          <w:b w:val="1"/>
          <w:bCs w:val="1"/>
          <w:u w:val="single" w:color="auto"/>
          <w:color w:val="auto"/>
        </w:rPr>
        <w:t>Other Operating Expenses</w:t>
      </w:r>
    </w:p>
    <w:p>
      <w:pPr>
        <w:spacing w:after="0" w:line="18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b w:val="1"/>
          <w:bCs w:val="1"/>
          <w:i w:val="1"/>
          <w:iCs w:val="1"/>
          <w:color w:val="auto"/>
        </w:rPr>
        <w:t xml:space="preserve">Lease Expense. </w:t>
      </w:r>
      <w:r>
        <w:rPr>
          <w:rFonts w:ascii="Arial" w:cs="Arial" w:eastAsia="Arial" w:hAnsi="Arial"/>
          <w:sz w:val="22"/>
          <w:szCs w:val="22"/>
          <w:color w:val="auto"/>
        </w:rPr>
        <w:t>Leased-in equipment expense for the Current Year Quarter and Current Year Nine Months was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essentially flat compared with the Prior Year Quarter and Prior Year Nine Months.</w:t>
      </w:r>
    </w:p>
    <w:p>
      <w:pPr>
        <w:spacing w:after="0" w:line="134"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b w:val="1"/>
          <w:bCs w:val="1"/>
          <w:i w:val="1"/>
          <w:iCs w:val="1"/>
          <w:color w:val="auto"/>
        </w:rPr>
        <w:t xml:space="preserve">Administrative and general. </w:t>
      </w:r>
      <w:r>
        <w:rPr>
          <w:rFonts w:ascii="Arial" w:cs="Arial" w:eastAsia="Arial" w:hAnsi="Arial"/>
          <w:sz w:val="19"/>
          <w:szCs w:val="19"/>
          <w:color w:val="auto"/>
        </w:rPr>
        <w:t>Administrative and general expenses for the Current Year Quarter and Current Year Nine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Months were $0.8 million higher and $3.2 million higher compared to the Prior Year Quarter and Prior Year Nine Months, respectively, due to increases in salaries and benefits expenses in the Current Year Quarter and Current Year Nine Months.</w:t>
      </w:r>
    </w:p>
    <w:p>
      <w:pPr>
        <w:spacing w:after="0" w:line="93" w:lineRule="exact"/>
        <w:rPr>
          <w:sz w:val="20"/>
          <w:szCs w:val="20"/>
          <w:color w:val="auto"/>
        </w:rPr>
      </w:pPr>
    </w:p>
    <w:p>
      <w:pPr>
        <w:jc w:val="both"/>
        <w:ind w:firstLine="749"/>
        <w:spacing w:after="0"/>
        <w:rPr>
          <w:sz w:val="20"/>
          <w:szCs w:val="20"/>
          <w:color w:val="auto"/>
        </w:rPr>
      </w:pPr>
      <w:r>
        <w:rPr>
          <w:rFonts w:ascii="Arial" w:cs="Arial" w:eastAsia="Arial" w:hAnsi="Arial"/>
          <w:sz w:val="22"/>
          <w:szCs w:val="22"/>
          <w:b w:val="1"/>
          <w:bCs w:val="1"/>
          <w:i w:val="1"/>
          <w:iCs w:val="1"/>
          <w:color w:val="auto"/>
        </w:rPr>
        <w:t xml:space="preserve">Depreciation and amortization. </w:t>
      </w:r>
      <w:r>
        <w:rPr>
          <w:rFonts w:ascii="Arial" w:cs="Arial" w:eastAsia="Arial" w:hAnsi="Arial"/>
          <w:sz w:val="22"/>
          <w:szCs w:val="22"/>
          <w:color w:val="auto"/>
        </w:rPr>
        <w:t>Depreciation and amortization expense for the Current Year Quarter and Current Year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Nine Months were $0.6 million lower and $0.9 million lower compared to the Prior Year Quarter and Prior Year Nine Months, respectively, primarily due to net fleet changes.</w:t>
      </w:r>
    </w:p>
    <w:p>
      <w:pPr>
        <w:spacing w:after="0" w:line="18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b w:val="1"/>
          <w:bCs w:val="1"/>
          <w:i w:val="1"/>
          <w:iCs w:val="1"/>
          <w:color w:val="auto"/>
        </w:rPr>
        <w:t xml:space="preserve">Gains (Losses) on Asset Dispositions and Impairments, Net. </w:t>
      </w:r>
      <w:r>
        <w:rPr>
          <w:rFonts w:ascii="Arial" w:cs="Arial" w:eastAsia="Arial" w:hAnsi="Arial"/>
          <w:sz w:val="21"/>
          <w:szCs w:val="21"/>
          <w:color w:val="auto"/>
        </w:rPr>
        <w:t>During the Current Year Quarter, the Company sold one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AHTS in exchange for the remaining equity interests in SEACOR Marlin LLC and recorded a gain on the sale of MexMar, OVH and other assets of $0.8 million (see “Note 3. Equipment Acquisitions and Dispositions” and “Note 4. Investments, at Equity and Advances to 50% or Less Owned Companies”). In addition, the Company recorded impairment charges of $1.2 million for one leased-in AHTS as it is not expected to return to active service during its remaining lease term. Additionally, the Company recorded impairment charges of $1.3 million for other equipment and classified such equipment as assets held for sale as of September 30, 2022 as the Company expects to sell the equipment within one year. During the Prior Year Quarter there were no vessel sales or impairment charges.</w:t>
      </w:r>
    </w:p>
    <w:p>
      <w:pPr>
        <w:spacing w:after="0" w:line="180"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During the Current Year Nine Months, the Company sold one FSV, one liftboat, which was previously removed from service, office space and other equipment for net cash proceeds of $6.7 million, after transaction costs, and a gain of $2.2 million, which included impairment charges of $0.9 million for the FSV classified as held for sale during the first quarter of 2022 and sold during the second quarter of 2022. Also, the Company sold one AHTS in exchange for the remaining equity interests in SEACOR Marlin LLC and recorded a gain on the sale of MexMar, OVH and other assets of $0.8 million (see “Note 3. Equipment Acquisitions and Dispositions” and “Note 4. Investments, at Equity and Advances to 50% or Less Owned Companies”).</w:t>
      </w:r>
    </w:p>
    <w:p>
      <w:pPr>
        <w:spacing w:after="0" w:line="164"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In addition, the Company recorded impairment charges of $1.2 million for one leased-in AHTS as it is not expected to return to active service during its remaining lease term. Additionally, the Company recorded impairment charges of $1.3 million for other equipment and classified such equipment as assets held for sale as of September 30, 2022 as the Company expects to sell the equipment within one year. During the Prior Year Nine Months, the Company sold one PSV, three FSVs and reduced debt payments with hull and machinery insurance proceeds for the liftboat SEACOR Power of $25.0 million, for a total of $30.1 million in cash, resulting in gains of $20.9 million.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49" w:name="page50"/>
    <w:bookmarkEnd w:id="49"/>
    <w:p>
      <w:pPr>
        <w:spacing w:after="0"/>
        <w:rPr>
          <w:sz w:val="20"/>
          <w:szCs w:val="20"/>
          <w:color w:val="auto"/>
        </w:rPr>
      </w:pPr>
      <w:r>
        <w:rPr>
          <w:rFonts w:ascii="Arial" w:cs="Arial" w:eastAsia="Arial" w:hAnsi="Arial"/>
          <w:sz w:val="22"/>
          <w:szCs w:val="22"/>
          <w:b w:val="1"/>
          <w:bCs w:val="1"/>
          <w:color w:val="auto"/>
        </w:rPr>
        <w:t>Other Income (Expense), Net</w:t>
      </w:r>
    </w:p>
    <w:p>
      <w:pPr>
        <w:spacing w:after="0" w:line="17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For the three and nine months ended September 30, 2022 and 2021, the Company’s other income (expense) was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gridSpan w:val="5"/>
          </w:tcPr>
          <w:p>
            <w:pPr>
              <w:jc w:val="right"/>
              <w:ind w:right="78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gridSpan w:val="7"/>
          </w:tcPr>
          <w:p>
            <w:pPr>
              <w:jc w:val="right"/>
              <w:ind w:right="180"/>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210"/>
        </w:trPr>
        <w:tc>
          <w:tcPr>
            <w:tcW w:w="584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top w:val="single" w:sz="8" w:color="auto"/>
              <w:bottom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2021</w:t>
            </w:r>
          </w:p>
        </w:tc>
        <w:tc>
          <w:tcPr>
            <w:tcW w:w="24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top w:val="single" w:sz="8" w:color="auto"/>
              <w:bottom w:val="single" w:sz="8" w:color="CFF0FC"/>
            </w:tcBorders>
          </w:tcPr>
          <w:p>
            <w:pPr>
              <w:spacing w:after="0"/>
              <w:rPr>
                <w:sz w:val="18"/>
                <w:szCs w:val="18"/>
                <w:color w:val="auto"/>
              </w:rPr>
            </w:pPr>
          </w:p>
        </w:tc>
        <w:tc>
          <w:tcPr>
            <w:tcW w:w="10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0FC"/>
            </w:tcBorders>
          </w:tcPr>
          <w:p>
            <w:pPr>
              <w:spacing w:after="0"/>
              <w:rPr>
                <w:sz w:val="18"/>
                <w:szCs w:val="18"/>
                <w:color w:val="auto"/>
              </w:rPr>
            </w:pPr>
          </w:p>
        </w:tc>
      </w:tr>
      <w:tr>
        <w:trPr>
          <w:trHeight w:val="212"/>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Interest income</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(123)</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124</w:t>
            </w:r>
          </w:p>
        </w:tc>
        <w:tc>
          <w:tcPr>
            <w:tcW w:w="240" w:type="dxa"/>
            <w:vAlign w:val="bottom"/>
          </w:tcPr>
          <w:p>
            <w:pPr>
              <w:spacing w:after="0"/>
              <w:rPr>
                <w:sz w:val="18"/>
                <w:szCs w:val="18"/>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96</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1,245</w:t>
            </w:r>
          </w:p>
        </w:tc>
        <w:tc>
          <w:tcPr>
            <w:tcW w:w="100" w:type="dxa"/>
            <w:vAlign w:val="bottom"/>
          </w:tcPr>
          <w:p>
            <w:pPr>
              <w:spacing w:after="0"/>
              <w:rPr>
                <w:sz w:val="18"/>
                <w:szCs w:val="18"/>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(7,634)</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(6,403)</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(21,250)</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(21,731)</w:t>
            </w: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SEACOR Holdings guarantee fees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(7)</w:t>
            </w: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Gain on debt extinguishment</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61,994</w:t>
            </w:r>
          </w:p>
        </w:tc>
        <w:tc>
          <w:tcPr>
            <w:tcW w:w="100" w:type="dxa"/>
            <w:vAlign w:val="bottom"/>
            <w:shd w:val="clear" w:color="auto" w:fill="CFF0FC"/>
          </w:tcPr>
          <w:p>
            <w:pPr>
              <w:spacing w:after="0"/>
              <w:rPr>
                <w:sz w:val="19"/>
                <w:szCs w:val="19"/>
                <w:color w:val="auto"/>
              </w:rPr>
            </w:pP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Derivative gains,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18"/>
                <w:szCs w:val="18"/>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currency gains (losses), net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4,305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(878)</w:t>
            </w:r>
          </w:p>
        </w:tc>
      </w:tr>
      <w:tr>
        <w:trPr>
          <w:trHeight w:val="213"/>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w w:val="98"/>
              </w:rPr>
              <w:t>Gain from return of investments in 50% or less owned companies and other, net</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w:t>
            </w:r>
          </w:p>
        </w:tc>
        <w:tc>
          <w:tcPr>
            <w:tcW w:w="2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9,442</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9,441</w:t>
            </w:r>
          </w:p>
        </w:tc>
        <w:tc>
          <w:tcPr>
            <w:tcW w:w="100" w:type="dxa"/>
            <w:vAlign w:val="bottom"/>
            <w:tcBorders>
              <w:bottom w:val="single" w:sz="8" w:color="CFF0FC"/>
            </w:tcBorders>
          </w:tcPr>
          <w:p>
            <w:pPr>
              <w:spacing w:after="0"/>
              <w:rPr>
                <w:sz w:val="18"/>
                <w:szCs w:val="18"/>
                <w:color w:val="auto"/>
              </w:rPr>
            </w:pPr>
          </w:p>
        </w:tc>
      </w:tr>
      <w:tr>
        <w:trPr>
          <w:trHeight w:val="209"/>
        </w:trPr>
        <w:tc>
          <w:tcPr>
            <w:tcW w:w="58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(4,783)</w:t>
            </w:r>
          </w:p>
        </w:tc>
        <w:tc>
          <w:tcPr>
            <w:tcW w:w="380" w:type="dxa"/>
            <w:vAlign w:val="bottom"/>
            <w:shd w:val="clear" w:color="auto" w:fill="CFF0FC"/>
          </w:tcPr>
          <w:p>
            <w:pPr>
              <w:jc w:val="right"/>
              <w:ind w:right="22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2"/>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(16,231)</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50,451</w:t>
            </w:r>
          </w:p>
        </w:tc>
        <w:tc>
          <w:tcPr>
            <w:tcW w:w="100" w:type="dxa"/>
            <w:vAlign w:val="bottom"/>
            <w:shd w:val="clear" w:color="auto" w:fill="CFF0FC"/>
          </w:tcPr>
          <w:p>
            <w:pPr>
              <w:spacing w:after="0"/>
              <w:rPr>
                <w:sz w:val="18"/>
                <w:szCs w:val="18"/>
                <w:color w:val="auto"/>
              </w:rPr>
            </w:pP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b w:val="1"/>
          <w:bCs w:val="1"/>
          <w:i w:val="1"/>
          <w:iCs w:val="1"/>
          <w:color w:val="auto"/>
        </w:rPr>
        <w:t xml:space="preserve">Interest income. </w:t>
      </w:r>
      <w:r>
        <w:rPr>
          <w:rFonts w:ascii="Arial" w:cs="Arial" w:eastAsia="Arial" w:hAnsi="Arial"/>
          <w:sz w:val="19"/>
          <w:szCs w:val="19"/>
          <w:color w:val="auto"/>
        </w:rPr>
        <w:t>Interest income for the Current Year Quarter compared with the Prior Year Quarter was essentially flat.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Interest income for the Current Year Nine Months compared with the Prior Year Nine Months decreased primarily due to interest received from the IRS due to delays in the payment of the CARES Act tax refunds in the Prior Year Nine Months.</w:t>
      </w:r>
    </w:p>
    <w:p>
      <w:pPr>
        <w:spacing w:after="0" w:line="134"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b w:val="1"/>
          <w:bCs w:val="1"/>
          <w:i w:val="1"/>
          <w:iCs w:val="1"/>
          <w:color w:val="auto"/>
        </w:rPr>
        <w:t xml:space="preserve">Interest expense. </w:t>
      </w:r>
      <w:r>
        <w:rPr>
          <w:rFonts w:ascii="Arial" w:cs="Arial" w:eastAsia="Arial" w:hAnsi="Arial"/>
          <w:sz w:val="22"/>
          <w:szCs w:val="22"/>
          <w:color w:val="auto"/>
        </w:rPr>
        <w:t>Interest expense was higher in the Current Year Quarter compared with the Prior Year Quarter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primarily due to a higher interest rate on the SMFH Credit Facility, the debt assumed as a result of the OSV Partners Merger in the fourth quarter of 2021 and higher interest rates on variable rate debt. Interest expense was lower in the Current Year Nine Months compared with the Prior Year Nine Months primarily due to the extinguishment of $117.3 million of principal outstanding under the FGUSA Credit Facility. This decrease was substantially offset by increases in interest associated with the Tarahumara Shipyard Financing following delivery of one PSV in 2021, the debt assumed as a result of the OSV Partners Merger, a higher interest rate on the SMFH Credit Facility as a result of the entry into Amendment No. 4 and higher interest rates on variable rate debt.</w:t>
      </w:r>
    </w:p>
    <w:p>
      <w:pPr>
        <w:spacing w:after="0" w:line="160"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b w:val="1"/>
          <w:bCs w:val="1"/>
          <w:i w:val="1"/>
          <w:iCs w:val="1"/>
          <w:color w:val="auto"/>
        </w:rPr>
        <w:t xml:space="preserve">Derivative gains, net. </w:t>
      </w:r>
      <w:r>
        <w:rPr>
          <w:rFonts w:ascii="Arial" w:cs="Arial" w:eastAsia="Arial" w:hAnsi="Arial"/>
          <w:sz w:val="21"/>
          <w:szCs w:val="21"/>
          <w:color w:val="auto"/>
        </w:rPr>
        <w:t>Net derivative gains for the Current Year Quarter compared with the Prior Year Quarter were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essentially flat. Net derivative gains for the Current Year Nine Months compared to the Prior Year Nine Months decreased due to the Company not having any open forward currency exchange contracts since March 31, 2021.</w:t>
      </w:r>
    </w:p>
    <w:p>
      <w:pPr>
        <w:spacing w:after="0" w:line="129" w:lineRule="exact"/>
        <w:rPr>
          <w:sz w:val="20"/>
          <w:szCs w:val="20"/>
          <w:color w:val="auto"/>
        </w:rPr>
      </w:pPr>
    </w:p>
    <w:p>
      <w:pPr>
        <w:jc w:val="both"/>
        <w:ind w:firstLine="749"/>
        <w:spacing w:after="0"/>
        <w:rPr>
          <w:sz w:val="20"/>
          <w:szCs w:val="20"/>
          <w:color w:val="auto"/>
        </w:rPr>
      </w:pPr>
      <w:r>
        <w:rPr>
          <w:rFonts w:ascii="Arial" w:cs="Arial" w:eastAsia="Arial" w:hAnsi="Arial"/>
          <w:sz w:val="22"/>
          <w:szCs w:val="22"/>
          <w:b w:val="1"/>
          <w:bCs w:val="1"/>
          <w:i w:val="1"/>
          <w:iCs w:val="1"/>
          <w:color w:val="auto"/>
        </w:rPr>
        <w:t xml:space="preserve">Foreign currency gains (losses), net. </w:t>
      </w:r>
      <w:r>
        <w:rPr>
          <w:rFonts w:ascii="Arial" w:cs="Arial" w:eastAsia="Arial" w:hAnsi="Arial"/>
          <w:sz w:val="22"/>
          <w:szCs w:val="22"/>
          <w:color w:val="auto"/>
        </w:rPr>
        <w:t>Foreign currency gains for the Current Year Quarter and Current Year Nine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Months compared to foreign currency losses for the Prior Year Quarter and Prior Year Nine Months was primarily due to various changes in foreign currencies.</w:t>
      </w:r>
    </w:p>
    <w:p>
      <w:pPr>
        <w:spacing w:after="0" w:line="14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b w:val="1"/>
          <w:bCs w:val="1"/>
          <w:i w:val="1"/>
          <w:iCs w:val="1"/>
          <w:color w:val="auto"/>
        </w:rPr>
        <w:t xml:space="preserve">Gain from return of investments in 50% or less owned companies and other, net. </w:t>
      </w:r>
      <w:r>
        <w:rPr>
          <w:rFonts w:ascii="Arial" w:cs="Arial" w:eastAsia="Arial" w:hAnsi="Arial"/>
          <w:sz w:val="22"/>
          <w:szCs w:val="22"/>
          <w:color w:val="auto"/>
        </w:rPr>
        <w:t>Other gains were lower for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Current Year Quarter and Current Year Nine Months compared with the Prior Year Quarter and Prior Year Nine Months due to a distribution of $12.0 million from the Company’s MEXMAR Offshore joint venture of which $9.4 million was in excess of the Company’s investment in the joint venture in 2021.</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 Expense</w:t>
      </w:r>
    </w:p>
    <w:p>
      <w:pPr>
        <w:spacing w:after="0" w:line="172" w:lineRule="exact"/>
        <w:rPr>
          <w:sz w:val="20"/>
          <w:szCs w:val="20"/>
          <w:color w:val="auto"/>
        </w:rPr>
      </w:pPr>
    </w:p>
    <w:p>
      <w:pPr>
        <w:jc w:val="both"/>
        <w:ind w:right="20" w:firstLine="749"/>
        <w:spacing w:after="0"/>
        <w:rPr>
          <w:sz w:val="20"/>
          <w:szCs w:val="20"/>
          <w:color w:val="auto"/>
        </w:rPr>
      </w:pPr>
      <w:r>
        <w:rPr>
          <w:rFonts w:ascii="Arial" w:cs="Arial" w:eastAsia="Arial" w:hAnsi="Arial"/>
          <w:sz w:val="22"/>
          <w:szCs w:val="22"/>
          <w:color w:val="auto"/>
        </w:rPr>
        <w:t>During the nine months ended September 30, 2022, the Company’s effective income tax rate of (7.30)% was primarily due to foreign taxes not creditable against U.S. income taxes, foreign losses for which there is no benefit in the U.S., and the sale of investments in 50% or less owned companies.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50" w:name="page51"/>
    <w:bookmarkEnd w:id="50"/>
    <w:p>
      <w:pPr>
        <w:spacing w:after="0"/>
        <w:rPr>
          <w:sz w:val="20"/>
          <w:szCs w:val="20"/>
          <w:color w:val="auto"/>
        </w:rPr>
      </w:pPr>
      <w:r>
        <w:rPr>
          <w:rFonts w:ascii="Arial" w:cs="Arial" w:eastAsia="Arial" w:hAnsi="Arial"/>
          <w:sz w:val="22"/>
          <w:szCs w:val="22"/>
          <w:b w:val="1"/>
          <w:bCs w:val="1"/>
          <w:color w:val="auto"/>
        </w:rPr>
        <w:t>Equity in Earnings of 50% or Less Owned Companies</w:t>
      </w:r>
    </w:p>
    <w:p>
      <w:pPr>
        <w:spacing w:after="0" w:line="18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Equity in earnings of 50% or less owned companies for the Current Year Quarter compared with the Prior Year Quarter were $4.6 million lower and earnings for the Current Year Nine Months compared with the Prior Year Nine Months were $4.7 million lower due to the following changes in equity earnings gains (losses)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gridSpan w:val="3"/>
          </w:tcPr>
          <w:p>
            <w:pPr>
              <w:jc w:val="right"/>
              <w:ind w:right="62"/>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3"/>
          </w:tcPr>
          <w:p>
            <w:pPr>
              <w:jc w:val="right"/>
              <w:ind w:right="302"/>
              <w:spacing w:after="0"/>
              <w:rPr>
                <w:sz w:val="20"/>
                <w:szCs w:val="20"/>
                <w:color w:val="auto"/>
              </w:rPr>
            </w:pPr>
            <w:r>
              <w:rPr>
                <w:rFonts w:ascii="Arial" w:cs="Arial" w:eastAsia="Arial" w:hAnsi="Arial"/>
                <w:sz w:val="16"/>
                <w:szCs w:val="16"/>
                <w:b w:val="1"/>
                <w:bCs w:val="1"/>
                <w:color w:val="auto"/>
              </w:rPr>
              <w:t>September 30,</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gridSpan w:val="6"/>
          </w:tcPr>
          <w:p>
            <w:pPr>
              <w:jc w:val="right"/>
              <w:ind w:right="180"/>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210"/>
        </w:trPr>
        <w:tc>
          <w:tcPr>
            <w:tcW w:w="584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top w:val="single" w:sz="8" w:color="auto"/>
              <w:bottom w:val="single" w:sz="8" w:color="CFF0FC"/>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0FC"/>
            </w:tcBorders>
          </w:tcPr>
          <w:p>
            <w:pPr>
              <w:spacing w:after="0"/>
              <w:rPr>
                <w:sz w:val="18"/>
                <w:szCs w:val="18"/>
                <w:color w:val="auto"/>
              </w:rPr>
            </w:pPr>
          </w:p>
        </w:tc>
      </w:tr>
      <w:tr>
        <w:trPr>
          <w:trHeight w:val="212"/>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MexMar</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(1,689)</w:t>
            </w:r>
          </w:p>
        </w:tc>
        <w:tc>
          <w:tcPr>
            <w:tcW w:w="740" w:type="dxa"/>
            <w:vAlign w:val="bottom"/>
            <w:shd w:val="clear" w:color="auto" w:fill="CFF0FC"/>
          </w:tcPr>
          <w:p>
            <w:pPr>
              <w:jc w:val="right"/>
              <w:ind w:right="582"/>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3,634</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82"/>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2,133</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8,256</w:t>
            </w:r>
          </w:p>
        </w:tc>
        <w:tc>
          <w:tcPr>
            <w:tcW w:w="100" w:type="dxa"/>
            <w:vAlign w:val="bottom"/>
            <w:shd w:val="clear" w:color="auto" w:fill="CFF0FC"/>
          </w:tcPr>
          <w:p>
            <w:pPr>
              <w:spacing w:after="0"/>
              <w:rPr>
                <w:sz w:val="18"/>
                <w:szCs w:val="18"/>
                <w:color w:val="auto"/>
              </w:rPr>
            </w:pP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MEXMAR Offshore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2,562</w:t>
            </w:r>
          </w:p>
        </w:tc>
        <w:tc>
          <w:tcPr>
            <w:tcW w:w="100" w:type="dxa"/>
            <w:vAlign w:val="bottom"/>
          </w:tcPr>
          <w:p>
            <w:pPr>
              <w:spacing w:after="0"/>
              <w:rPr>
                <w:sz w:val="18"/>
                <w:szCs w:val="18"/>
                <w:color w:val="auto"/>
              </w:rPr>
            </w:pP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SEACOR Arabia</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1,250</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w:t>
            </w:r>
          </w:p>
        </w:tc>
        <w:tc>
          <w:tcPr>
            <w:tcW w:w="100" w:type="dxa"/>
            <w:vAlign w:val="bottom"/>
            <w:shd w:val="clear" w:color="auto" w:fill="CFF0FC"/>
          </w:tcPr>
          <w:p>
            <w:pPr>
              <w:spacing w:after="0"/>
              <w:rPr>
                <w:sz w:val="19"/>
                <w:szCs w:val="19"/>
                <w:color w:val="auto"/>
              </w:rPr>
            </w:pP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OSV Partners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(473)</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(1,502)</w:t>
            </w: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Offshore Vessel Holdings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929</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2,571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1,011</w:t>
            </w:r>
          </w:p>
        </w:tc>
        <w:tc>
          <w:tcPr>
            <w:tcW w:w="100" w:type="dxa"/>
            <w:vAlign w:val="bottom"/>
            <w:shd w:val="clear" w:color="auto" w:fill="CFF0FC"/>
          </w:tcPr>
          <w:p>
            <w:pPr>
              <w:spacing w:after="0"/>
              <w:rPr>
                <w:sz w:val="19"/>
                <w:szCs w:val="19"/>
                <w:color w:val="auto"/>
              </w:rPr>
            </w:pP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364</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(340)</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638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(170)</w:t>
            </w:r>
          </w:p>
        </w:tc>
      </w:tr>
      <w:tr>
        <w:trPr>
          <w:trHeight w:val="20"/>
        </w:trPr>
        <w:tc>
          <w:tcPr>
            <w:tcW w:w="58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8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(254)</w:t>
            </w:r>
          </w:p>
        </w:tc>
        <w:tc>
          <w:tcPr>
            <w:tcW w:w="740" w:type="dxa"/>
            <w:vAlign w:val="bottom"/>
            <w:shd w:val="clear" w:color="auto" w:fill="CFF0FC"/>
          </w:tcPr>
          <w:p>
            <w:pPr>
              <w:jc w:val="right"/>
              <w:ind w:right="582"/>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4,314</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82"/>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5,835</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10,584</w:t>
            </w:r>
          </w:p>
        </w:tc>
        <w:tc>
          <w:tcPr>
            <w:tcW w:w="100" w:type="dxa"/>
            <w:vAlign w:val="bottom"/>
            <w:shd w:val="clear" w:color="auto" w:fill="CFF0FC"/>
          </w:tcPr>
          <w:p>
            <w:pPr>
              <w:spacing w:after="0"/>
              <w:rPr>
                <w:sz w:val="18"/>
                <w:szCs w:val="18"/>
                <w:color w:val="auto"/>
              </w:rPr>
            </w:pP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54"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b w:val="1"/>
          <w:bCs w:val="1"/>
          <w:i w:val="1"/>
          <w:iCs w:val="1"/>
          <w:color w:val="222222"/>
        </w:rPr>
        <w:t xml:space="preserve">MexMar, OVH and SEACOR Marlin. </w:t>
      </w:r>
      <w:r>
        <w:rPr>
          <w:rFonts w:ascii="Arial" w:cs="Arial" w:eastAsia="Arial" w:hAnsi="Arial"/>
          <w:sz w:val="19"/>
          <w:szCs w:val="19"/>
          <w:color w:val="000000"/>
        </w:rPr>
        <w:t>On September 29, 2022, each of the Framework Agreement Transactions were</w:t>
      </w:r>
      <w:r>
        <w:rPr>
          <w:rFonts w:ascii="Arial" w:cs="Arial" w:eastAsia="Arial" w:hAnsi="Arial"/>
          <w:sz w:val="19"/>
          <w:szCs w:val="19"/>
          <w:b w:val="1"/>
          <w:bCs w:val="1"/>
          <w:i w:val="1"/>
          <w:iCs w:val="1"/>
          <w:color w:val="222222"/>
        </w:rPr>
        <w:t xml:space="preserve"> </w:t>
      </w:r>
      <w:r>
        <w:rPr>
          <w:rFonts w:ascii="Arial" w:cs="Arial" w:eastAsia="Arial" w:hAnsi="Arial"/>
          <w:sz w:val="19"/>
          <w:szCs w:val="19"/>
          <w:color w:val="000000"/>
        </w:rPr>
        <w:t>consummated. As a result of the consummation of each of the Framework Agreement Transactions, the Company no longer owns any equity interest in either MexMar or in OVH, and the Company owns all of the equity interests in SEACOR Marlin LLC. As a result, the Company expects its Equity in earnings of 50% or less owned companies not to be significant in future periods. For additional information See “—Recent Developments—Framework Agreement Transactions”.</w:t>
      </w:r>
    </w:p>
    <w:p>
      <w:pPr>
        <w:spacing w:after="0" w:line="147"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b w:val="1"/>
          <w:bCs w:val="1"/>
          <w:i w:val="1"/>
          <w:iCs w:val="1"/>
          <w:color w:val="222222"/>
        </w:rPr>
        <w:t xml:space="preserve">OSV Partners. </w:t>
      </w:r>
      <w:r>
        <w:rPr>
          <w:rFonts w:ascii="Arial" w:cs="Arial" w:eastAsia="Arial" w:hAnsi="Arial"/>
          <w:sz w:val="19"/>
          <w:szCs w:val="19"/>
          <w:color w:val="222222"/>
        </w:rPr>
        <w:t>On December 31, 2021, SEACOR Marine, SEACOR Offshore OSV and OSV Partners I entered into the</w:t>
      </w:r>
      <w:r>
        <w:rPr>
          <w:rFonts w:ascii="Arial" w:cs="Arial" w:eastAsia="Arial" w:hAnsi="Arial"/>
          <w:sz w:val="19"/>
          <w:szCs w:val="19"/>
          <w:b w:val="1"/>
          <w:bCs w:val="1"/>
          <w:i w:val="1"/>
          <w:iCs w:val="1"/>
          <w:color w:val="222222"/>
        </w:rPr>
        <w:t xml:space="preserve"> </w:t>
      </w:r>
      <w:r>
        <w:rPr>
          <w:rFonts w:ascii="Arial" w:cs="Arial" w:eastAsia="Arial" w:hAnsi="Arial"/>
          <w:sz w:val="19"/>
          <w:szCs w:val="19"/>
          <w:color w:val="222222"/>
        </w:rPr>
        <w:t>Merger Agreement pursuant to which OSV Partners I merged with and into SEACOR Offshore OSV, with SEACOR Offshore OSV surviving the merger. As a result of the OSV Partners Merger, the five 201’, 1,900 tons deadweight capacity, PSVs owned by OSV Partners I are now 100% owned by the Company and no longer included as equity in earnings.</w:t>
      </w:r>
    </w:p>
    <w:p>
      <w:pPr>
        <w:spacing w:after="0" w:line="10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b w:val="1"/>
          <w:bCs w:val="1"/>
          <w:i w:val="1"/>
          <w:iCs w:val="1"/>
          <w:color w:val="222222"/>
        </w:rPr>
        <w:t xml:space="preserve">MEXMAR Offshore. </w:t>
      </w:r>
      <w:r>
        <w:rPr>
          <w:rFonts w:ascii="Arial" w:cs="Arial" w:eastAsia="Arial" w:hAnsi="Arial"/>
          <w:sz w:val="21"/>
          <w:szCs w:val="21"/>
          <w:color w:val="222222"/>
        </w:rPr>
        <w:t>On December 9, 2021, the Company transferred its 49% interest in MEXMAR Offshore</w:t>
      </w:r>
      <w:r>
        <w:rPr>
          <w:rFonts w:ascii="Arial" w:cs="Arial" w:eastAsia="Arial" w:hAnsi="Arial"/>
          <w:sz w:val="21"/>
          <w:szCs w:val="21"/>
          <w:b w:val="1"/>
          <w:bCs w:val="1"/>
          <w:i w:val="1"/>
          <w:iCs w:val="1"/>
          <w:color w:val="222222"/>
        </w:rPr>
        <w:t xml:space="preserve"> </w:t>
      </w:r>
      <w:r>
        <w:rPr>
          <w:rFonts w:ascii="Arial" w:cs="Arial" w:eastAsia="Arial" w:hAnsi="Arial"/>
          <w:sz w:val="21"/>
          <w:szCs w:val="21"/>
          <w:color w:val="222222"/>
        </w:rPr>
        <w:t>International LLC (“MEXMAR Offshore”) to a subsidiary of CME for nominal consideration and a transaction fee of $0.2 million. As of December 31, 2021, the Company does not have any ownership interest in MEXMAR Offshore.</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General</w:t>
      </w:r>
    </w:p>
    <w:p>
      <w:pPr>
        <w:spacing w:after="0" w:line="18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The Company’s ongoing liquidity requirements arise primarily from working capital needs, capital commitments and its obligations to service outstanding debt and comply with covenants under its debt facilities. The Company may use its liquidity to fund capital expenditures, make acquisitions or to make other investments. Sources of liquidity are cash balances, construction reserve funds, cash flows from operations and collections of our short-term note receivable. From time to time, the Company may secure additional liquidity through asset sales or the issuance of debt, shares of Common Stock or common stock of its subsidiaries, preferred stock or a combination thereof.</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51" w:name="page52"/>
    <w:bookmarkEnd w:id="51"/>
    <w:p>
      <w:pPr>
        <w:jc w:val="both"/>
        <w:ind w:firstLine="749"/>
        <w:spacing w:after="0" w:line="235" w:lineRule="auto"/>
        <w:rPr>
          <w:sz w:val="20"/>
          <w:szCs w:val="20"/>
          <w:color w:val="auto"/>
        </w:rPr>
      </w:pPr>
      <w:r>
        <w:rPr>
          <w:rFonts w:ascii="Arial" w:cs="Arial" w:eastAsia="Arial" w:hAnsi="Arial"/>
          <w:sz w:val="22"/>
          <w:szCs w:val="22"/>
          <w:color w:val="auto"/>
        </w:rPr>
        <w:t>As of September 30, 2022, the Company held balances of cash, cash equivalents and restricted cash totaling $50.8 million. As of September 30, 2021, the Company held balances of cash, cash equivalents and restricted cash totaling $46.4 million. Additionally, the Company had $1.1 million available borrowing capacity under subsidiary credit facilities as of September 30, 2022, compared to $1.4 million as of September 30, 2021. The Company also expects that it will receive $5.0 million for each of the next four quarters as MexMar pays off the remaining $20.0 million under its loan which is held entirely by the Company.</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9"/>
          <w:szCs w:val="19"/>
          <w:color w:val="auto"/>
        </w:rPr>
        <w:t>As of September 30, 2022, the Company had outstanding debt of $340.1 million, net of debt discount and issue costs.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 Company’s contractual long-term debt maturities as of September 30, 2022, are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60" w:type="dxa"/>
            <w:vAlign w:val="bottom"/>
            <w:tcBorders>
              <w:bottom w:val="single" w:sz="8" w:color="CFF0FC"/>
            </w:tcBorders>
          </w:tcPr>
          <w:p>
            <w:pPr>
              <w:spacing w:after="0"/>
              <w:rPr>
                <w:sz w:val="18"/>
                <w:szCs w:val="18"/>
                <w:color w:val="auto"/>
              </w:rPr>
            </w:pPr>
          </w:p>
        </w:tc>
        <w:tc>
          <w:tcPr>
            <w:tcW w:w="38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Actual</w:t>
            </w:r>
          </w:p>
        </w:tc>
        <w:tc>
          <w:tcPr>
            <w:tcW w:w="100" w:type="dxa"/>
            <w:vAlign w:val="bottom"/>
            <w:tcBorders>
              <w:bottom w:val="single" w:sz="8" w:color="CFF0FC"/>
            </w:tcBorders>
          </w:tcPr>
          <w:p>
            <w:pPr>
              <w:spacing w:after="0"/>
              <w:rPr>
                <w:sz w:val="18"/>
                <w:szCs w:val="18"/>
                <w:color w:val="auto"/>
              </w:rPr>
            </w:pPr>
          </w:p>
        </w:tc>
      </w:tr>
      <w:tr>
        <w:trPr>
          <w:trHeight w:val="213"/>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Remainder 2022</w:t>
            </w:r>
          </w:p>
        </w:tc>
        <w:tc>
          <w:tcPr>
            <w:tcW w:w="41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7,361</w:t>
            </w:r>
          </w:p>
        </w:tc>
        <w:tc>
          <w:tcPr>
            <w:tcW w:w="100" w:type="dxa"/>
            <w:vAlign w:val="bottom"/>
            <w:shd w:val="clear" w:color="auto" w:fill="CFF0FC"/>
          </w:tcPr>
          <w:p>
            <w:pPr>
              <w:spacing w:after="0"/>
              <w:rPr>
                <w:sz w:val="18"/>
                <w:szCs w:val="18"/>
                <w:color w:val="auto"/>
              </w:rPr>
            </w:pPr>
          </w:p>
        </w:tc>
      </w:tr>
      <w:tr>
        <w:trPr>
          <w:trHeight w:val="213"/>
        </w:trPr>
        <w:tc>
          <w:tcPr>
            <w:tcW w:w="5460" w:type="dxa"/>
            <w:vAlign w:val="bottom"/>
          </w:tcPr>
          <w:p>
            <w:pPr>
              <w:spacing w:after="0"/>
              <w:rPr>
                <w:sz w:val="20"/>
                <w:szCs w:val="20"/>
                <w:color w:val="auto"/>
              </w:rPr>
            </w:pPr>
            <w:r>
              <w:rPr>
                <w:rFonts w:ascii="Arial" w:cs="Arial" w:eastAsia="Arial" w:hAnsi="Arial"/>
                <w:sz w:val="16"/>
                <w:szCs w:val="16"/>
                <w:color w:val="auto"/>
              </w:rPr>
              <w:t>2023</w:t>
            </w:r>
          </w:p>
        </w:tc>
        <w:tc>
          <w:tcPr>
            <w:tcW w:w="3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196,070</w:t>
            </w:r>
          </w:p>
        </w:tc>
        <w:tc>
          <w:tcPr>
            <w:tcW w:w="100" w:type="dxa"/>
            <w:vAlign w:val="bottom"/>
          </w:tcPr>
          <w:p>
            <w:pPr>
              <w:spacing w:after="0"/>
              <w:rPr>
                <w:sz w:val="18"/>
                <w:szCs w:val="18"/>
                <w:color w:val="auto"/>
              </w:rPr>
            </w:pPr>
          </w:p>
        </w:tc>
      </w:tr>
      <w:tr>
        <w:trPr>
          <w:trHeight w:val="219"/>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2024</w:t>
            </w:r>
          </w:p>
        </w:tc>
        <w:tc>
          <w:tcPr>
            <w:tcW w:w="3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65,334</w:t>
            </w:r>
          </w:p>
        </w:tc>
        <w:tc>
          <w:tcPr>
            <w:tcW w:w="100" w:type="dxa"/>
            <w:vAlign w:val="bottom"/>
            <w:shd w:val="clear" w:color="auto" w:fill="CFF0FC"/>
          </w:tcPr>
          <w:p>
            <w:pPr>
              <w:spacing w:after="0"/>
              <w:rPr>
                <w:sz w:val="19"/>
                <w:szCs w:val="19"/>
                <w:color w:val="auto"/>
              </w:rPr>
            </w:pPr>
          </w:p>
        </w:tc>
      </w:tr>
      <w:tr>
        <w:trPr>
          <w:trHeight w:val="213"/>
        </w:trPr>
        <w:tc>
          <w:tcPr>
            <w:tcW w:w="5460" w:type="dxa"/>
            <w:vAlign w:val="bottom"/>
          </w:tcPr>
          <w:p>
            <w:pPr>
              <w:spacing w:after="0"/>
              <w:rPr>
                <w:sz w:val="20"/>
                <w:szCs w:val="20"/>
                <w:color w:val="auto"/>
              </w:rPr>
            </w:pPr>
            <w:r>
              <w:rPr>
                <w:rFonts w:ascii="Arial" w:cs="Arial" w:eastAsia="Arial" w:hAnsi="Arial"/>
                <w:sz w:val="16"/>
                <w:szCs w:val="16"/>
                <w:color w:val="auto"/>
              </w:rPr>
              <w:t>2025</w:t>
            </w:r>
          </w:p>
        </w:tc>
        <w:tc>
          <w:tcPr>
            <w:tcW w:w="3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22,629</w:t>
            </w:r>
          </w:p>
        </w:tc>
        <w:tc>
          <w:tcPr>
            <w:tcW w:w="100" w:type="dxa"/>
            <w:vAlign w:val="bottom"/>
          </w:tcPr>
          <w:p>
            <w:pPr>
              <w:spacing w:after="0"/>
              <w:rPr>
                <w:sz w:val="18"/>
                <w:szCs w:val="18"/>
                <w:color w:val="auto"/>
              </w:rPr>
            </w:pPr>
          </w:p>
        </w:tc>
      </w:tr>
      <w:tr>
        <w:trPr>
          <w:trHeight w:val="219"/>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2026</w:t>
            </w:r>
          </w:p>
        </w:tc>
        <w:tc>
          <w:tcPr>
            <w:tcW w:w="3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31,253</w:t>
            </w:r>
          </w:p>
        </w:tc>
        <w:tc>
          <w:tcPr>
            <w:tcW w:w="100" w:type="dxa"/>
            <w:vAlign w:val="bottom"/>
            <w:shd w:val="clear" w:color="auto" w:fill="CFF0FC"/>
          </w:tcPr>
          <w:p>
            <w:pPr>
              <w:spacing w:after="0"/>
              <w:rPr>
                <w:sz w:val="19"/>
                <w:szCs w:val="19"/>
                <w:color w:val="auto"/>
              </w:rPr>
            </w:pPr>
          </w:p>
        </w:tc>
      </w:tr>
      <w:tr>
        <w:trPr>
          <w:trHeight w:val="213"/>
        </w:trPr>
        <w:tc>
          <w:tcPr>
            <w:tcW w:w="5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Years subsequent to 2026</w:t>
            </w:r>
          </w:p>
        </w:tc>
        <w:tc>
          <w:tcPr>
            <w:tcW w:w="38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48,779</w:t>
            </w:r>
          </w:p>
        </w:tc>
        <w:tc>
          <w:tcPr>
            <w:tcW w:w="100" w:type="dxa"/>
            <w:vAlign w:val="bottom"/>
            <w:tcBorders>
              <w:bottom w:val="single" w:sz="8" w:color="CFF0FC"/>
            </w:tcBorders>
          </w:tcPr>
          <w:p>
            <w:pPr>
              <w:spacing w:after="0"/>
              <w:rPr>
                <w:sz w:val="18"/>
                <w:szCs w:val="18"/>
                <w:color w:val="auto"/>
              </w:rPr>
            </w:pPr>
          </w:p>
        </w:tc>
      </w:tr>
      <w:tr>
        <w:trPr>
          <w:trHeight w:val="209"/>
        </w:trPr>
        <w:tc>
          <w:tcPr>
            <w:tcW w:w="5460" w:type="dxa"/>
            <w:vAlign w:val="bottom"/>
            <w:shd w:val="clear" w:color="auto" w:fill="CFF0FC"/>
          </w:tcPr>
          <w:p>
            <w:pPr>
              <w:spacing w:after="0"/>
              <w:rPr>
                <w:sz w:val="18"/>
                <w:szCs w:val="18"/>
                <w:color w:val="auto"/>
              </w:rPr>
            </w:pPr>
          </w:p>
        </w:tc>
        <w:tc>
          <w:tcPr>
            <w:tcW w:w="41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371,426</w:t>
            </w:r>
          </w:p>
        </w:tc>
        <w:tc>
          <w:tcPr>
            <w:tcW w:w="100" w:type="dxa"/>
            <w:vAlign w:val="bottom"/>
            <w:shd w:val="clear" w:color="auto" w:fill="CFF0FC"/>
          </w:tcPr>
          <w:p>
            <w:pPr>
              <w:spacing w:after="0"/>
              <w:rPr>
                <w:sz w:val="18"/>
                <w:szCs w:val="18"/>
                <w:color w:val="auto"/>
              </w:rPr>
            </w:pPr>
          </w:p>
        </w:tc>
      </w:tr>
      <w:tr>
        <w:trPr>
          <w:trHeight w:val="20"/>
        </w:trPr>
        <w:tc>
          <w:tcPr>
            <w:tcW w:w="5460" w:type="dxa"/>
            <w:vAlign w:val="bottom"/>
            <w:tcBorders>
              <w:top w:val="single" w:sz="8" w:color="CFF0FC"/>
            </w:tcBorders>
          </w:tcPr>
          <w:p>
            <w:pPr>
              <w:spacing w:after="0" w:line="20" w:lineRule="exact"/>
              <w:rPr>
                <w:sz w:val="1"/>
                <w:szCs w:val="1"/>
                <w:color w:val="auto"/>
              </w:rPr>
            </w:pPr>
          </w:p>
        </w:tc>
        <w:tc>
          <w:tcPr>
            <w:tcW w:w="38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68"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As a result of the consummation of the Exchange Transactions, the subsequent event that occurred on October 5, 2022 (see “Note 5. Long-Term Debt”), the Company’s pro forma contractual long-term debt maturities as of October 5, 2022, are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60" w:type="dxa"/>
            <w:vAlign w:val="bottom"/>
            <w:tcBorders>
              <w:bottom w:val="single" w:sz="8" w:color="CFF0FC"/>
            </w:tcBorders>
          </w:tcPr>
          <w:p>
            <w:pPr>
              <w:spacing w:after="0"/>
              <w:rPr>
                <w:sz w:val="18"/>
                <w:szCs w:val="18"/>
                <w:color w:val="auto"/>
              </w:rPr>
            </w:pPr>
          </w:p>
        </w:tc>
        <w:tc>
          <w:tcPr>
            <w:tcW w:w="38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Pro Forma</w:t>
            </w:r>
          </w:p>
        </w:tc>
        <w:tc>
          <w:tcPr>
            <w:tcW w:w="100" w:type="dxa"/>
            <w:vAlign w:val="bottom"/>
            <w:tcBorders>
              <w:bottom w:val="single" w:sz="8" w:color="CFF0FC"/>
            </w:tcBorders>
          </w:tcPr>
          <w:p>
            <w:pPr>
              <w:spacing w:after="0"/>
              <w:rPr>
                <w:sz w:val="18"/>
                <w:szCs w:val="18"/>
                <w:color w:val="auto"/>
              </w:rPr>
            </w:pPr>
          </w:p>
        </w:tc>
      </w:tr>
      <w:tr>
        <w:trPr>
          <w:trHeight w:val="212"/>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Remainder 2022</w:t>
            </w:r>
          </w:p>
        </w:tc>
        <w:tc>
          <w:tcPr>
            <w:tcW w:w="4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7,361</w:t>
            </w:r>
          </w:p>
        </w:tc>
        <w:tc>
          <w:tcPr>
            <w:tcW w:w="100" w:type="dxa"/>
            <w:vAlign w:val="bottom"/>
            <w:shd w:val="clear" w:color="auto" w:fill="CFF0FC"/>
          </w:tcPr>
          <w:p>
            <w:pPr>
              <w:spacing w:after="0"/>
              <w:rPr>
                <w:sz w:val="18"/>
                <w:szCs w:val="18"/>
                <w:color w:val="auto"/>
              </w:rPr>
            </w:pPr>
          </w:p>
        </w:tc>
      </w:tr>
      <w:tr>
        <w:trPr>
          <w:trHeight w:val="213"/>
        </w:trPr>
        <w:tc>
          <w:tcPr>
            <w:tcW w:w="5460" w:type="dxa"/>
            <w:vAlign w:val="bottom"/>
          </w:tcPr>
          <w:p>
            <w:pPr>
              <w:spacing w:after="0"/>
              <w:rPr>
                <w:sz w:val="20"/>
                <w:szCs w:val="20"/>
                <w:color w:val="auto"/>
              </w:rPr>
            </w:pPr>
            <w:r>
              <w:rPr>
                <w:rFonts w:ascii="Arial" w:cs="Arial" w:eastAsia="Arial" w:hAnsi="Arial"/>
                <w:sz w:val="16"/>
                <w:szCs w:val="16"/>
                <w:color w:val="auto"/>
              </w:rPr>
              <w:t>2023</w:t>
            </w:r>
          </w:p>
        </w:tc>
        <w:tc>
          <w:tcPr>
            <w:tcW w:w="3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71,070</w:t>
            </w:r>
          </w:p>
        </w:tc>
        <w:tc>
          <w:tcPr>
            <w:tcW w:w="100" w:type="dxa"/>
            <w:vAlign w:val="bottom"/>
          </w:tcPr>
          <w:p>
            <w:pPr>
              <w:spacing w:after="0"/>
              <w:rPr>
                <w:sz w:val="18"/>
                <w:szCs w:val="18"/>
                <w:color w:val="auto"/>
              </w:rPr>
            </w:pPr>
          </w:p>
        </w:tc>
      </w:tr>
      <w:tr>
        <w:trPr>
          <w:trHeight w:val="219"/>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2024</w:t>
            </w:r>
          </w:p>
        </w:tc>
        <w:tc>
          <w:tcPr>
            <w:tcW w:w="3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65,334</w:t>
            </w:r>
          </w:p>
        </w:tc>
        <w:tc>
          <w:tcPr>
            <w:tcW w:w="100" w:type="dxa"/>
            <w:vAlign w:val="bottom"/>
            <w:shd w:val="clear" w:color="auto" w:fill="CFF0FC"/>
          </w:tcPr>
          <w:p>
            <w:pPr>
              <w:spacing w:after="0"/>
              <w:rPr>
                <w:sz w:val="19"/>
                <w:szCs w:val="19"/>
                <w:color w:val="auto"/>
              </w:rPr>
            </w:pPr>
          </w:p>
        </w:tc>
      </w:tr>
      <w:tr>
        <w:trPr>
          <w:trHeight w:val="213"/>
        </w:trPr>
        <w:tc>
          <w:tcPr>
            <w:tcW w:w="5460" w:type="dxa"/>
            <w:vAlign w:val="bottom"/>
          </w:tcPr>
          <w:p>
            <w:pPr>
              <w:spacing w:after="0"/>
              <w:rPr>
                <w:sz w:val="20"/>
                <w:szCs w:val="20"/>
                <w:color w:val="auto"/>
              </w:rPr>
            </w:pPr>
            <w:r>
              <w:rPr>
                <w:rFonts w:ascii="Arial" w:cs="Arial" w:eastAsia="Arial" w:hAnsi="Arial"/>
                <w:sz w:val="16"/>
                <w:szCs w:val="16"/>
                <w:color w:val="auto"/>
              </w:rPr>
              <w:t>2025</w:t>
            </w:r>
          </w:p>
        </w:tc>
        <w:tc>
          <w:tcPr>
            <w:tcW w:w="3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22,629</w:t>
            </w:r>
          </w:p>
        </w:tc>
        <w:tc>
          <w:tcPr>
            <w:tcW w:w="100" w:type="dxa"/>
            <w:vAlign w:val="bottom"/>
          </w:tcPr>
          <w:p>
            <w:pPr>
              <w:spacing w:after="0"/>
              <w:rPr>
                <w:sz w:val="18"/>
                <w:szCs w:val="18"/>
                <w:color w:val="auto"/>
              </w:rPr>
            </w:pPr>
          </w:p>
        </w:tc>
      </w:tr>
      <w:tr>
        <w:trPr>
          <w:trHeight w:val="219"/>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2026</w:t>
            </w:r>
          </w:p>
        </w:tc>
        <w:tc>
          <w:tcPr>
            <w:tcW w:w="3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156,253</w:t>
            </w:r>
          </w:p>
        </w:tc>
        <w:tc>
          <w:tcPr>
            <w:tcW w:w="100" w:type="dxa"/>
            <w:vAlign w:val="bottom"/>
            <w:shd w:val="clear" w:color="auto" w:fill="CFF0FC"/>
          </w:tcPr>
          <w:p>
            <w:pPr>
              <w:spacing w:after="0"/>
              <w:rPr>
                <w:sz w:val="19"/>
                <w:szCs w:val="19"/>
                <w:color w:val="auto"/>
              </w:rPr>
            </w:pPr>
          </w:p>
        </w:tc>
      </w:tr>
      <w:tr>
        <w:trPr>
          <w:trHeight w:val="213"/>
        </w:trPr>
        <w:tc>
          <w:tcPr>
            <w:tcW w:w="5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Years subsequent to 2026</w:t>
            </w:r>
          </w:p>
        </w:tc>
        <w:tc>
          <w:tcPr>
            <w:tcW w:w="38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48,779</w:t>
            </w:r>
          </w:p>
        </w:tc>
        <w:tc>
          <w:tcPr>
            <w:tcW w:w="100" w:type="dxa"/>
            <w:vAlign w:val="bottom"/>
            <w:tcBorders>
              <w:bottom w:val="single" w:sz="8" w:color="CFF0FC"/>
            </w:tcBorders>
          </w:tcPr>
          <w:p>
            <w:pPr>
              <w:spacing w:after="0"/>
              <w:rPr>
                <w:sz w:val="18"/>
                <w:szCs w:val="18"/>
                <w:color w:val="auto"/>
              </w:rPr>
            </w:pPr>
          </w:p>
        </w:tc>
      </w:tr>
      <w:tr>
        <w:trPr>
          <w:trHeight w:val="210"/>
        </w:trPr>
        <w:tc>
          <w:tcPr>
            <w:tcW w:w="5460" w:type="dxa"/>
            <w:vAlign w:val="bottom"/>
            <w:shd w:val="clear" w:color="auto" w:fill="CFF0FC"/>
          </w:tcPr>
          <w:p>
            <w:pPr>
              <w:spacing w:after="0"/>
              <w:rPr>
                <w:sz w:val="18"/>
                <w:szCs w:val="18"/>
                <w:color w:val="auto"/>
              </w:rPr>
            </w:pPr>
          </w:p>
        </w:tc>
        <w:tc>
          <w:tcPr>
            <w:tcW w:w="4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371,426</w:t>
            </w:r>
          </w:p>
        </w:tc>
        <w:tc>
          <w:tcPr>
            <w:tcW w:w="100" w:type="dxa"/>
            <w:vAlign w:val="bottom"/>
            <w:shd w:val="clear" w:color="auto" w:fill="CFF0FC"/>
          </w:tcPr>
          <w:p>
            <w:pPr>
              <w:spacing w:after="0"/>
              <w:rPr>
                <w:sz w:val="18"/>
                <w:szCs w:val="18"/>
                <w:color w:val="auto"/>
              </w:rPr>
            </w:pPr>
          </w:p>
        </w:tc>
      </w:tr>
      <w:tr>
        <w:trPr>
          <w:trHeight w:val="20"/>
        </w:trPr>
        <w:tc>
          <w:tcPr>
            <w:tcW w:w="5460" w:type="dxa"/>
            <w:vAlign w:val="bottom"/>
            <w:tcBorders>
              <w:top w:val="single" w:sz="8" w:color="CFF0FC"/>
            </w:tcBorders>
          </w:tcPr>
          <w:p>
            <w:pPr>
              <w:spacing w:after="0" w:line="20" w:lineRule="exact"/>
              <w:rPr>
                <w:sz w:val="1"/>
                <w:szCs w:val="1"/>
                <w:color w:val="auto"/>
              </w:rPr>
            </w:pPr>
          </w:p>
        </w:tc>
        <w:tc>
          <w:tcPr>
            <w:tcW w:w="38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54"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As of September 30, 2022, the Company had unfunded capital commitments of $1.1 million for miscellaneous vessel equipment, $0.3 million of which is payable during the remainder of 2022 and $0.8 million of which is payable during 2023. The Company has indefinitely deferred an additional $9.4 million of orders with respect to one FSV that the Company had previously reported as unfunded capital commitments.</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Summary of Cash Flows</w:t>
      </w:r>
    </w:p>
    <w:p>
      <w:pPr>
        <w:spacing w:after="0" w:line="172"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The following is a summary of the Company’s cash flows for the nine months ended September 30, 2022 and 2021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tcPr>
          <w:p>
            <w:pPr>
              <w:spacing w:after="0"/>
              <w:rPr>
                <w:sz w:val="18"/>
                <w:szCs w:val="18"/>
                <w:color w:val="auto"/>
              </w:rPr>
            </w:pPr>
          </w:p>
        </w:tc>
        <w:tc>
          <w:tcPr>
            <w:tcW w:w="3520" w:type="dxa"/>
            <w:vAlign w:val="bottom"/>
            <w:gridSpan w:val="6"/>
          </w:tcPr>
          <w:p>
            <w:pPr>
              <w:jc w:val="right"/>
              <w:ind w:right="620"/>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7720" w:type="dxa"/>
            <w:vAlign w:val="bottom"/>
            <w:tcBorders>
              <w:bottom w:val="single" w:sz="8" w:color="CFF0FC"/>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FF0FC"/>
            </w:tcBorders>
          </w:tcPr>
          <w:p>
            <w:pPr>
              <w:spacing w:after="0"/>
              <w:rPr>
                <w:sz w:val="18"/>
                <w:szCs w:val="18"/>
                <w:color w:val="auto"/>
              </w:rPr>
            </w:pPr>
          </w:p>
        </w:tc>
      </w:tr>
      <w:tr>
        <w:trPr>
          <w:trHeight w:val="212"/>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Cash flows provided by or (used in):</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Operating Activities</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(12,582)</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4,944</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Investing Activities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52,932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74,973</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Financing Activities</w:t>
            </w:r>
          </w:p>
        </w:tc>
        <w:tc>
          <w:tcPr>
            <w:tcW w:w="10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(30,758)</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(72,909)</w:t>
            </w: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Effects of Exchange Rate Changes on Cash, Restricted Cash and Cash Equivalents</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w:t>
            </w: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Net Change in Cash, Restricted Cash and Cash Equivalents from Discontinued Operations</w:t>
            </w:r>
          </w:p>
        </w:tc>
        <w:tc>
          <w:tcPr>
            <w:tcW w:w="10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(171)</w:t>
            </w:r>
          </w:p>
        </w:tc>
      </w:tr>
      <w:tr>
        <w:trPr>
          <w:trHeight w:val="210"/>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Change in Cash, Restricted Cash and Cash Equivalents</w:t>
            </w:r>
          </w:p>
        </w:tc>
        <w:tc>
          <w:tcPr>
            <w:tcW w:w="1000" w:type="dxa"/>
            <w:vAlign w:val="bottom"/>
            <w:tcBorders>
              <w:top w:val="single" w:sz="8" w:color="auto"/>
              <w:bottom w:val="single" w:sz="8" w:color="auto"/>
            </w:tcBorders>
            <w:shd w:val="clear" w:color="auto" w:fill="CFF0FC"/>
          </w:tcPr>
          <w:p>
            <w:pPr>
              <w:jc w:val="right"/>
              <w:ind w:right="81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9,590</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6,816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Operating Activities</w:t>
      </w:r>
    </w:p>
    <w:p>
      <w:pPr>
        <w:spacing w:after="0" w:line="18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Cash flows provided by continuing operating activities decreased by $17.5 million in the Current Year Nine Months compared with the Prior Year Nine Months primarily due to income tax refunds received in 2021 partially offset by working capital timing. The components of cash flows provided by and/or used in continuing</w:t>
      </w:r>
    </w:p>
    <w:p>
      <w:pPr>
        <w:sectPr>
          <w:pgSz w:w="11900" w:h="16838" w:orient="portrait"/>
          <w:cols w:equalWidth="0" w:num="1">
            <w:col w:w="11240"/>
          </w:cols>
          <w:pgMar w:left="320" w:top="213"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3"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21"/>
          <w:szCs w:val="21"/>
          <w:color w:val="auto"/>
        </w:rPr>
        <w:t>operating activities during the Current Year Nine Months and Prior Year Nine Months were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20" w:type="dxa"/>
            <w:vAlign w:val="bottom"/>
            <w:gridSpan w:val="5"/>
          </w:tcPr>
          <w:p>
            <w:pPr>
              <w:jc w:val="right"/>
              <w:ind w:right="620"/>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10"/>
        </w:trPr>
        <w:tc>
          <w:tcPr>
            <w:tcW w:w="772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top w:val="single" w:sz="8" w:color="auto"/>
              <w:bottom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FF0FC"/>
            </w:tcBorders>
          </w:tcPr>
          <w:p>
            <w:pPr>
              <w:spacing w:after="0"/>
              <w:rPr>
                <w:sz w:val="18"/>
                <w:szCs w:val="18"/>
                <w:color w:val="auto"/>
              </w:rPr>
            </w:pPr>
          </w:p>
        </w:tc>
      </w:tr>
      <w:tr>
        <w:trPr>
          <w:trHeight w:val="212"/>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DVP:</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United States, primarily Gulf of Mexico</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4,255</w:t>
            </w:r>
          </w:p>
        </w:tc>
        <w:tc>
          <w:tcPr>
            <w:tcW w:w="28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885</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Africa and Europe, Continuing Operations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14,195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6,629</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Middle East and Asia</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1,033</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7,762</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Latin America</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12,269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15,328</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Operating, leased-in equipment</w:t>
            </w:r>
          </w:p>
        </w:tc>
        <w:tc>
          <w:tcPr>
            <w:tcW w:w="30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(1,656)</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(6,365)</w:t>
            </w: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Administrative and general (excluding provisions for bad debts and amortization of share awards)</w:t>
            </w: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(26,268)</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(22,860)</w:t>
            </w: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SEACOR Holdings management and guarantee fees</w:t>
            </w:r>
          </w:p>
        </w:tc>
        <w:tc>
          <w:tcPr>
            <w:tcW w:w="30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(7)</w:t>
            </w: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Other, net (excluding non-cash losses)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Dividends received from 50% or less owned companies</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2,983</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4,515</w:t>
            </w:r>
          </w:p>
        </w:tc>
        <w:tc>
          <w:tcPr>
            <w:tcW w:w="120" w:type="dxa"/>
            <w:vAlign w:val="bottom"/>
            <w:tcBorders>
              <w:bottom w:val="single" w:sz="8" w:color="CFF0FC"/>
            </w:tcBorders>
          </w:tcPr>
          <w:p>
            <w:pPr>
              <w:spacing w:after="0"/>
              <w:rPr>
                <w:sz w:val="18"/>
                <w:szCs w:val="18"/>
                <w:color w:val="auto"/>
              </w:rPr>
            </w:pPr>
          </w:p>
        </w:tc>
      </w:tr>
      <w:tr>
        <w:trPr>
          <w:trHeight w:val="213"/>
        </w:trPr>
        <w:tc>
          <w:tcPr>
            <w:tcW w:w="7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7,429</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6,055</w:t>
            </w:r>
          </w:p>
        </w:tc>
        <w:tc>
          <w:tcPr>
            <w:tcW w:w="120" w:type="dxa"/>
            <w:vAlign w:val="bottom"/>
            <w:shd w:val="clear" w:color="auto" w:fill="CFF0FC"/>
          </w:tcPr>
          <w:p>
            <w:pPr>
              <w:spacing w:after="0"/>
              <w:rPr>
                <w:sz w:val="18"/>
                <w:szCs w:val="18"/>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Changes in operating assets and liabilities before interest and income taxes</w:t>
            </w:r>
          </w:p>
        </w:tc>
        <w:tc>
          <w:tcPr>
            <w:tcW w:w="30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(5,193)</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(18,636)</w:t>
            </w: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Restricted stock vested</w:t>
            </w: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(732)</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(272)</w:t>
            </w: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Director share awards</w:t>
            </w:r>
          </w:p>
        </w:tc>
        <w:tc>
          <w:tcPr>
            <w:tcW w:w="30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435</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Cash settlements on derivative transactions, net</w:t>
            </w: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(782)</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(1,747)</w:t>
            </w:r>
          </w:p>
        </w:tc>
      </w:tr>
      <w:tr>
        <w:trPr>
          <w:trHeight w:val="216"/>
        </w:trPr>
        <w:tc>
          <w:tcPr>
            <w:tcW w:w="7720" w:type="dxa"/>
            <w:vAlign w:val="bottom"/>
          </w:tcPr>
          <w:p>
            <w:pPr>
              <w:spacing w:after="0" w:line="216" w:lineRule="exact"/>
              <w:rPr>
                <w:sz w:val="20"/>
                <w:szCs w:val="20"/>
                <w:color w:val="auto"/>
              </w:rPr>
            </w:pPr>
            <w:r>
              <w:rPr>
                <w:rFonts w:ascii="Arial" w:cs="Arial" w:eastAsia="Arial" w:hAnsi="Arial"/>
                <w:sz w:val="15"/>
                <w:szCs w:val="15"/>
                <w:color w:val="auto"/>
              </w:rPr>
              <w:t xml:space="preserve">Interest paid, excluding capitalized interest </w:t>
            </w:r>
            <w:r>
              <w:rPr>
                <w:rFonts w:ascii="Arial" w:cs="Arial" w:eastAsia="Arial" w:hAnsi="Arial"/>
                <w:sz w:val="25"/>
                <w:szCs w:val="25"/>
                <w:color w:val="auto"/>
                <w:vertAlign w:val="superscript"/>
              </w:rPr>
              <w:t>(1)</w:t>
            </w:r>
          </w:p>
        </w:tc>
        <w:tc>
          <w:tcPr>
            <w:tcW w:w="30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(14,286)</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(14,895)</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Interest received</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1,245</w:t>
            </w:r>
          </w:p>
        </w:tc>
        <w:tc>
          <w:tcPr>
            <w:tcW w:w="120" w:type="dxa"/>
            <w:vAlign w:val="bottom"/>
            <w:shd w:val="clear" w:color="auto" w:fill="CFF0FC"/>
          </w:tcPr>
          <w:p>
            <w:pPr>
              <w:spacing w:after="0"/>
              <w:rPr>
                <w:sz w:val="18"/>
                <w:szCs w:val="18"/>
                <w:color w:val="auto"/>
              </w:rPr>
            </w:pPr>
          </w:p>
        </w:tc>
      </w:tr>
      <w:tr>
        <w:trPr>
          <w:trHeight w:val="21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taxes refunded, net</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32,759</w:t>
            </w:r>
          </w:p>
        </w:tc>
        <w:tc>
          <w:tcPr>
            <w:tcW w:w="120" w:type="dxa"/>
            <w:vAlign w:val="bottom"/>
            <w:tcBorders>
              <w:bottom w:val="single" w:sz="8" w:color="CFF0FC"/>
            </w:tcBorders>
          </w:tcPr>
          <w:p>
            <w:pPr>
              <w:spacing w:after="0"/>
              <w:rPr>
                <w:sz w:val="18"/>
                <w:szCs w:val="18"/>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Total cash flows (used in) provided by operating activities</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(12,582)</w:t>
            </w: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4,944</w:t>
            </w:r>
          </w:p>
        </w:tc>
        <w:tc>
          <w:tcPr>
            <w:tcW w:w="120" w:type="dxa"/>
            <w:vAlign w:val="bottom"/>
            <w:shd w:val="clear" w:color="auto" w:fill="CFF0FC"/>
          </w:tcPr>
          <w:p>
            <w:pPr>
              <w:spacing w:after="0"/>
              <w:rPr>
                <w:sz w:val="18"/>
                <w:szCs w:val="18"/>
                <w:color w:val="auto"/>
              </w:rPr>
            </w:pPr>
          </w:p>
        </w:tc>
      </w:tr>
      <w:tr>
        <w:trPr>
          <w:trHeight w:val="20"/>
        </w:trPr>
        <w:tc>
          <w:tcPr>
            <w:tcW w:w="77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9512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ind w:left="760" w:hanging="752"/>
        <w:spacing w:after="0" w:line="253" w:lineRule="auto"/>
        <w:tabs>
          <w:tab w:leader="none" w:pos="7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During the Current Year Nine Months, the Company paid no capitalized interest. During the Prior Year Nine Months, capitalized interest paid and included in purchases of property and equipment for continuing operations was $0.3 million.</w:t>
      </w:r>
    </w:p>
    <w:p>
      <w:pPr>
        <w:spacing w:after="0" w:line="144"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For a detailed discussion of the Company’s financial results for the reported periods, see “Consolidated Results of Operations” included above. Changes in operating assets and liabilities before interest and income taxes are the result of the Company’s working capital requirements.</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Investing Activities</w:t>
      </w:r>
    </w:p>
    <w:p>
      <w:pPr>
        <w:spacing w:after="0" w:line="18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During the Current Year Nine Months, net cash provided by investing activities was $52.9 million, primarily as a result of the following:</w:t>
      </w:r>
    </w:p>
    <w:p>
      <w:pPr>
        <w:spacing w:after="0" w:line="67" w:lineRule="exact"/>
        <w:rPr>
          <w:sz w:val="20"/>
          <w:szCs w:val="20"/>
          <w:color w:val="auto"/>
        </w:rPr>
      </w:pPr>
    </w:p>
    <w:p>
      <w:pPr>
        <w:ind w:left="1260" w:hanging="510"/>
        <w:spacing w:after="0"/>
        <w:tabs>
          <w:tab w:leader="none" w:pos="12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capital expenditures were $0.3 million;</w:t>
      </w:r>
    </w:p>
    <w:p>
      <w:pPr>
        <w:spacing w:after="0" w:line="98" w:lineRule="exact"/>
        <w:rPr>
          <w:rFonts w:ascii="Arial" w:cs="Arial" w:eastAsia="Arial" w:hAnsi="Arial"/>
          <w:sz w:val="22"/>
          <w:szCs w:val="22"/>
          <w:color w:val="auto"/>
        </w:rPr>
      </w:pPr>
    </w:p>
    <w:p>
      <w:pPr>
        <w:ind w:left="1260" w:hanging="510"/>
        <w:spacing w:after="0" w:line="274" w:lineRule="auto"/>
        <w:tabs>
          <w:tab w:leader="none" w:pos="1260"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Company sold one FSV, one liftboat, which was previously removed from service, office space and other equipment for net cash proceeds of $6.7 million, after transaction costs, and a gain of $2.2 million;</w:t>
      </w:r>
    </w:p>
    <w:p>
      <w:pPr>
        <w:spacing w:after="0" w:line="42" w:lineRule="exact"/>
        <w:rPr>
          <w:rFonts w:ascii="Arial" w:cs="Arial" w:eastAsia="Arial" w:hAnsi="Arial"/>
          <w:sz w:val="21"/>
          <w:szCs w:val="21"/>
          <w:color w:val="auto"/>
        </w:rPr>
      </w:pPr>
    </w:p>
    <w:p>
      <w:pPr>
        <w:ind w:left="1260" w:hanging="510"/>
        <w:spacing w:after="0" w:line="250" w:lineRule="auto"/>
        <w:tabs>
          <w:tab w:leader="none" w:pos="12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Company received $0.5 million from investments in, and advances to, its 50% or less owned companies for principal payments on notes;</w:t>
      </w:r>
    </w:p>
    <w:p>
      <w:pPr>
        <w:spacing w:after="0" w:line="66" w:lineRule="exact"/>
        <w:rPr>
          <w:rFonts w:ascii="Arial" w:cs="Arial" w:eastAsia="Arial" w:hAnsi="Arial"/>
          <w:sz w:val="22"/>
          <w:szCs w:val="22"/>
          <w:color w:val="auto"/>
        </w:rPr>
      </w:pPr>
    </w:p>
    <w:p>
      <w:pPr>
        <w:ind w:left="1260" w:hanging="510"/>
        <w:spacing w:after="0" w:line="250" w:lineRule="auto"/>
        <w:tabs>
          <w:tab w:leader="none" w:pos="12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Company received $66.0 million of cash proceeds from the sale of investments in, and advances to, its 50% or less owned companies in the Framework Agreement Transactions; and</w:t>
      </w:r>
    </w:p>
    <w:p>
      <w:pPr>
        <w:spacing w:after="0" w:line="66" w:lineRule="exact"/>
        <w:rPr>
          <w:rFonts w:ascii="Arial" w:cs="Arial" w:eastAsia="Arial" w:hAnsi="Arial"/>
          <w:sz w:val="22"/>
          <w:szCs w:val="22"/>
          <w:color w:val="auto"/>
        </w:rPr>
      </w:pPr>
    </w:p>
    <w:p>
      <w:pPr>
        <w:ind w:left="1260" w:hanging="510"/>
        <w:spacing w:after="0" w:line="250" w:lineRule="auto"/>
        <w:tabs>
          <w:tab w:leader="none" w:pos="12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Company deployed $28.8 million to acquire the loans under the MexMar Original Facility Agreement and received $8.8 million of principal payments under such loan.</w:t>
      </w:r>
    </w:p>
    <w:p>
      <w:pPr>
        <w:spacing w:after="0" w:line="134" w:lineRule="exact"/>
        <w:rPr>
          <w:sz w:val="20"/>
          <w:szCs w:val="20"/>
          <w:color w:val="auto"/>
        </w:rPr>
      </w:pPr>
    </w:p>
    <w:p>
      <w:pPr>
        <w:ind w:right="20" w:firstLine="749"/>
        <w:spacing w:after="0" w:line="250" w:lineRule="auto"/>
        <w:rPr>
          <w:sz w:val="20"/>
          <w:szCs w:val="20"/>
          <w:color w:val="auto"/>
        </w:rPr>
      </w:pPr>
      <w:r>
        <w:rPr>
          <w:rFonts w:ascii="Arial" w:cs="Arial" w:eastAsia="Arial" w:hAnsi="Arial"/>
          <w:sz w:val="22"/>
          <w:szCs w:val="22"/>
          <w:color w:val="auto"/>
        </w:rPr>
        <w:t>During the Prior Year Nine Months, net cash provided by investing activities was $75.0 million, primarily as a result of the following:</w:t>
      </w:r>
    </w:p>
    <w:p>
      <w:pPr>
        <w:spacing w:after="0" w:line="67" w:lineRule="exact"/>
        <w:rPr>
          <w:sz w:val="20"/>
          <w:szCs w:val="20"/>
          <w:color w:val="auto"/>
        </w:rPr>
      </w:pPr>
    </w:p>
    <w:p>
      <w:pPr>
        <w:ind w:left="1260" w:hanging="510"/>
        <w:spacing w:after="0"/>
        <w:tabs>
          <w:tab w:leader="none" w:pos="1260" w:val="left"/>
        </w:tabs>
        <w:numPr>
          <w:ilvl w:val="0"/>
          <w:numId w:val="38"/>
        </w:numPr>
        <w:rPr>
          <w:rFonts w:ascii="Arial" w:cs="Arial" w:eastAsia="Arial" w:hAnsi="Arial"/>
          <w:sz w:val="22"/>
          <w:szCs w:val="22"/>
          <w:color w:val="auto"/>
        </w:rPr>
      </w:pPr>
      <w:r>
        <w:rPr>
          <w:rFonts w:ascii="Arial" w:cs="Arial" w:eastAsia="Arial" w:hAnsi="Arial"/>
          <w:sz w:val="22"/>
          <w:szCs w:val="22"/>
          <w:color w:val="auto"/>
        </w:rPr>
        <w:t>capital expenditures were $6.6 million;</w:t>
      </w:r>
    </w:p>
    <w:p>
      <w:pPr>
        <w:spacing w:after="0" w:line="98" w:lineRule="exact"/>
        <w:rPr>
          <w:rFonts w:ascii="Arial" w:cs="Arial" w:eastAsia="Arial" w:hAnsi="Arial"/>
          <w:sz w:val="22"/>
          <w:szCs w:val="22"/>
          <w:color w:val="auto"/>
        </w:rPr>
      </w:pPr>
    </w:p>
    <w:p>
      <w:pPr>
        <w:ind w:left="1260" w:right="20" w:hanging="510"/>
        <w:spacing w:after="0" w:line="250" w:lineRule="auto"/>
        <w:tabs>
          <w:tab w:leader="none" w:pos="1260"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Company sold three FSVs, one PSV and reduced debt payments with hull and machinery insurance proceeds from the liftboat SEACOR Power of $25.0 million, for a total of $30.1 million;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53" w:name="page54"/>
    <w:bookmarkEnd w:id="53"/>
    <w:p>
      <w:pPr>
        <w:ind w:left="1260" w:right="20" w:hanging="510"/>
        <w:spacing w:after="0" w:line="326" w:lineRule="auto"/>
        <w:tabs>
          <w:tab w:leader="none" w:pos="1260"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Company completed the sale of Windcat Workboats for net proceeds of $38.7 million ($42.2 million cash, less $3.5 million cash held at Windcat Workboats that was included in the assets purchased by the Windcat Buyer);</w:t>
      </w:r>
    </w:p>
    <w:p>
      <w:pPr>
        <w:spacing w:after="0" w:line="1" w:lineRule="exact"/>
        <w:rPr>
          <w:rFonts w:ascii="Arial" w:cs="Arial" w:eastAsia="Arial" w:hAnsi="Arial"/>
          <w:sz w:val="19"/>
          <w:szCs w:val="19"/>
          <w:color w:val="auto"/>
        </w:rPr>
      </w:pPr>
    </w:p>
    <w:p>
      <w:pPr>
        <w:ind w:left="1260" w:hanging="510"/>
        <w:spacing w:after="0"/>
        <w:tabs>
          <w:tab w:leader="none" w:pos="1260" w:val="left"/>
        </w:tabs>
        <w:numPr>
          <w:ilvl w:val="0"/>
          <w:numId w:val="39"/>
        </w:numPr>
        <w:rPr>
          <w:rFonts w:ascii="Arial" w:cs="Arial" w:eastAsia="Arial" w:hAnsi="Arial"/>
          <w:sz w:val="21"/>
          <w:szCs w:val="21"/>
          <w:color w:val="auto"/>
        </w:rPr>
      </w:pPr>
      <w:r>
        <w:rPr>
          <w:rFonts w:ascii="Arial" w:cs="Arial" w:eastAsia="Arial" w:hAnsi="Arial"/>
          <w:sz w:val="21"/>
          <w:szCs w:val="21"/>
          <w:color w:val="auto"/>
        </w:rPr>
        <w:t>the Company made investments in, and advances to, its 50% or less owned companies of $0.7 million;</w:t>
      </w:r>
    </w:p>
    <w:p>
      <w:pPr>
        <w:spacing w:after="0" w:line="109" w:lineRule="exact"/>
        <w:rPr>
          <w:rFonts w:ascii="Arial" w:cs="Arial" w:eastAsia="Arial" w:hAnsi="Arial"/>
          <w:sz w:val="21"/>
          <w:szCs w:val="21"/>
          <w:color w:val="auto"/>
        </w:rPr>
      </w:pPr>
    </w:p>
    <w:p>
      <w:pPr>
        <w:ind w:left="1260" w:hanging="510"/>
        <w:spacing w:after="0" w:line="250" w:lineRule="auto"/>
        <w:tabs>
          <w:tab w:leader="none" w:pos="1260"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Company received a distribution from its MEXMAR Offshore joint venture in the amount of $12.0 million of which $9.4 million was in excess of the Company’s investment balance of $2.6 million; and</w:t>
      </w:r>
    </w:p>
    <w:p>
      <w:pPr>
        <w:spacing w:after="0" w:line="66" w:lineRule="exact"/>
        <w:rPr>
          <w:rFonts w:ascii="Arial" w:cs="Arial" w:eastAsia="Arial" w:hAnsi="Arial"/>
          <w:sz w:val="22"/>
          <w:szCs w:val="22"/>
          <w:color w:val="auto"/>
        </w:rPr>
      </w:pPr>
    </w:p>
    <w:p>
      <w:pPr>
        <w:ind w:left="1260" w:hanging="510"/>
        <w:spacing w:after="0" w:line="250" w:lineRule="auto"/>
        <w:tabs>
          <w:tab w:leader="none" w:pos="1260"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Company received $4.0 million from investments in, and advances to, its 50% or less owned companies for principal payments on notes.</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Financing Activities</w:t>
      </w:r>
    </w:p>
    <w:p>
      <w:pPr>
        <w:spacing w:after="0" w:line="185" w:lineRule="exact"/>
        <w:rPr>
          <w:sz w:val="20"/>
          <w:szCs w:val="20"/>
          <w:color w:val="auto"/>
        </w:rPr>
      </w:pPr>
    </w:p>
    <w:p>
      <w:pPr>
        <w:ind w:right="20" w:firstLine="749"/>
        <w:spacing w:after="0" w:line="250" w:lineRule="auto"/>
        <w:rPr>
          <w:sz w:val="20"/>
          <w:szCs w:val="20"/>
          <w:color w:val="auto"/>
        </w:rPr>
      </w:pPr>
      <w:r>
        <w:rPr>
          <w:rFonts w:ascii="Arial" w:cs="Arial" w:eastAsia="Arial" w:hAnsi="Arial"/>
          <w:sz w:val="22"/>
          <w:szCs w:val="22"/>
          <w:color w:val="auto"/>
        </w:rPr>
        <w:t>During the Current Year Nine Months, net cash used in financing activities was $30.8 million, primarily as a result of the following:</w:t>
      </w:r>
    </w:p>
    <w:p>
      <w:pPr>
        <w:spacing w:after="0" w:line="67" w:lineRule="exact"/>
        <w:rPr>
          <w:sz w:val="20"/>
          <w:szCs w:val="20"/>
          <w:color w:val="auto"/>
        </w:rPr>
      </w:pPr>
    </w:p>
    <w:p>
      <w:pPr>
        <w:ind w:left="1260" w:hanging="510"/>
        <w:spacing w:after="0"/>
        <w:tabs>
          <w:tab w:leader="none" w:pos="12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Company made scheduled payments on long-term debt and other obligations of $30.7 million;</w:t>
      </w:r>
    </w:p>
    <w:p>
      <w:pPr>
        <w:spacing w:after="0" w:line="98" w:lineRule="exact"/>
        <w:rPr>
          <w:rFonts w:ascii="Arial" w:cs="Arial" w:eastAsia="Arial" w:hAnsi="Arial"/>
          <w:sz w:val="22"/>
          <w:szCs w:val="22"/>
          <w:color w:val="auto"/>
        </w:rPr>
      </w:pPr>
    </w:p>
    <w:p>
      <w:pPr>
        <w:ind w:left="1260" w:hanging="510"/>
        <w:spacing w:after="0"/>
        <w:tabs>
          <w:tab w:leader="none" w:pos="12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Company received $0.2 million proceeds from the exercise of stock options; and</w:t>
      </w:r>
    </w:p>
    <w:p>
      <w:pPr>
        <w:spacing w:after="0" w:line="98" w:lineRule="exact"/>
        <w:rPr>
          <w:rFonts w:ascii="Arial" w:cs="Arial" w:eastAsia="Arial" w:hAnsi="Arial"/>
          <w:sz w:val="22"/>
          <w:szCs w:val="22"/>
          <w:color w:val="auto"/>
        </w:rPr>
      </w:pPr>
    </w:p>
    <w:p>
      <w:pPr>
        <w:ind w:left="1260" w:hanging="510"/>
        <w:spacing w:after="0"/>
        <w:tabs>
          <w:tab w:leader="none" w:pos="12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Company made payments on finance leases of $0.2 million.</w:t>
      </w:r>
    </w:p>
    <w:p>
      <w:pPr>
        <w:spacing w:after="0" w:line="166"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During the Prior Year Nine Months, net cash used in financing activities was $72.9 million primarily as a result of the following:</w:t>
      </w:r>
    </w:p>
    <w:p>
      <w:pPr>
        <w:spacing w:after="0" w:line="67" w:lineRule="exact"/>
        <w:rPr>
          <w:sz w:val="20"/>
          <w:szCs w:val="20"/>
          <w:color w:val="auto"/>
        </w:rPr>
      </w:pPr>
    </w:p>
    <w:p>
      <w:pPr>
        <w:ind w:left="1260" w:hanging="510"/>
        <w:spacing w:after="0"/>
        <w:tabs>
          <w:tab w:leader="none" w:pos="12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Company made scheduled payments on long-term debt and obligations of $72.1 million; and</w:t>
      </w:r>
    </w:p>
    <w:p>
      <w:pPr>
        <w:spacing w:after="0" w:line="111" w:lineRule="exact"/>
        <w:rPr>
          <w:rFonts w:ascii="Arial" w:cs="Arial" w:eastAsia="Arial" w:hAnsi="Arial"/>
          <w:sz w:val="22"/>
          <w:szCs w:val="22"/>
          <w:color w:val="auto"/>
        </w:rPr>
      </w:pPr>
    </w:p>
    <w:p>
      <w:pPr>
        <w:ind w:left="1260" w:hanging="510"/>
        <w:spacing w:after="0"/>
        <w:tabs>
          <w:tab w:leader="none" w:pos="12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Company made payments on debt extinguishment costs of $0.8 million.</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Short and Long-Term Liquidity Requirements</w:t>
      </w:r>
    </w:p>
    <w:p>
      <w:pPr>
        <w:spacing w:after="0" w:line="172"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The Company believes that a combination of cash balances on hand, cash generated from operating activities, collections of our short-term note receivable, availability under existing subsidiary financing arrangements and access to the credit and capital markets will provide sufficient liquidity to meet its obligations, including to support its capital expenditures program, working capital needs, debt service requirements and covenant compliance over the short to medium term. The Company continually evaluates possible acquisitions and dispositions of certain businesses and assets. The Company’s sources of liquidity may be impacted by the general condition of the markets in which it operates and the broader economy as a whole, which may limit its access to the credit and capital markets on acceptable terms. Management continuously monitors the Company’s liquidity to ensure it is sufficient to meet its needs as well as to ensure compliance with covenants in its credit facilities.</w:t>
      </w:r>
    </w:p>
    <w:p>
      <w:pPr>
        <w:spacing w:after="0" w:line="130"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While the COVID-19 pandemic initially reduced the demand for the Company’s products and services, the COVID-19 pandemic has not had a material impact on the Company’s liquidity or on the Company’s ability to meet its financial maintenance covenants in its various credit facilities. However, if the COVID-19 pandemic does not fully abate, new vaccine resistant strains appear, or certain countries implement new shutdowns, the effects of the pandemic on the Company's business may become more severe, for example by further reducing demand for the Company’s products and services or causing customers not to make their payments on time, and this may have a material impact on the Company.</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Note Receivable</w:t>
      </w:r>
    </w:p>
    <w:p>
      <w:pPr>
        <w:spacing w:after="0" w:line="17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For a discussion of the Company’s short-term note receivable agreement see “Note 2. Note Receivable” in the unaudited consolidated financial statements included in Part I. Item 1. “Financial Statements” elsewhere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jc w:val="both"/>
        <w:spacing w:after="0" w:line="250" w:lineRule="auto"/>
        <w:rPr>
          <w:sz w:val="20"/>
          <w:szCs w:val="20"/>
          <w:color w:val="auto"/>
        </w:rPr>
      </w:pPr>
      <w:r>
        <w:rPr>
          <w:rFonts w:ascii="Arial" w:cs="Arial" w:eastAsia="Arial" w:hAnsi="Arial"/>
          <w:sz w:val="22"/>
          <w:szCs w:val="22"/>
          <w:color w:val="auto"/>
        </w:rPr>
        <w:t>in this Quarterly Report on Form 10-Q. Other then as set forth below there has not been any material changes to the agreement governing the Company’s short-term note receivable during the period.</w:t>
      </w:r>
    </w:p>
    <w:p>
      <w:pPr>
        <w:spacing w:after="0" w:line="148"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In connection with the closing of the Framework Agreement Transactions, on September 29, 2022, SEACOR Marine Capital purchased all of the outstanding loans under the MexMar Original Facility Agreement for an aggregate amount of $28,831,148.32, representing par value of the loan using proceeds received from the Framework Agreement Transactions. On the same date the MexMar Original Facility Agreement was amended and restated in the MexMar Third A&amp;R Facility Agreement pursuant to which, among other things, MexMar paid down approximately $8.8 million of the loan and agreed to repay the $20.0 million of the loan that remains outstanding by September 30, 2023, through four equal quarterly installments of $5.0 million.</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Debt Securities and Credit Agreements</w:t>
      </w:r>
    </w:p>
    <w:p>
      <w:pPr>
        <w:spacing w:after="0" w:line="172"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For a discussion of the Company’s debt securities and credit agreements, see “Note 5. Long-Term Debt” in the unaudited consolidated financial statements included in Part I. Item 1. “Financial Statements” elsewhere in this Quarterly Report on Form 10-Q and in “Note 8. Long-Term Debt” in the Company’s audited consolidated financial statements included in its 2021 Annual Report. Other then as set forth below there has not been any material changes to the agreements governing the Company’s long-term debt during the period.</w:t>
      </w:r>
    </w:p>
    <w:p>
      <w:pPr>
        <w:spacing w:after="0" w:line="160"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On September 29, 2022, SEACOR Marine, SMFH, and certain vessel-owning subsidiaries of the Company, entered into SMFH Amendment No. 5 to the SMFH Credit Facility, and in connection therewith the Company entered into the Second A&amp;R SMFH Credit Facility Guaranty.</w:t>
      </w:r>
    </w:p>
    <w:p>
      <w:pPr>
        <w:spacing w:after="0" w:line="146"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SMFH Amendment No. 5 and the Second A&amp;R SMFH Credit Facility Guaranty provide for, among other things, (i) a $5.3 million prepayment of the SMFH Credit Facility thereby reducing the amount outstanding thereunder to approximately $74.7 million, (ii) the establishment of Tranche A and Tranche B loans under the SMFH Credit Facility (each as defined in the SMFH Credit Facility) and (iii) the change in the reference rate for Tranche B from LIBOR to SOFR. Tranche A is comprised of approximately $19.8 million of the principal amount of the loan and will maintain the same Margin (as defined in the SMFH Credit Facility) over LIBOR of 4.75% per annum through December 31, 2022, thereafter reverting to 3.75% per annum and the same maturity date of September 30, 2023. Tranche B is comprised of approximately $54.9 million of the principal amount of the loan and permanently maintains the Margin over SOFR (previously LIBOR) at 4.75% per annum and extends the maturity date from September 30, 2023 to March 31, 2026.</w:t>
      </w:r>
    </w:p>
    <w:p>
      <w:pPr>
        <w:spacing w:after="0" w:line="144"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On June 15, 2022, SEACOR Marine, SMFH, and certain vessel-owning subsidiaries of SEACOR Marine, entered into SMFH Amendment No. 4 to the SMFH Credit Facility and, in connection therewith, SEACOR Marine entered into the A&amp;R SMFH Credit Facility Guaranty. SMFH Amendment No. 4 and the A&amp;R SMFH Credit Facility Guaranty provide for, among other things, the amendment of the definition of Cash and Cash Equivalents to include 35% of the accounts receivable as reported in SEACOR Marine’s financial statements for the second, third and fourth quarter of fiscal year 2022.</w:t>
      </w:r>
    </w:p>
    <w:p>
      <w:pPr>
        <w:spacing w:after="0" w:line="120"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The SMFH Credit Facility requires the Company to maintain a minimum balance of Cash and Cash Equivalents equal to the greater of (i) $35.0 million and (ii) 7.5% of Total Debt. As of September 30, 2022, the Company's Cash and Cash Equivalents balance used to test compliance with this covenant was $71.3 million or 24.6% of Total Debt. The Company expects that cash flow from operations, together with accounts receivable balances of the Company for the second, third and fourth quarter of fiscal year 2022, will be sufficient to maintain compliance with this covenant for the foreseeable future. However, if significant events such as the COVID-19 pandemic or the Russia/Ukraine conflict result in a decrease in demand for the Company’s services, it may require us to seek further amendments to this covenant.</w:t>
      </w:r>
    </w:p>
    <w:p>
      <w:pPr>
        <w:spacing w:after="0" w:line="144"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On August 2, 2022, SEACOR Marine, SEACOR Offshore Eight LLC, a wholly-owned subsidiary of SEACOR Marine, and certain vessel owning wholly-owned subsidiaries of SEACOR Marine, entered into the 2022 88/888 Amendment to the SEACOR 88/888 Term Loan. The SEACOR 88/888 Term Loan is secured by two vessels and SEACOR Marine has provided a limited guaranty of such loan under which claims recoverable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55" w:name="page56"/>
    <w:bookmarkEnd w:id="55"/>
    <w:p>
      <w:pPr>
        <w:jc w:val="both"/>
        <w:spacing w:after="0" w:line="252" w:lineRule="auto"/>
        <w:rPr>
          <w:sz w:val="20"/>
          <w:szCs w:val="20"/>
          <w:color w:val="auto"/>
        </w:rPr>
      </w:pPr>
      <w:r>
        <w:rPr>
          <w:rFonts w:ascii="Arial" w:cs="Arial" w:eastAsia="Arial" w:hAnsi="Arial"/>
          <w:sz w:val="21"/>
          <w:szCs w:val="21"/>
          <w:color w:val="auto"/>
        </w:rPr>
        <w:t>from SEACOR Marine shall not exceed the lesser of (x) $5.5 million and (y) 50% of the obligations outstanding at the time a claim is made thereunder. The 2022 88/888 Amendment provides for, among other things, (i) the extension of the maturity date of the SEACOR 88/888 Term Loan from June 29, 2023 to July 1, 2024, (ii) the change in the reference rate from LIBOR to SOFR and (iii) the amendment of the applicable interest rate margin over SOFR from 3.75% to 4.75%.</w:t>
      </w:r>
    </w:p>
    <w:p>
      <w:pPr>
        <w:spacing w:after="0" w:line="14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On October 5, 2022, SEACOR Marine and the Carlyle Investors entered into two agreements pursuant to which SEACOR Marine issued the Carlyle Investors $90.0 million in aggregate principal amount of the Guaranteed Notes and (ii) $35.0 million aggregate principal amount of the New Convertible Notes in exchange for $125.0 million in aggregate principal amount of SEACOR Marine’s Old Convertible Notes, representing all of the outstanding Old Convertible Notes.</w:t>
      </w:r>
    </w:p>
    <w:p>
      <w:pPr>
        <w:spacing w:after="0" w:line="133"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The Guaranteed Notes were issued pursuant to the Guaranteed Notes Exchange Agreement among the Company, as issuer, FG Robert, as the guarantor, and the Carlyle Investors. Pursuant to the Guaranteed Notes Exchange Agreement, the Company has the right to pay interest on the Guaranteed Notes (i) in cash at a rate of 8.0% per annum (“</w:t>
      </w:r>
      <w:r>
        <w:rPr>
          <w:rFonts w:ascii="Arial" w:cs="Arial" w:eastAsia="Arial" w:hAnsi="Arial"/>
          <w:sz w:val="19"/>
          <w:szCs w:val="19"/>
          <w:u w:val="single" w:color="auto"/>
          <w:color w:val="auto"/>
        </w:rPr>
        <w:t>Cash Interest</w:t>
      </w:r>
      <w:r>
        <w:rPr>
          <w:rFonts w:ascii="Arial" w:cs="Arial" w:eastAsia="Arial" w:hAnsi="Arial"/>
          <w:sz w:val="19"/>
          <w:szCs w:val="19"/>
          <w:color w:val="auto"/>
        </w:rPr>
        <w:t>”) or (ii) partly in cash and partly in-kind by increasing the principal amount of the Guaranteed Notes or issuing additional Guaranteed Notes at a rate of 9.5% per annum (“</w:t>
      </w:r>
      <w:r>
        <w:rPr>
          <w:rFonts w:ascii="Arial" w:cs="Arial" w:eastAsia="Arial" w:hAnsi="Arial"/>
          <w:sz w:val="19"/>
          <w:szCs w:val="19"/>
          <w:u w:val="single" w:color="auto"/>
          <w:color w:val="auto"/>
        </w:rPr>
        <w:t>Hybrid Interest</w:t>
      </w:r>
      <w:r>
        <w:rPr>
          <w:rFonts w:ascii="Arial" w:cs="Arial" w:eastAsia="Arial" w:hAnsi="Arial"/>
          <w:sz w:val="19"/>
          <w:szCs w:val="19"/>
          <w:color w:val="auto"/>
        </w:rPr>
        <w:t>”) with the cash portion of the Hybrid Interest bearing interest at a rate of 4.25% per annum and in the in-kind portion of the Hybrid Interest bearing interest at a rate of 5.25% per annum. SEACOR Marine must elect whether it will pay Cash Interest or Hybrid Interest for any interest payment period prior to beginning of such interest payment period. The Guaranteed Notes mature on July 1, 2026. The Guaranteed Notes are guaranteed on a senior unsecured basis by FG Robert, the owner of the LB Robert liftboat.</w:t>
      </w:r>
    </w:p>
    <w:p>
      <w:pPr>
        <w:spacing w:after="0" w:line="118"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 xml:space="preserve">SEACOR Marine may redeem some or all of the Guaranteed Notes at any time in minimum denominations of $10.0 million, upon not less than 30 nor more than 60 calendar days’ notice, at a price equal to (a) 102% of the principal amount of the Guaranteed Notes redeemed, if redeemed prior to October 1, 2023, (b) 101% of the principal amount of the Guaranteed Notes redeemed, if redeemed on or after October 1, 2023, but prior to October 1, 2024 and (c) 100% of the principal amount of the Guaranteed Notes redeemed, if redeemed on or after October 1, 2024, in each case plus accrued and unpaid interest, if any, to, but not including, the redemption date, </w:t>
      </w:r>
      <w:r>
        <w:rPr>
          <w:rFonts w:ascii="Arial" w:cs="Arial" w:eastAsia="Arial" w:hAnsi="Arial"/>
          <w:sz w:val="19"/>
          <w:szCs w:val="19"/>
          <w:i w:val="1"/>
          <w:iCs w:val="1"/>
          <w:color w:val="auto"/>
        </w:rPr>
        <w:t>provided</w:t>
      </w:r>
      <w:r>
        <w:rPr>
          <w:rFonts w:ascii="Arial" w:cs="Arial" w:eastAsia="Arial" w:hAnsi="Arial"/>
          <w:sz w:val="19"/>
          <w:szCs w:val="19"/>
          <w:color w:val="auto"/>
        </w:rPr>
        <w:t>, SEACOR Marine may not redeem the Guaranteed Notes if the principal amount of Guaranteed Notes and New Convertible Notes outstanding will be equal to or less than $50.0 million in the aggregate, unless SEACOR Marine redeems all of the Guaranteed Notes in whole.</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9"/>
          <w:szCs w:val="19"/>
          <w:color w:val="auto"/>
        </w:rPr>
        <w:t>The Guaranteed Notes Exchange Agreement contains certain customary covenants that among others, limit the ability of</w:t>
      </w:r>
    </w:p>
    <w:p>
      <w:pPr>
        <w:spacing w:after="0" w:line="43" w:lineRule="exact"/>
        <w:rPr>
          <w:sz w:val="20"/>
          <w:szCs w:val="20"/>
          <w:color w:val="auto"/>
        </w:rPr>
      </w:pPr>
    </w:p>
    <w:p>
      <w:pPr>
        <w:jc w:val="both"/>
        <w:ind w:firstLine="8"/>
        <w:spacing w:after="0" w:line="233" w:lineRule="auto"/>
        <w:tabs>
          <w:tab w:leader="none" w:pos="261" w:val="left"/>
        </w:tabs>
        <w:numPr>
          <w:ilvl w:val="0"/>
          <w:numId w:val="42"/>
        </w:numPr>
        <w:rPr>
          <w:rFonts w:ascii="Arial" w:cs="Arial" w:eastAsia="Arial" w:hAnsi="Arial"/>
          <w:sz w:val="22"/>
          <w:szCs w:val="22"/>
          <w:color w:val="auto"/>
        </w:rPr>
      </w:pPr>
      <w:r>
        <w:rPr>
          <w:rFonts w:ascii="Arial" w:cs="Arial" w:eastAsia="Arial" w:hAnsi="Arial"/>
          <w:sz w:val="22"/>
          <w:szCs w:val="22"/>
          <w:color w:val="auto"/>
        </w:rPr>
        <w:t>SEACOR Marine and FG Robert to incur indebtedness, (ii) FG Robert to create or incur liens, (iii) SEACOR Marine to create liens on the ownership interest of FG Robert, (iv) FG Robert to sell assets, and (v) SEACOR Marine to sell the ownership interest of FG Robert, as well as customary representations and warranties made by SEACOR Marine and the Carlyle Investors and customary events of default.</w:t>
      </w:r>
    </w:p>
    <w:p>
      <w:pPr>
        <w:spacing w:after="0" w:line="147"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The New Convertible Notes were issued pursuant to the Convertible Notes Exchange Agreement among the Company, as issuer, and the Carlyle Investors. The New Convertible Notes bear interest at a rate of 4.25% per annum payable semi-annually in arrears and mature on July 1, 2026. The New Convertible Notes are convertible into shares of Common Stock at the option of the holders at a conversion rate of 85.1064 shares per $1,000 in principal amount of New Convertible Notes (equivalent to a “Conversion Price” of $11.75) or into warrants to purchase an equal number of shares of Common Stock at an exercise price of $0.01 per share in order to facilitate SEACOR Marine’s compliance with the provisions of the Jones Act. In addition, SEACOR Marine has the right to cause the mandatory conversion of the New Convertibles Notes into Common Stock if the daily VWAP of the Common Stock equals or exceeds (A) in the case of New Convertible Notes held by affiliates of Carlyle, 150% of the Conversion Price and (B) in the case of New Convertible Notes held by any Person other than Carlyle, 115% of the Conversion Price, in each case for each of the 20 consecutive trading days.</w:t>
      </w:r>
    </w:p>
    <w:p>
      <w:pPr>
        <w:spacing w:after="0" w:line="120"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If SEACOR Marine undergoes a Company Fundamental Change (as defined in the Convertible Notes Exchange Agreement), the holders of the New Convertible Notes may require SEACOR Marine to purchase for cash all or part of the New Convertible Notes at a price equal to 100% of the principal amount the New</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56" w:name="page57"/>
    <w:bookmarkEnd w:id="56"/>
    <w:p>
      <w:pPr>
        <w:jc w:val="both"/>
        <w:spacing w:after="0" w:line="238" w:lineRule="auto"/>
        <w:rPr>
          <w:sz w:val="20"/>
          <w:szCs w:val="20"/>
          <w:color w:val="auto"/>
        </w:rPr>
      </w:pPr>
      <w:r>
        <w:rPr>
          <w:rFonts w:ascii="Arial" w:cs="Arial" w:eastAsia="Arial" w:hAnsi="Arial"/>
          <w:sz w:val="22"/>
          <w:szCs w:val="22"/>
          <w:color w:val="auto"/>
        </w:rPr>
        <w:t>Convertible Notes to be purchased, plus accrued and unpaid interest to the date of purchase. The New Convertible Notes may be redeemed, in whole but not in part and only if certain conditions are met, as more fully described in the Convertible Notes Exchange Agreement, at a price equal to 100% of the principal amount of the New Convertible Notes to be redeemed, plus accrued and unpaid interest to the date of redemption.</w:t>
      </w:r>
    </w:p>
    <w:p>
      <w:pPr>
        <w:spacing w:after="0" w:line="15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Under the Convertibles Notes Exchange Agreement, the Carlyle Investors have the ability to nominate one director to the board of directors of SEACOR Marine.</w:t>
      </w:r>
    </w:p>
    <w:p>
      <w:pPr>
        <w:spacing w:after="0" w:line="13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The Convertible Notes Exchange Agreement contains customary representations and warranties made by SEACOR Marine and the Carlyle Investors and contains customary events of default and covenants.</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Future Cash Requirements</w:t>
      </w:r>
    </w:p>
    <w:p>
      <w:pPr>
        <w:spacing w:after="0" w:line="18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For a discussion of the Company’s future cash requirements, refer to “Management’s Discussion and Analysis of Financial Condition and Results of Operations - Liquidity and Capital Resources” in the Company’s 2021 Annual Report. There has been no material change in the Company’s future cash requirements, except as described in “Results of Operations - Liquidity and Capital Resources”.</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Contingencies</w:t>
      </w:r>
    </w:p>
    <w:p>
      <w:pPr>
        <w:spacing w:after="0" w:line="17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For a discussion of the Company’s contingencies, see “Note 10. Commitments and Contingencies” in the unaudited consolidated financial statements included in Part I. Item 1. “Financial Statements” elsewhere in this Quarterly Report on Form 10-Q.</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57" w:name="page58"/>
    <w:bookmarkEnd w:id="57"/>
    <w:p>
      <w:pPr>
        <w:spacing w:after="0"/>
        <w:rPr>
          <w:sz w:val="20"/>
          <w:szCs w:val="20"/>
          <w:color w:val="auto"/>
        </w:rPr>
      </w:pPr>
      <w:r>
        <w:rPr>
          <w:rFonts w:ascii="Arial" w:cs="Arial" w:eastAsia="Arial" w:hAnsi="Arial"/>
          <w:sz w:val="22"/>
          <w:szCs w:val="22"/>
          <w:b w:val="1"/>
          <w:bCs w:val="1"/>
          <w:color w:val="auto"/>
        </w:rPr>
        <w:t>ITEM 3.QUANTITATIVE AND QUALITATIVE DISCLOSURES ABOUT MARKET RISK</w:t>
      </w:r>
    </w:p>
    <w:p>
      <w:pPr>
        <w:spacing w:after="0" w:line="17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For a discussion of the Company’s exposure to market risk, refer to “Quantitative and Qualitative Disclosures About Market Risk” included in the Company’s 2021 Annual Report. There has been no material change in the Company’s exposure to market risk during the nine months ended September 30, 2022.</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4.CONTROLS AND PROCEDURES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Evaluation of Disclosure Controls and Procedures</w:t>
      </w:r>
    </w:p>
    <w:p>
      <w:pPr>
        <w:spacing w:after="0" w:line="172"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With the participation of the Company’s principal executive officer and principal financial officer, management evaluated the effectiveness of the Company’s disclosure controls and procedures (as defined in Rules 13a-15(e) and 15d-15(e) under the Exchange Act, as of September 30, 2022. Based on their evaluation, the Company’s principal executive officer and principal financial officer concluded that the Company’s disclosure controls and procedures were effective as of September 30, 2022 to provide reasonable assurance that information required to be disclosed by the Company in reports filed or submitted under the Exchange Act is (i) recorded, processed, summarized and reported within the time periods specified in the Securities and Exchange Commission's rules and forms and (ii) accumulated and communicated to the Company's management, including its Chief Executive Officer and Chief Financial Officer, as appropriate to allow timely decisions regarding required disclosure.</w:t>
      </w:r>
    </w:p>
    <w:p>
      <w:pPr>
        <w:spacing w:after="0" w:line="117"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The Company’s disclosure controls and procedures have been designed to ensure that information required to be disclosed by the Company in the reports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the Company in the reports it files or submits under the Exchange Act is accumulated and communicated to the Company’s management, including its principal executive and principal financial officers, to allow timely decisions regarding required disclosures. All internal control systems, no matter how well designed, have inherent limitations. Therefore, even those internal control systems determined to be effective can provide only a level of reasonable assurance with respect to financial statement preparation and presentation.</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17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There have been no changes in the Company’s internal control over financial reporting (as defined in Rules 13a-15(f) and 15d-15(f) under the Exchange Act) that occurred during the Current Year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8" w:name="page59"/>
    <w:bookmarkEnd w:id="58"/>
    <w:p>
      <w:pPr>
        <w:spacing w:after="0"/>
        <w:rPr>
          <w:sz w:val="20"/>
          <w:szCs w:val="20"/>
          <w:color w:val="auto"/>
        </w:rPr>
      </w:pPr>
      <w:r>
        <w:rPr>
          <w:rFonts w:ascii="Arial" w:cs="Arial" w:eastAsia="Arial" w:hAnsi="Arial"/>
          <w:sz w:val="22"/>
          <w:szCs w:val="22"/>
          <w:b w:val="1"/>
          <w:bCs w:val="1"/>
          <w:color w:val="auto"/>
        </w:rPr>
        <w:t>PART II—OTHER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1.LEGAL PROCEEDINGS</w:t>
      </w:r>
    </w:p>
    <w:p>
      <w:pPr>
        <w:spacing w:after="0" w:line="17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For a description of developments with respect to pending legal proceedings described in the Company’s 2021 Annual Report, see “Note 10. Commitments and Contingencies” included in Part I. Item 1. “Financial Statements” elsewhere in this Quarterly Report on Form 10-Q.</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1A.RISK FACTORS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9"/>
          <w:szCs w:val="19"/>
          <w:color w:val="auto"/>
        </w:rPr>
        <w:t>For a discussion of the Company’s risk factors, refer to “Risk Factors” included in the Company’s 2021 Annual Report.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There have been no material changes in the Company’s risk factors during the Current Year Quarter.</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2.UNREGISTERED SALES OF EQUITY SECURITIES AND USE OF PROCEEDS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 (b) None.</w:t>
      </w:r>
    </w:p>
    <w:p>
      <w:pPr>
        <w:spacing w:after="0" w:line="112" w:lineRule="exact"/>
        <w:rPr>
          <w:sz w:val="20"/>
          <w:szCs w:val="20"/>
          <w:color w:val="auto"/>
        </w:rPr>
      </w:pPr>
    </w:p>
    <w:p>
      <w:pPr>
        <w:ind w:left="1260" w:hanging="510"/>
        <w:spacing w:after="0" w:line="250" w:lineRule="auto"/>
        <w:tabs>
          <w:tab w:leader="none" w:pos="12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This table provides information with respect to purchases by the Company of shares of its Common Stock during the Current Year Quarter: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Total Number of</w:t>
            </w:r>
          </w:p>
        </w:tc>
        <w:tc>
          <w:tcPr>
            <w:tcW w:w="17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6"/>
              </w:rPr>
              <w:t>Maximum Number</w:t>
            </w:r>
          </w:p>
        </w:tc>
      </w:tr>
      <w:tr>
        <w:trPr>
          <w:trHeight w:val="203"/>
        </w:trPr>
        <w:tc>
          <w:tcPr>
            <w:tcW w:w="36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Shares Purchased</w:t>
            </w:r>
          </w:p>
        </w:tc>
        <w:tc>
          <w:tcPr>
            <w:tcW w:w="17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of Shares that may</w:t>
            </w:r>
          </w:p>
        </w:tc>
      </w:tr>
      <w:tr>
        <w:trPr>
          <w:trHeight w:val="203"/>
        </w:trPr>
        <w:tc>
          <w:tcPr>
            <w:tcW w:w="3660" w:type="dxa"/>
            <w:vAlign w:val="bottom"/>
          </w:tcPr>
          <w:p>
            <w:pPr>
              <w:spacing w:after="0"/>
              <w:rPr>
                <w:sz w:val="17"/>
                <w:szCs w:val="17"/>
                <w:color w:val="auto"/>
              </w:rPr>
            </w:pPr>
          </w:p>
        </w:tc>
        <w:tc>
          <w:tcPr>
            <w:tcW w:w="1420" w:type="dxa"/>
            <w:vAlign w:val="bottom"/>
          </w:tcPr>
          <w:p>
            <w:pPr>
              <w:ind w:left="240"/>
              <w:spacing w:after="0"/>
              <w:rPr>
                <w:sz w:val="20"/>
                <w:szCs w:val="20"/>
                <w:color w:val="auto"/>
              </w:rPr>
            </w:pPr>
            <w:r>
              <w:rPr>
                <w:rFonts w:ascii="Arial" w:cs="Arial" w:eastAsia="Arial" w:hAnsi="Arial"/>
                <w:sz w:val="16"/>
                <w:szCs w:val="16"/>
                <w:b w:val="1"/>
                <w:bCs w:val="1"/>
                <w:color w:val="auto"/>
                <w:w w:val="94"/>
              </w:rPr>
              <w:t>Total Number of</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1"/>
              </w:rPr>
              <w:t>Average Price per</w:t>
            </w:r>
          </w:p>
        </w:tc>
        <w:tc>
          <w:tcPr>
            <w:tcW w:w="19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as Part of a Publicly</w:t>
            </w:r>
          </w:p>
        </w:tc>
        <w:tc>
          <w:tcPr>
            <w:tcW w:w="17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be Purchased Under</w:t>
            </w:r>
          </w:p>
        </w:tc>
      </w:tr>
      <w:tr>
        <w:trPr>
          <w:trHeight w:val="213"/>
        </w:trPr>
        <w:tc>
          <w:tcPr>
            <w:tcW w:w="3660" w:type="dxa"/>
            <w:vAlign w:val="bottom"/>
            <w:tcBorders>
              <w:bottom w:val="single" w:sz="8" w:color="CFF0FC"/>
            </w:tcBorders>
          </w:tcPr>
          <w:p>
            <w:pPr>
              <w:spacing w:after="0"/>
              <w:rPr>
                <w:sz w:val="18"/>
                <w:szCs w:val="18"/>
                <w:color w:val="auto"/>
              </w:rPr>
            </w:pPr>
          </w:p>
        </w:tc>
        <w:tc>
          <w:tcPr>
            <w:tcW w:w="14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w w:val="92"/>
              </w:rPr>
              <w:t>Shares Withheld</w:t>
            </w:r>
          </w:p>
        </w:tc>
        <w:tc>
          <w:tcPr>
            <w:tcW w:w="22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9"/>
              </w:rPr>
              <w:t>Share</w:t>
            </w:r>
          </w:p>
        </w:tc>
        <w:tc>
          <w:tcPr>
            <w:tcW w:w="280" w:type="dxa"/>
            <w:vAlign w:val="bottom"/>
            <w:tcBorders>
              <w:bottom w:val="single" w:sz="8" w:color="CFF0FC"/>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Announced Plan</w:t>
            </w:r>
          </w:p>
        </w:tc>
        <w:tc>
          <w:tcPr>
            <w:tcW w:w="300" w:type="dxa"/>
            <w:vAlign w:val="bottom"/>
            <w:tcBorders>
              <w:bottom w:val="single" w:sz="8" w:color="CFF0FC"/>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the Plan</w:t>
            </w:r>
          </w:p>
        </w:tc>
        <w:tc>
          <w:tcPr>
            <w:tcW w:w="120" w:type="dxa"/>
            <w:vAlign w:val="bottom"/>
            <w:tcBorders>
              <w:bottom w:val="single" w:sz="8" w:color="CFF0FC"/>
            </w:tcBorders>
          </w:tcPr>
          <w:p>
            <w:pPr>
              <w:spacing w:after="0"/>
              <w:rPr>
                <w:sz w:val="18"/>
                <w:szCs w:val="18"/>
                <w:color w:val="auto"/>
              </w:rPr>
            </w:pPr>
          </w:p>
        </w:tc>
      </w:tr>
      <w:tr>
        <w:trPr>
          <w:trHeight w:val="209"/>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July 1, 2022 to July 31, 2022</w:t>
            </w:r>
          </w:p>
        </w:tc>
        <w:tc>
          <w:tcPr>
            <w:tcW w:w="14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ind w:left="1320"/>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ind w:left="1480"/>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ind w:left="1460"/>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FF0FC"/>
          </w:tcPr>
          <w:p>
            <w:pPr>
              <w:spacing w:after="0"/>
              <w:rPr>
                <w:sz w:val="18"/>
                <w:szCs w:val="18"/>
                <w:color w:val="auto"/>
              </w:rPr>
            </w:pPr>
          </w:p>
        </w:tc>
      </w:tr>
      <w:tr>
        <w:trPr>
          <w:trHeight w:val="237"/>
        </w:trPr>
        <w:tc>
          <w:tcPr>
            <w:tcW w:w="3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August 1, 2022 to August 31, 2022</w:t>
            </w:r>
          </w:p>
        </w:tc>
        <w:tc>
          <w:tcPr>
            <w:tcW w:w="1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w w:val="99"/>
              </w:rPr>
              <w:t>—</w:t>
            </w:r>
          </w:p>
        </w:tc>
        <w:tc>
          <w:tcPr>
            <w:tcW w:w="3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ind w:left="1320"/>
              <w:spacing w:after="0"/>
              <w:rPr>
                <w:sz w:val="20"/>
                <w:szCs w:val="20"/>
                <w:color w:val="auto"/>
              </w:rPr>
            </w:pPr>
            <w:r>
              <w:rPr>
                <w:rFonts w:ascii="Arial" w:cs="Arial" w:eastAsia="Arial" w:hAnsi="Arial"/>
                <w:sz w:val="16"/>
                <w:szCs w:val="16"/>
                <w:color w:val="auto"/>
                <w:w w:val="99"/>
              </w:rPr>
              <w:t>—</w:t>
            </w:r>
          </w:p>
        </w:tc>
        <w:tc>
          <w:tcPr>
            <w:tcW w:w="280" w:type="dxa"/>
            <w:vAlign w:val="bottom"/>
            <w:tcBorders>
              <w:bottom w:val="single" w:sz="8" w:color="CFF0FC"/>
            </w:tcBorders>
          </w:tcPr>
          <w:p>
            <w:pPr>
              <w:spacing w:after="0"/>
              <w:rPr>
                <w:sz w:val="20"/>
                <w:szCs w:val="20"/>
                <w:color w:val="auto"/>
              </w:rPr>
            </w:pPr>
          </w:p>
        </w:tc>
        <w:tc>
          <w:tcPr>
            <w:tcW w:w="1660" w:type="dxa"/>
            <w:vAlign w:val="bottom"/>
            <w:tcBorders>
              <w:bottom w:val="single" w:sz="8" w:color="auto"/>
            </w:tcBorders>
          </w:tcPr>
          <w:p>
            <w:pPr>
              <w:ind w:left="1480"/>
              <w:spacing w:after="0"/>
              <w:rPr>
                <w:sz w:val="20"/>
                <w:szCs w:val="20"/>
                <w:color w:val="auto"/>
              </w:rPr>
            </w:pPr>
            <w:r>
              <w:rPr>
                <w:rFonts w:ascii="Arial" w:cs="Arial" w:eastAsia="Arial" w:hAnsi="Arial"/>
                <w:sz w:val="16"/>
                <w:szCs w:val="16"/>
                <w:color w:val="auto"/>
                <w:w w:val="99"/>
              </w:rPr>
              <w:t>—</w:t>
            </w:r>
          </w:p>
        </w:tc>
        <w:tc>
          <w:tcPr>
            <w:tcW w:w="300" w:type="dxa"/>
            <w:vAlign w:val="bottom"/>
            <w:tcBorders>
              <w:bottom w:val="single" w:sz="8" w:color="CFF0FC"/>
            </w:tcBorders>
          </w:tcPr>
          <w:p>
            <w:pPr>
              <w:spacing w:after="0"/>
              <w:rPr>
                <w:sz w:val="20"/>
                <w:szCs w:val="20"/>
                <w:color w:val="auto"/>
              </w:rPr>
            </w:pPr>
          </w:p>
        </w:tc>
        <w:tc>
          <w:tcPr>
            <w:tcW w:w="1640" w:type="dxa"/>
            <w:vAlign w:val="bottom"/>
            <w:tcBorders>
              <w:bottom w:val="single" w:sz="8" w:color="auto"/>
            </w:tcBorders>
          </w:tcPr>
          <w:p>
            <w:pPr>
              <w:ind w:left="1460"/>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FF0FC"/>
            </w:tcBorders>
          </w:tcPr>
          <w:p>
            <w:pPr>
              <w:spacing w:after="0"/>
              <w:rPr>
                <w:sz w:val="20"/>
                <w:szCs w:val="20"/>
                <w:color w:val="auto"/>
              </w:rPr>
            </w:pPr>
          </w:p>
        </w:tc>
      </w:tr>
      <w:tr>
        <w:trPr>
          <w:trHeight w:val="239"/>
        </w:trPr>
        <w:tc>
          <w:tcPr>
            <w:tcW w:w="50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September 1, 2022 to September 30, 2022</w:t>
            </w:r>
          </w:p>
        </w:tc>
        <w:tc>
          <w:tcPr>
            <w:tcW w:w="52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FF0FC"/>
          </w:tcPr>
          <w:p>
            <w:pPr>
              <w:ind w:left="1320"/>
              <w:spacing w:after="0"/>
              <w:rPr>
                <w:sz w:val="20"/>
                <w:szCs w:val="20"/>
                <w:color w:val="auto"/>
              </w:rPr>
            </w:pPr>
            <w:r>
              <w:rPr>
                <w:rFonts w:ascii="Arial" w:cs="Arial" w:eastAsia="Arial" w:hAnsi="Arial"/>
                <w:sz w:val="16"/>
                <w:szCs w:val="16"/>
                <w:color w:val="auto"/>
              </w:rPr>
              <w:t>—</w:t>
            </w:r>
          </w:p>
        </w:tc>
        <w:tc>
          <w:tcPr>
            <w:tcW w:w="1960" w:type="dxa"/>
            <w:vAlign w:val="bottom"/>
            <w:gridSpan w:val="2"/>
            <w:shd w:val="clear" w:color="auto" w:fill="CFF0FC"/>
          </w:tcPr>
          <w:p>
            <w:pPr>
              <w:ind w:left="1480"/>
              <w:spacing w:after="0"/>
              <w:rPr>
                <w:sz w:val="20"/>
                <w:szCs w:val="20"/>
                <w:color w:val="auto"/>
              </w:rPr>
            </w:pPr>
            <w:r>
              <w:rPr>
                <w:rFonts w:ascii="Arial" w:cs="Arial" w:eastAsia="Arial" w:hAnsi="Arial"/>
                <w:sz w:val="16"/>
                <w:szCs w:val="16"/>
                <w:color w:val="auto"/>
              </w:rPr>
              <w:t>—</w:t>
            </w:r>
          </w:p>
        </w:tc>
        <w:tc>
          <w:tcPr>
            <w:tcW w:w="1760" w:type="dxa"/>
            <w:vAlign w:val="bottom"/>
            <w:gridSpan w:val="2"/>
            <w:shd w:val="clear" w:color="auto" w:fill="CFF0FC"/>
          </w:tcPr>
          <w:p>
            <w:pPr>
              <w:ind w:left="1460"/>
              <w:spacing w:after="0"/>
              <w:rPr>
                <w:sz w:val="20"/>
                <w:szCs w:val="20"/>
                <w:color w:val="auto"/>
              </w:rPr>
            </w:pPr>
            <w:r>
              <w:rPr>
                <w:rFonts w:ascii="Arial" w:cs="Arial" w:eastAsia="Arial" w:hAnsi="Arial"/>
                <w:sz w:val="16"/>
                <w:szCs w:val="16"/>
                <w:color w:val="auto"/>
              </w:rPr>
              <w:t>—</w:t>
            </w:r>
          </w:p>
        </w:tc>
      </w:tr>
    </w:tbl>
    <w:p>
      <w:pPr>
        <w:spacing w:after="0" w:line="189"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1"/>
          <w:szCs w:val="21"/>
          <w:b w:val="1"/>
          <w:bCs w:val="1"/>
          <w:color w:val="auto"/>
        </w:rPr>
        <w:t>DEFAULT UPON SENIOR SECURITIES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None.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4.MINE SAFETY DISCLOSURES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5.OTHER INFORMATION</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59" w:name="page60"/>
    <w:bookmarkEnd w:id="59"/>
    <w:p>
      <w:pPr>
        <w:spacing w:after="0"/>
        <w:rPr>
          <w:sz w:val="20"/>
          <w:szCs w:val="20"/>
          <w:color w:val="auto"/>
        </w:rPr>
      </w:pPr>
      <w:r>
        <w:rPr>
          <w:rFonts w:ascii="Arial" w:cs="Arial" w:eastAsia="Arial" w:hAnsi="Arial"/>
          <w:sz w:val="22"/>
          <w:szCs w:val="22"/>
          <w:b w:val="1"/>
          <w:bCs w:val="1"/>
          <w:color w:val="auto"/>
        </w:rPr>
        <w:t>ITEM 6.EXHIBITS</w:t>
      </w:r>
    </w:p>
    <w:p>
      <w:pPr>
        <w:spacing w:after="0" w:line="260" w:lineRule="exact"/>
        <w:rPr>
          <w:sz w:val="20"/>
          <w:szCs w:val="20"/>
          <w:color w:val="auto"/>
        </w:rPr>
      </w:pPr>
    </w:p>
    <w:p>
      <w:pPr>
        <w:ind w:left="1160" w:right="340" w:hanging="804"/>
        <w:spacing w:after="0" w:line="286" w:lineRule="auto"/>
        <w:tabs>
          <w:tab w:leader="none" w:pos="1140" w:val="left"/>
        </w:tabs>
        <w:rPr>
          <w:rFonts w:ascii="Arial" w:cs="Arial" w:eastAsia="Arial" w:hAnsi="Arial"/>
          <w:sz w:val="17"/>
          <w:szCs w:val="17"/>
          <w:u w:val="single" w:color="auto"/>
          <w:color w:val="0000EE"/>
        </w:rPr>
      </w:pPr>
      <w:r>
        <w:rPr>
          <w:rFonts w:ascii="Arial" w:cs="Arial" w:eastAsia="Arial" w:hAnsi="Arial"/>
          <w:sz w:val="18"/>
          <w:szCs w:val="18"/>
          <w:color w:val="auto"/>
        </w:rPr>
        <w:t>4.1*</w:t>
      </w:r>
      <w:r>
        <w:rPr>
          <w:sz w:val="20"/>
          <w:szCs w:val="20"/>
          <w:color w:val="auto"/>
        </w:rPr>
        <w:tab/>
      </w:r>
      <w:hyperlink r:id="rId81">
        <w:r>
          <w:rPr>
            <w:rFonts w:ascii="Arial" w:cs="Arial" w:eastAsia="Arial" w:hAnsi="Arial"/>
            <w:sz w:val="17"/>
            <w:szCs w:val="17"/>
            <w:u w:val="single" w:color="auto"/>
            <w:color w:val="0000EE"/>
          </w:rPr>
          <w:t>Registration Rights Agreement, dated October 5, 2022, by and among SEACOR Marine Holdings Inc. and the holders of the New</w:t>
        </w:r>
      </w:hyperlink>
      <w:r>
        <w:rPr>
          <w:rFonts w:ascii="Arial" w:cs="Arial" w:eastAsia="Arial" w:hAnsi="Arial"/>
          <w:sz w:val="17"/>
          <w:szCs w:val="17"/>
          <w:u w:val="single" w:color="auto"/>
          <w:color w:val="0000EE"/>
        </w:rPr>
        <w:t xml:space="preserve"> </w:t>
      </w:r>
      <w:hyperlink r:id="rId81">
        <w:r>
          <w:rPr>
            <w:rFonts w:ascii="Arial" w:cs="Arial" w:eastAsia="Arial" w:hAnsi="Arial"/>
            <w:sz w:val="17"/>
            <w:szCs w:val="17"/>
            <w:u w:val="single" w:color="auto"/>
            <w:color w:val="0000EE"/>
          </w:rPr>
          <w:t>Convertible Notes from time-to-time party thereto (incorporated herein by reference to Exhibit 4.1 of SEACOR Marine Holdings Inc.’s</w:t>
        </w:r>
      </w:hyperlink>
      <w:r>
        <w:rPr>
          <w:rFonts w:ascii="Arial" w:cs="Arial" w:eastAsia="Arial" w:hAnsi="Arial"/>
          <w:sz w:val="17"/>
          <w:szCs w:val="17"/>
          <w:u w:val="single" w:color="auto"/>
          <w:color w:val="0000EE"/>
        </w:rPr>
        <w:t xml:space="preserve"> </w:t>
      </w:r>
      <w:hyperlink r:id="rId81">
        <w:r>
          <w:rPr>
            <w:rFonts w:ascii="Arial" w:cs="Arial" w:eastAsia="Arial" w:hAnsi="Arial"/>
            <w:sz w:val="17"/>
            <w:szCs w:val="17"/>
            <w:u w:val="single" w:color="auto"/>
            <w:color w:val="0000EE"/>
          </w:rPr>
          <w:t>Current Report on Form 8-K filed with the Commission on October 5, 2022 (SEC File No. 001-37966))</w:t>
        </w:r>
        <w:r>
          <w:rPr>
            <w:rFonts w:ascii="Arial" w:cs="Arial" w:eastAsia="Arial" w:hAnsi="Arial"/>
            <w:sz w:val="17"/>
            <w:szCs w:val="17"/>
            <w:u w:val="single" w:color="auto"/>
            <w:color w:val="000000"/>
          </w:rPr>
          <w:t>.</w:t>
        </w:r>
      </w:hyperlink>
    </w:p>
    <w:p>
      <w:pPr>
        <w:spacing w:after="0" w:line="71" w:lineRule="exact"/>
        <w:rPr>
          <w:rFonts w:ascii="Arial" w:cs="Arial" w:eastAsia="Arial" w:hAnsi="Arial"/>
          <w:sz w:val="17"/>
          <w:szCs w:val="17"/>
          <w:u w:val="single" w:color="auto"/>
          <w:color w:val="0000EE"/>
        </w:rPr>
      </w:pPr>
    </w:p>
    <w:p>
      <w:pPr>
        <w:ind w:left="1160" w:right="200" w:hanging="849"/>
        <w:spacing w:after="0" w:line="279" w:lineRule="auto"/>
        <w:tabs>
          <w:tab w:leader="none" w:pos="1140" w:val="left"/>
        </w:tabs>
        <w:rPr>
          <w:rFonts w:ascii="Arial" w:cs="Arial" w:eastAsia="Arial" w:hAnsi="Arial"/>
          <w:sz w:val="17"/>
          <w:szCs w:val="17"/>
          <w:u w:val="single" w:color="auto"/>
          <w:color w:val="0000EE"/>
        </w:rPr>
      </w:pPr>
      <w:r>
        <w:rPr>
          <w:rFonts w:ascii="Arial" w:cs="Arial" w:eastAsia="Arial" w:hAnsi="Arial"/>
          <w:sz w:val="18"/>
          <w:szCs w:val="18"/>
          <w:color w:val="auto"/>
        </w:rPr>
        <w:t>10.1*</w:t>
      </w:r>
      <w:r>
        <w:rPr>
          <w:sz w:val="20"/>
          <w:szCs w:val="20"/>
          <w:color w:val="auto"/>
        </w:rPr>
        <w:tab/>
      </w:r>
      <w:hyperlink r:id="rId82">
        <w:r>
          <w:rPr>
            <w:rFonts w:ascii="Arial" w:cs="Arial" w:eastAsia="Arial" w:hAnsi="Arial"/>
            <w:sz w:val="17"/>
            <w:szCs w:val="17"/>
            <w:u w:val="single" w:color="auto"/>
            <w:color w:val="0000EE"/>
          </w:rPr>
          <w:t>Framework Agreement, dated September 29, 2022, by and among, SEACOR Marine Holdings Inc., SEACOR Marine LLC, SEACOR</w:t>
        </w:r>
      </w:hyperlink>
      <w:r>
        <w:rPr>
          <w:rFonts w:ascii="Arial" w:cs="Arial" w:eastAsia="Arial" w:hAnsi="Arial"/>
          <w:sz w:val="17"/>
          <w:szCs w:val="17"/>
          <w:u w:val="single" w:color="auto"/>
          <w:color w:val="0000EE"/>
        </w:rPr>
        <w:t xml:space="preserve"> </w:t>
      </w:r>
      <w:hyperlink r:id="rId82">
        <w:r>
          <w:rPr>
            <w:rFonts w:ascii="Arial" w:cs="Arial" w:eastAsia="Arial" w:hAnsi="Arial"/>
            <w:sz w:val="17"/>
            <w:szCs w:val="17"/>
            <w:u w:val="single" w:color="auto"/>
            <w:color w:val="0000EE"/>
          </w:rPr>
          <w:t>Offshore LLC, SEACOR Marine Capital Inc., Operadora de Transportes Maritimos, S.A. de C.V., CME Drillship Holdings DAC, and</w:t>
        </w:r>
      </w:hyperlink>
      <w:r>
        <w:rPr>
          <w:rFonts w:ascii="Arial" w:cs="Arial" w:eastAsia="Arial" w:hAnsi="Arial"/>
          <w:sz w:val="17"/>
          <w:szCs w:val="17"/>
          <w:u w:val="single" w:color="auto"/>
          <w:color w:val="0000EE"/>
        </w:rPr>
        <w:t xml:space="preserve"> </w:t>
      </w:r>
      <w:hyperlink r:id="rId82">
        <w:r>
          <w:rPr>
            <w:rFonts w:ascii="Arial" w:cs="Arial" w:eastAsia="Arial" w:hAnsi="Arial"/>
            <w:sz w:val="17"/>
            <w:szCs w:val="17"/>
            <w:u w:val="single" w:color="auto"/>
            <w:color w:val="0000EE"/>
          </w:rPr>
          <w:t>Offshore Vessels Holding, S.A.P.I. de C.V. (incorporated herein by reference to Exhibit 10.1 of SEACOR Marine Holdings Inc.’s Current</w:t>
        </w:r>
      </w:hyperlink>
      <w:r>
        <w:rPr>
          <w:rFonts w:ascii="Arial" w:cs="Arial" w:eastAsia="Arial" w:hAnsi="Arial"/>
          <w:sz w:val="17"/>
          <w:szCs w:val="17"/>
          <w:u w:val="single" w:color="auto"/>
          <w:color w:val="0000EE"/>
        </w:rPr>
        <w:t xml:space="preserve"> </w:t>
      </w:r>
      <w:hyperlink r:id="rId82">
        <w:r>
          <w:rPr>
            <w:rFonts w:ascii="Arial" w:cs="Arial" w:eastAsia="Arial" w:hAnsi="Arial"/>
            <w:sz w:val="17"/>
            <w:szCs w:val="17"/>
            <w:u w:val="single" w:color="auto"/>
            <w:color w:val="0000EE"/>
          </w:rPr>
          <w:t>Report on Form 8-K filed with the Commission on October 5, 2022 (SEC File No. 001-37966)).</w:t>
        </w:r>
      </w:hyperlink>
    </w:p>
    <w:p>
      <w:pPr>
        <w:spacing w:after="0" w:line="77" w:lineRule="exact"/>
        <w:rPr>
          <w:rFonts w:ascii="Arial" w:cs="Arial" w:eastAsia="Arial" w:hAnsi="Arial"/>
          <w:sz w:val="17"/>
          <w:szCs w:val="17"/>
          <w:u w:val="single" w:color="auto"/>
          <w:color w:val="0000EE"/>
        </w:rPr>
      </w:pPr>
    </w:p>
    <w:p>
      <w:pPr>
        <w:ind w:left="1160" w:right="180" w:hanging="849"/>
        <w:spacing w:after="0" w:line="259" w:lineRule="auto"/>
        <w:tabs>
          <w:tab w:leader="none" w:pos="114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83">
        <w:r>
          <w:rPr>
            <w:rFonts w:ascii="Arial" w:cs="Arial" w:eastAsia="Arial" w:hAnsi="Arial"/>
            <w:sz w:val="18"/>
            <w:szCs w:val="18"/>
            <w:u w:val="single" w:color="auto"/>
            <w:color w:val="0000EE"/>
          </w:rPr>
          <w:t>Third Amended and Restated Senior Secured Term Loan Credit Facility Agreement, dated as of September 29, 2022, by and among</w:t>
        </w:r>
      </w:hyperlink>
      <w:r>
        <w:rPr>
          <w:rFonts w:ascii="Arial" w:cs="Arial" w:eastAsia="Arial" w:hAnsi="Arial"/>
          <w:sz w:val="18"/>
          <w:szCs w:val="18"/>
          <w:u w:val="single" w:color="auto"/>
          <w:color w:val="0000EE"/>
        </w:rPr>
        <w:t xml:space="preserve"> </w:t>
      </w:r>
      <w:hyperlink r:id="rId83">
        <w:r>
          <w:rPr>
            <w:rFonts w:ascii="Arial" w:cs="Arial" w:eastAsia="Arial" w:hAnsi="Arial"/>
            <w:sz w:val="18"/>
            <w:szCs w:val="18"/>
            <w:u w:val="single" w:color="auto"/>
            <w:color w:val="0000EE"/>
          </w:rPr>
          <w:t>Mantenimiento Express Maritimo, S.A.P.I. de C.V., SEACOR Marine Capital Inc., and DNB Bank ASA, New York Branch (incorporated</w:t>
        </w:r>
      </w:hyperlink>
      <w:r>
        <w:rPr>
          <w:rFonts w:ascii="Arial" w:cs="Arial" w:eastAsia="Arial" w:hAnsi="Arial"/>
          <w:sz w:val="18"/>
          <w:szCs w:val="18"/>
          <w:u w:val="single" w:color="auto"/>
          <w:color w:val="0000EE"/>
        </w:rPr>
        <w:t xml:space="preserve"> </w:t>
      </w:r>
      <w:hyperlink r:id="rId83">
        <w:r>
          <w:rPr>
            <w:rFonts w:ascii="Arial" w:cs="Arial" w:eastAsia="Arial" w:hAnsi="Arial"/>
            <w:sz w:val="18"/>
            <w:szCs w:val="18"/>
            <w:u w:val="single" w:color="auto"/>
            <w:color w:val="0000EE"/>
          </w:rPr>
          <w:t>herein by reference to Exhibit 10.2 of SEACOR Marine Holdings Inc.’s Current Report on Form 8-K filed with the Commission on</w:t>
        </w:r>
      </w:hyperlink>
      <w:r>
        <w:rPr>
          <w:rFonts w:ascii="Arial" w:cs="Arial" w:eastAsia="Arial" w:hAnsi="Arial"/>
          <w:sz w:val="18"/>
          <w:szCs w:val="18"/>
          <w:u w:val="single" w:color="auto"/>
          <w:color w:val="0000EE"/>
        </w:rPr>
        <w:t xml:space="preserve"> </w:t>
      </w:r>
      <w:hyperlink r:id="rId83">
        <w:r>
          <w:rPr>
            <w:rFonts w:ascii="Arial" w:cs="Arial" w:eastAsia="Arial" w:hAnsi="Arial"/>
            <w:sz w:val="18"/>
            <w:szCs w:val="18"/>
            <w:u w:val="single" w:color="auto"/>
            <w:color w:val="0000EE"/>
          </w:rPr>
          <w:t>October 5, 2022 (SEC File No. 001-37966)).</w:t>
        </w:r>
      </w:hyperlink>
    </w:p>
    <w:p>
      <w:pPr>
        <w:spacing w:after="0" w:line="92" w:lineRule="exact"/>
        <w:rPr>
          <w:rFonts w:ascii="Arial" w:cs="Arial" w:eastAsia="Arial" w:hAnsi="Arial"/>
          <w:sz w:val="18"/>
          <w:szCs w:val="18"/>
          <w:u w:val="single" w:color="auto"/>
          <w:color w:val="0000EE"/>
        </w:rPr>
      </w:pPr>
    </w:p>
    <w:p>
      <w:pPr>
        <w:ind w:left="1160" w:right="580" w:hanging="849"/>
        <w:spacing w:after="0" w:line="259" w:lineRule="auto"/>
        <w:tabs>
          <w:tab w:leader="none" w:pos="114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84">
        <w:r>
          <w:rPr>
            <w:rFonts w:ascii="Arial" w:cs="Arial" w:eastAsia="Arial" w:hAnsi="Arial"/>
            <w:sz w:val="18"/>
            <w:szCs w:val="18"/>
            <w:u w:val="single" w:color="auto"/>
            <w:color w:val="0000EE"/>
          </w:rPr>
          <w:t>Amendment No. 5 to Credit Agreement, dated as of September 29, 2022, by and among SEACOR Marine Foreign Holdings Inc.,</w:t>
        </w:r>
      </w:hyperlink>
      <w:r>
        <w:rPr>
          <w:rFonts w:ascii="Arial" w:cs="Arial" w:eastAsia="Arial" w:hAnsi="Arial"/>
          <w:sz w:val="18"/>
          <w:szCs w:val="18"/>
          <w:u w:val="single" w:color="auto"/>
          <w:color w:val="0000EE"/>
        </w:rPr>
        <w:t xml:space="preserve"> </w:t>
      </w:r>
      <w:hyperlink r:id="rId84">
        <w:r>
          <w:rPr>
            <w:rFonts w:ascii="Arial" w:cs="Arial" w:eastAsia="Arial" w:hAnsi="Arial"/>
            <w:sz w:val="18"/>
            <w:szCs w:val="18"/>
            <w:u w:val="single" w:color="auto"/>
            <w:color w:val="0000EE"/>
          </w:rPr>
          <w:t>SEACOR Marine Holdings Inc., DNB Bank ASA, New York Branch, and the other entities identified on the signature pages thereto</w:t>
        </w:r>
      </w:hyperlink>
      <w:r>
        <w:rPr>
          <w:rFonts w:ascii="Arial" w:cs="Arial" w:eastAsia="Arial" w:hAnsi="Arial"/>
          <w:sz w:val="18"/>
          <w:szCs w:val="18"/>
          <w:u w:val="single" w:color="auto"/>
          <w:color w:val="0000EE"/>
        </w:rPr>
        <w:t xml:space="preserve"> </w:t>
      </w:r>
      <w:hyperlink r:id="rId84">
        <w:r>
          <w:rPr>
            <w:rFonts w:ascii="Arial" w:cs="Arial" w:eastAsia="Arial" w:hAnsi="Arial"/>
            <w:sz w:val="18"/>
            <w:szCs w:val="18"/>
            <w:u w:val="single" w:color="auto"/>
            <w:color w:val="0000EE"/>
          </w:rPr>
          <w:t>(incorporated herein by reference to Exhibit 10.3 of SEACOR Marine Holdings Inc.’s Current Report on Form 8-K filed with the</w:t>
        </w:r>
      </w:hyperlink>
      <w:r>
        <w:rPr>
          <w:rFonts w:ascii="Arial" w:cs="Arial" w:eastAsia="Arial" w:hAnsi="Arial"/>
          <w:sz w:val="18"/>
          <w:szCs w:val="18"/>
          <w:u w:val="single" w:color="auto"/>
          <w:color w:val="0000EE"/>
        </w:rPr>
        <w:t xml:space="preserve"> </w:t>
      </w:r>
      <w:hyperlink r:id="rId84">
        <w:r>
          <w:rPr>
            <w:rFonts w:ascii="Arial" w:cs="Arial" w:eastAsia="Arial" w:hAnsi="Arial"/>
            <w:sz w:val="18"/>
            <w:szCs w:val="18"/>
            <w:u w:val="single" w:color="auto"/>
            <w:color w:val="0000EE"/>
          </w:rPr>
          <w:t>Commission on October 5, 2022 (SEC File No. 001-37966)).</w:t>
        </w:r>
      </w:hyperlink>
    </w:p>
    <w:p>
      <w:pPr>
        <w:spacing w:after="0" w:line="92" w:lineRule="exact"/>
        <w:rPr>
          <w:rFonts w:ascii="Arial" w:cs="Arial" w:eastAsia="Arial" w:hAnsi="Arial"/>
          <w:sz w:val="18"/>
          <w:szCs w:val="18"/>
          <w:u w:val="single" w:color="auto"/>
          <w:color w:val="0000EE"/>
        </w:rPr>
      </w:pPr>
    </w:p>
    <w:p>
      <w:pPr>
        <w:jc w:val="both"/>
        <w:ind w:left="1160" w:right="40" w:hanging="849"/>
        <w:spacing w:after="0" w:line="263" w:lineRule="auto"/>
        <w:tabs>
          <w:tab w:leader="none" w:pos="114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85">
        <w:r>
          <w:rPr>
            <w:rFonts w:ascii="Arial" w:cs="Arial" w:eastAsia="Arial" w:hAnsi="Arial"/>
            <w:sz w:val="18"/>
            <w:szCs w:val="18"/>
            <w:u w:val="single" w:color="auto"/>
            <w:color w:val="0000EE"/>
          </w:rPr>
          <w:t>Second Amended and Restated Guaranty, dated as of September 29, 2022, by SEACOR Marine Holdings Inc. in favor of DNB Bank ASA,</w:t>
        </w:r>
      </w:hyperlink>
      <w:r>
        <w:rPr>
          <w:rFonts w:ascii="Arial" w:cs="Arial" w:eastAsia="Arial" w:hAnsi="Arial"/>
          <w:sz w:val="18"/>
          <w:szCs w:val="18"/>
          <w:u w:val="single" w:color="auto"/>
          <w:color w:val="0000EE"/>
        </w:rPr>
        <w:t xml:space="preserve"> </w:t>
      </w:r>
      <w:hyperlink r:id="rId85">
        <w:r>
          <w:rPr>
            <w:rFonts w:ascii="Arial" w:cs="Arial" w:eastAsia="Arial" w:hAnsi="Arial"/>
            <w:sz w:val="18"/>
            <w:szCs w:val="18"/>
            <w:u w:val="single" w:color="auto"/>
            <w:color w:val="0000EE"/>
          </w:rPr>
          <w:t>New York Branch, as security trustee (incorporated herein by reference to Exhibit 10.4 of SEACOR Marine Holdings Inc.’s Current Report</w:t>
        </w:r>
      </w:hyperlink>
      <w:r>
        <w:rPr>
          <w:rFonts w:ascii="Arial" w:cs="Arial" w:eastAsia="Arial" w:hAnsi="Arial"/>
          <w:sz w:val="18"/>
          <w:szCs w:val="18"/>
          <w:u w:val="single" w:color="auto"/>
          <w:color w:val="0000EE"/>
        </w:rPr>
        <w:t xml:space="preserve"> </w:t>
      </w:r>
      <w:hyperlink r:id="rId85">
        <w:r>
          <w:rPr>
            <w:rFonts w:ascii="Arial" w:cs="Arial" w:eastAsia="Arial" w:hAnsi="Arial"/>
            <w:sz w:val="18"/>
            <w:szCs w:val="18"/>
            <w:u w:val="single" w:color="auto"/>
            <w:color w:val="0000EE"/>
          </w:rPr>
          <w:t>on Form 8-K filed with the Commission on October 5, 2022 (SEC File No. 001-37966)).</w:t>
        </w:r>
      </w:hyperlink>
    </w:p>
    <w:p>
      <w:pPr>
        <w:spacing w:after="0" w:line="89" w:lineRule="exact"/>
        <w:rPr>
          <w:rFonts w:ascii="Arial" w:cs="Arial" w:eastAsia="Arial" w:hAnsi="Arial"/>
          <w:sz w:val="18"/>
          <w:szCs w:val="18"/>
          <w:u w:val="single" w:color="auto"/>
          <w:color w:val="0000EE"/>
        </w:rPr>
      </w:pPr>
    </w:p>
    <w:p>
      <w:pPr>
        <w:ind w:left="1160" w:right="140" w:hanging="849"/>
        <w:spacing w:after="0" w:line="259" w:lineRule="auto"/>
        <w:tabs>
          <w:tab w:leader="none" w:pos="114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86">
        <w:r>
          <w:rPr>
            <w:rFonts w:ascii="Arial" w:cs="Arial" w:eastAsia="Arial" w:hAnsi="Arial"/>
            <w:sz w:val="18"/>
            <w:szCs w:val="18"/>
            <w:u w:val="single" w:color="auto"/>
            <w:color w:val="0000EE"/>
          </w:rPr>
          <w:t>Exchange Agreement (Guaranteed Notes), dated as of October 5, 2022, by and among SEACOR Marine Holdings Inc., Falcon Global</w:t>
        </w:r>
      </w:hyperlink>
      <w:r>
        <w:rPr>
          <w:rFonts w:ascii="Arial" w:cs="Arial" w:eastAsia="Arial" w:hAnsi="Arial"/>
          <w:sz w:val="18"/>
          <w:szCs w:val="18"/>
          <w:u w:val="single" w:color="auto"/>
          <w:color w:val="0000EE"/>
        </w:rPr>
        <w:t xml:space="preserve"> </w:t>
      </w:r>
      <w:hyperlink r:id="rId86">
        <w:r>
          <w:rPr>
            <w:rFonts w:ascii="Arial" w:cs="Arial" w:eastAsia="Arial" w:hAnsi="Arial"/>
            <w:sz w:val="18"/>
            <w:szCs w:val="18"/>
            <w:u w:val="single" w:color="auto"/>
            <w:color w:val="0000EE"/>
          </w:rPr>
          <w:t>Robert LLC and CEOF II DE I AIV, L.P., CEOF II Coinvestment (DE), L.P. and CEOF II Coinvestment B (DE), L.P. (incorporated herein</w:t>
        </w:r>
      </w:hyperlink>
      <w:r>
        <w:rPr>
          <w:rFonts w:ascii="Arial" w:cs="Arial" w:eastAsia="Arial" w:hAnsi="Arial"/>
          <w:sz w:val="18"/>
          <w:szCs w:val="18"/>
          <w:u w:val="single" w:color="auto"/>
          <w:color w:val="0000EE"/>
        </w:rPr>
        <w:t xml:space="preserve"> </w:t>
      </w:r>
      <w:hyperlink r:id="rId86">
        <w:r>
          <w:rPr>
            <w:rFonts w:ascii="Arial" w:cs="Arial" w:eastAsia="Arial" w:hAnsi="Arial"/>
            <w:sz w:val="18"/>
            <w:szCs w:val="18"/>
            <w:u w:val="single" w:color="auto"/>
            <w:color w:val="0000EE"/>
          </w:rPr>
          <w:t>by reference to Exhibit 10.5 of SEACOR Marine Holdings Inc.’s Current Report on Form 8-K filed with the Commission on October 5,</w:t>
        </w:r>
      </w:hyperlink>
      <w:r>
        <w:rPr>
          <w:rFonts w:ascii="Arial" w:cs="Arial" w:eastAsia="Arial" w:hAnsi="Arial"/>
          <w:sz w:val="18"/>
          <w:szCs w:val="18"/>
          <w:u w:val="single" w:color="auto"/>
          <w:color w:val="0000EE"/>
        </w:rPr>
        <w:t xml:space="preserve"> </w:t>
      </w:r>
      <w:hyperlink r:id="rId86">
        <w:r>
          <w:rPr>
            <w:rFonts w:ascii="Arial" w:cs="Arial" w:eastAsia="Arial" w:hAnsi="Arial"/>
            <w:sz w:val="18"/>
            <w:szCs w:val="18"/>
            <w:u w:val="single" w:color="auto"/>
            <w:color w:val="0000EE"/>
          </w:rPr>
          <w:t>2022 (SEC File No. 001-37966)).</w:t>
        </w:r>
      </w:hyperlink>
    </w:p>
    <w:p>
      <w:pPr>
        <w:spacing w:after="0" w:line="92" w:lineRule="exact"/>
        <w:rPr>
          <w:rFonts w:ascii="Arial" w:cs="Arial" w:eastAsia="Arial" w:hAnsi="Arial"/>
          <w:sz w:val="18"/>
          <w:szCs w:val="18"/>
          <w:u w:val="single" w:color="auto"/>
          <w:color w:val="0000EE"/>
        </w:rPr>
      </w:pPr>
    </w:p>
    <w:p>
      <w:pPr>
        <w:ind w:left="1160" w:right="120" w:hanging="849"/>
        <w:spacing w:after="0" w:line="259" w:lineRule="auto"/>
        <w:tabs>
          <w:tab w:leader="none" w:pos="114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87">
        <w:r>
          <w:rPr>
            <w:rFonts w:ascii="Arial" w:cs="Arial" w:eastAsia="Arial" w:hAnsi="Arial"/>
            <w:sz w:val="18"/>
            <w:szCs w:val="18"/>
            <w:u w:val="single" w:color="auto"/>
            <w:color w:val="0000EE"/>
          </w:rPr>
          <w:t>Exchange Agreement (New Convertible Notes), dated as of October 5, 2022, by and among SEACOR Marine Holdings Inc., and CEOF II</w:t>
        </w:r>
      </w:hyperlink>
      <w:r>
        <w:rPr>
          <w:rFonts w:ascii="Arial" w:cs="Arial" w:eastAsia="Arial" w:hAnsi="Arial"/>
          <w:sz w:val="18"/>
          <w:szCs w:val="18"/>
          <w:u w:val="single" w:color="auto"/>
          <w:color w:val="0000EE"/>
        </w:rPr>
        <w:t xml:space="preserve"> </w:t>
      </w:r>
      <w:hyperlink r:id="rId87">
        <w:r>
          <w:rPr>
            <w:rFonts w:ascii="Arial" w:cs="Arial" w:eastAsia="Arial" w:hAnsi="Arial"/>
            <w:sz w:val="18"/>
            <w:szCs w:val="18"/>
            <w:u w:val="single" w:color="auto"/>
            <w:color w:val="0000EE"/>
          </w:rPr>
          <w:t>DE I AIV, L.P., CEOF II Coinvestment (DE), L.P. and CEOF II Coinvestment B (DE), L.P. (incorporated herein by reference to Exhibit</w:t>
        </w:r>
      </w:hyperlink>
      <w:r>
        <w:rPr>
          <w:rFonts w:ascii="Arial" w:cs="Arial" w:eastAsia="Arial" w:hAnsi="Arial"/>
          <w:sz w:val="18"/>
          <w:szCs w:val="18"/>
          <w:u w:val="single" w:color="auto"/>
          <w:color w:val="0000EE"/>
        </w:rPr>
        <w:t xml:space="preserve"> </w:t>
      </w:r>
      <w:hyperlink r:id="rId87">
        <w:r>
          <w:rPr>
            <w:rFonts w:ascii="Arial" w:cs="Arial" w:eastAsia="Arial" w:hAnsi="Arial"/>
            <w:sz w:val="18"/>
            <w:szCs w:val="18"/>
            <w:u w:val="single" w:color="auto"/>
            <w:color w:val="0000EE"/>
          </w:rPr>
          <w:t>10.6 of SEACOR Marine Holdings Inc.’s Current Report on Form 8-K filed with the Commission on October 5, 2022 (SEC File No. 001-</w:t>
        </w:r>
      </w:hyperlink>
      <w:hyperlink r:id="rId87">
        <w:r>
          <w:rPr>
            <w:rFonts w:ascii="Arial" w:cs="Arial" w:eastAsia="Arial" w:hAnsi="Arial"/>
            <w:sz w:val="18"/>
            <w:szCs w:val="18"/>
            <w:u w:val="single" w:color="auto"/>
            <w:color w:val="0000EE"/>
          </w:rPr>
          <w:t>37966)).</w:t>
        </w:r>
      </w:hyperlink>
    </w:p>
    <w:p>
      <w:pPr>
        <w:spacing w:after="0" w:line="92" w:lineRule="exact"/>
        <w:rPr>
          <w:rFonts w:ascii="Arial" w:cs="Arial" w:eastAsia="Arial" w:hAnsi="Arial"/>
          <w:sz w:val="18"/>
          <w:szCs w:val="18"/>
          <w:u w:val="single" w:color="auto"/>
          <w:color w:val="0000EE"/>
        </w:rPr>
      </w:pPr>
    </w:p>
    <w:p>
      <w:pPr>
        <w:ind w:left="1160" w:right="720" w:hanging="804"/>
        <w:spacing w:after="0" w:line="277" w:lineRule="auto"/>
        <w:tabs>
          <w:tab w:leader="none" w:pos="11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u w:val="single" w:color="auto"/>
          <w:color w:val="0000EE"/>
        </w:rPr>
        <w:t>Certification by the Principal Executive Officer pursuant to Rule 13a-14(a) and Rule 15d-14(a) of the Securities Exchange Act, as amended.</w:t>
      </w:r>
    </w:p>
    <w:p>
      <w:pPr>
        <w:spacing w:after="0" w:line="76" w:lineRule="exact"/>
        <w:rPr>
          <w:rFonts w:ascii="Arial" w:cs="Arial" w:eastAsia="Arial" w:hAnsi="Arial"/>
          <w:sz w:val="18"/>
          <w:szCs w:val="18"/>
          <w:u w:val="single" w:color="auto"/>
          <w:color w:val="0000EE"/>
        </w:rPr>
      </w:pPr>
    </w:p>
    <w:p>
      <w:pPr>
        <w:ind w:left="360"/>
        <w:spacing w:after="0"/>
        <w:tabs>
          <w:tab w:leader="none" w:pos="11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0000EE"/>
        </w:rPr>
        <w:t>Certification by the Principal Financial Officer pursuant to Rule 13a-14(a) and Rule 15d-14(a) of the Securities Exchange Act, as amended.</w:t>
      </w:r>
    </w:p>
    <w:p>
      <w:pPr>
        <w:spacing w:after="0" w:line="131" w:lineRule="exact"/>
        <w:rPr>
          <w:rFonts w:ascii="Arial" w:cs="Arial" w:eastAsia="Arial" w:hAnsi="Arial"/>
          <w:sz w:val="18"/>
          <w:szCs w:val="18"/>
          <w:u w:val="single" w:color="auto"/>
          <w:color w:val="0000EE"/>
        </w:rPr>
      </w:pPr>
    </w:p>
    <w:p>
      <w:pPr>
        <w:ind w:left="1160" w:right="340" w:hanging="743"/>
        <w:spacing w:after="0" w:line="277" w:lineRule="auto"/>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0000EE"/>
        </w:rPr>
        <w:t>Certification by the Principal Executive Officer and Chief Financial Officer pursuant to 18 U.S.C. Section 1350, as adopted pursuant to Section 906 of the Sarbanes-Oxley Act of 2002.</w:t>
      </w:r>
    </w:p>
    <w:p>
      <w:pPr>
        <w:spacing w:after="0" w:line="76" w:lineRule="exact"/>
        <w:rPr>
          <w:rFonts w:ascii="Arial" w:cs="Arial" w:eastAsia="Arial" w:hAnsi="Arial"/>
          <w:sz w:val="18"/>
          <w:szCs w:val="18"/>
          <w:u w:val="single" w:color="auto"/>
          <w:color w:val="0000EE"/>
        </w:rPr>
      </w:pPr>
    </w:p>
    <w:tbl>
      <w:tblPr>
        <w:tblLayout w:type="fixed"/>
        <w:tblInd w:w="80" w:type="dxa"/>
        <w:tblCellMar>
          <w:top w:w="0" w:type="dxa"/>
          <w:left w:w="0" w:type="dxa"/>
          <w:bottom w:w="0" w:type="dxa"/>
          <w:right w:w="0" w:type="dxa"/>
        </w:tblCellMar>
      </w:tblPr>
      <w:tr>
        <w:trPr>
          <w:trHeight w:val="216"/>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8"/>
              </w:rPr>
              <w:t>101.INS**</w:t>
            </w:r>
          </w:p>
        </w:tc>
        <w:tc>
          <w:tcPr>
            <w:tcW w:w="10180" w:type="dxa"/>
            <w:vAlign w:val="bottom"/>
          </w:tcPr>
          <w:p>
            <w:pPr>
              <w:ind w:left="120"/>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r>
      <w:tr>
        <w:trPr>
          <w:trHeight w:val="230"/>
        </w:trPr>
        <w:tc>
          <w:tcPr>
            <w:tcW w:w="960" w:type="dxa"/>
            <w:vAlign w:val="bottom"/>
          </w:tcPr>
          <w:p>
            <w:pPr>
              <w:spacing w:after="0"/>
              <w:rPr>
                <w:sz w:val="20"/>
                <w:szCs w:val="20"/>
                <w:color w:val="auto"/>
              </w:rPr>
            </w:pPr>
          </w:p>
        </w:tc>
        <w:tc>
          <w:tcPr>
            <w:tcW w:w="10180" w:type="dxa"/>
            <w:vAlign w:val="bottom"/>
          </w:tcPr>
          <w:p>
            <w:pPr>
              <w:ind w:left="120"/>
              <w:spacing w:after="0"/>
              <w:rPr>
                <w:sz w:val="20"/>
                <w:szCs w:val="20"/>
                <w:color w:val="auto"/>
              </w:rPr>
            </w:pPr>
            <w:r>
              <w:rPr>
                <w:rFonts w:ascii="Arial" w:cs="Arial" w:eastAsia="Arial" w:hAnsi="Arial"/>
                <w:sz w:val="18"/>
                <w:szCs w:val="18"/>
                <w:color w:val="auto"/>
              </w:rPr>
              <w:t>within the Inline XBRL document.</w:t>
            </w:r>
          </w:p>
        </w:tc>
      </w:tr>
      <w:tr>
        <w:trPr>
          <w:trHeight w:val="338"/>
        </w:trPr>
        <w:tc>
          <w:tcPr>
            <w:tcW w:w="960" w:type="dxa"/>
            <w:vAlign w:val="bottom"/>
          </w:tcPr>
          <w:p>
            <w:pPr>
              <w:jc w:val="center"/>
              <w:ind w:right="30"/>
              <w:spacing w:after="0"/>
              <w:rPr>
                <w:sz w:val="20"/>
                <w:szCs w:val="20"/>
                <w:color w:val="auto"/>
              </w:rPr>
            </w:pPr>
            <w:r>
              <w:rPr>
                <w:rFonts w:ascii="Arial" w:cs="Arial" w:eastAsia="Arial" w:hAnsi="Arial"/>
                <w:sz w:val="18"/>
                <w:szCs w:val="18"/>
                <w:color w:val="auto"/>
                <w:w w:val="96"/>
              </w:rPr>
              <w:t>101.SCH**</w:t>
            </w:r>
          </w:p>
        </w:tc>
        <w:tc>
          <w:tcPr>
            <w:tcW w:w="10180" w:type="dxa"/>
            <w:vAlign w:val="bottom"/>
          </w:tcPr>
          <w:p>
            <w:pPr>
              <w:ind w:left="120"/>
              <w:spacing w:after="0"/>
              <w:rPr>
                <w:sz w:val="20"/>
                <w:szCs w:val="20"/>
                <w:color w:val="auto"/>
              </w:rPr>
            </w:pPr>
            <w:r>
              <w:rPr>
                <w:rFonts w:ascii="Arial" w:cs="Arial" w:eastAsia="Arial" w:hAnsi="Arial"/>
                <w:sz w:val="18"/>
                <w:szCs w:val="18"/>
                <w:color w:val="auto"/>
              </w:rPr>
              <w:t>Inline XBRL Taxonomy Extension Schema</w:t>
            </w:r>
          </w:p>
        </w:tc>
      </w:tr>
      <w:tr>
        <w:trPr>
          <w:trHeight w:val="338"/>
        </w:trPr>
        <w:tc>
          <w:tcPr>
            <w:tcW w:w="960" w:type="dxa"/>
            <w:vAlign w:val="bottom"/>
          </w:tcPr>
          <w:p>
            <w:pPr>
              <w:jc w:val="center"/>
              <w:ind w:right="10"/>
              <w:spacing w:after="0"/>
              <w:rPr>
                <w:sz w:val="20"/>
                <w:szCs w:val="20"/>
                <w:color w:val="auto"/>
              </w:rPr>
            </w:pPr>
            <w:r>
              <w:rPr>
                <w:rFonts w:ascii="Arial" w:cs="Arial" w:eastAsia="Arial" w:hAnsi="Arial"/>
                <w:sz w:val="18"/>
                <w:szCs w:val="18"/>
                <w:color w:val="auto"/>
              </w:rPr>
              <w:t>101.CAL**</w:t>
            </w:r>
          </w:p>
        </w:tc>
        <w:tc>
          <w:tcPr>
            <w:tcW w:w="10180" w:type="dxa"/>
            <w:vAlign w:val="bottom"/>
          </w:tcPr>
          <w:p>
            <w:pPr>
              <w:ind w:left="120"/>
              <w:spacing w:after="0"/>
              <w:rPr>
                <w:sz w:val="20"/>
                <w:szCs w:val="20"/>
                <w:color w:val="auto"/>
              </w:rPr>
            </w:pPr>
            <w:r>
              <w:rPr>
                <w:rFonts w:ascii="Arial" w:cs="Arial" w:eastAsia="Arial" w:hAnsi="Arial"/>
                <w:sz w:val="18"/>
                <w:szCs w:val="18"/>
                <w:color w:val="auto"/>
              </w:rPr>
              <w:t>Inline XBRL Taxonomy Extension Calculation Linkbase</w:t>
            </w:r>
          </w:p>
        </w:tc>
      </w:tr>
      <w:tr>
        <w:trPr>
          <w:trHeight w:val="338"/>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6"/>
              </w:rPr>
              <w:t>101.DEF**</w:t>
            </w:r>
          </w:p>
        </w:tc>
        <w:tc>
          <w:tcPr>
            <w:tcW w:w="10180" w:type="dxa"/>
            <w:vAlign w:val="bottom"/>
          </w:tcPr>
          <w:p>
            <w:pPr>
              <w:ind w:left="120"/>
              <w:spacing w:after="0"/>
              <w:rPr>
                <w:sz w:val="20"/>
                <w:szCs w:val="20"/>
                <w:color w:val="auto"/>
              </w:rPr>
            </w:pPr>
            <w:r>
              <w:rPr>
                <w:rFonts w:ascii="Arial" w:cs="Arial" w:eastAsia="Arial" w:hAnsi="Arial"/>
                <w:sz w:val="18"/>
                <w:szCs w:val="18"/>
                <w:color w:val="auto"/>
              </w:rPr>
              <w:t>Inline XBRL Taxonomy Extension Definition Linkbase</w:t>
            </w:r>
          </w:p>
        </w:tc>
      </w:tr>
      <w:tr>
        <w:trPr>
          <w:trHeight w:val="338"/>
        </w:trPr>
        <w:tc>
          <w:tcPr>
            <w:tcW w:w="960" w:type="dxa"/>
            <w:vAlign w:val="bottom"/>
          </w:tcPr>
          <w:p>
            <w:pPr>
              <w:jc w:val="center"/>
              <w:ind w:right="10"/>
              <w:spacing w:after="0"/>
              <w:rPr>
                <w:sz w:val="20"/>
                <w:szCs w:val="20"/>
                <w:color w:val="auto"/>
              </w:rPr>
            </w:pPr>
            <w:r>
              <w:rPr>
                <w:rFonts w:ascii="Arial" w:cs="Arial" w:eastAsia="Arial" w:hAnsi="Arial"/>
                <w:sz w:val="18"/>
                <w:szCs w:val="18"/>
                <w:color w:val="auto"/>
              </w:rPr>
              <w:t>101.LAB**</w:t>
            </w:r>
          </w:p>
        </w:tc>
        <w:tc>
          <w:tcPr>
            <w:tcW w:w="10180" w:type="dxa"/>
            <w:vAlign w:val="bottom"/>
          </w:tcPr>
          <w:p>
            <w:pPr>
              <w:ind w:left="120"/>
              <w:spacing w:after="0"/>
              <w:rPr>
                <w:sz w:val="20"/>
                <w:szCs w:val="20"/>
                <w:color w:val="auto"/>
              </w:rPr>
            </w:pPr>
            <w:r>
              <w:rPr>
                <w:rFonts w:ascii="Arial" w:cs="Arial" w:eastAsia="Arial" w:hAnsi="Arial"/>
                <w:sz w:val="18"/>
                <w:szCs w:val="18"/>
                <w:color w:val="auto"/>
              </w:rPr>
              <w:t>Inline XBRL Taxonomy Extension Label Linkbase</w:t>
            </w:r>
          </w:p>
        </w:tc>
      </w:tr>
      <w:tr>
        <w:trPr>
          <w:trHeight w:val="338"/>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5"/>
              </w:rPr>
              <w:t>101.PRE**</w:t>
            </w:r>
          </w:p>
        </w:tc>
        <w:tc>
          <w:tcPr>
            <w:tcW w:w="10180" w:type="dxa"/>
            <w:vAlign w:val="bottom"/>
          </w:tcPr>
          <w:p>
            <w:pPr>
              <w:ind w:left="120"/>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107" w:lineRule="exact"/>
        <w:rPr>
          <w:rFonts w:ascii="Arial" w:cs="Arial" w:eastAsia="Arial" w:hAnsi="Arial"/>
          <w:sz w:val="18"/>
          <w:szCs w:val="18"/>
          <w:u w:val="single" w:color="auto"/>
          <w:color w:val="0000EE"/>
        </w:rPr>
      </w:pPr>
    </w:p>
    <w:p>
      <w:pPr>
        <w:ind w:left="1160" w:right="100" w:hanging="788"/>
        <w:spacing w:after="0" w:line="277" w:lineRule="auto"/>
        <w:tabs>
          <w:tab w:leader="none" w:pos="11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cover page for the Company’s Quarterly Report on Form 10-Q for the quarter ended September 30, 2022, has been formatted in Inline XBRL.</w:t>
      </w:r>
    </w:p>
    <w:p>
      <w:pPr>
        <w:spacing w:after="0" w:line="19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Incorporated by reference.</w:t>
      </w:r>
    </w:p>
    <w:p>
      <w:pPr>
        <w:spacing w:after="0" w:line="49" w:lineRule="exact"/>
        <w:rPr>
          <w:rFonts w:ascii="Arial" w:cs="Arial" w:eastAsia="Arial" w:hAnsi="Arial"/>
          <w:sz w:val="18"/>
          <w:szCs w:val="18"/>
          <w:color w:val="auto"/>
        </w:rPr>
      </w:pPr>
    </w:p>
    <w:p>
      <w:pPr>
        <w:ind w:left="380" w:hanging="372"/>
        <w:spacing w:after="0" w:line="342" w:lineRule="auto"/>
        <w:tabs>
          <w:tab w:leader="none" w:pos="3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w:t>
      </w:r>
    </w:p>
    <w:p>
      <w:pPr>
        <w:spacing w:after="0" w:line="360"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22"/>
          <w:szCs w:val="22"/>
          <w:color w:val="auto"/>
        </w:rPr>
        <w:t>58</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tbl>
      <w:tblPr>
        <w:tblLayout w:type="fixed"/>
        <w:tblInd w:w="140" w:type="dxa"/>
        <w:tblCellMar>
          <w:top w:w="0" w:type="dxa"/>
          <w:left w:w="0" w:type="dxa"/>
          <w:bottom w:w="0" w:type="dxa"/>
          <w:right w:w="0" w:type="dxa"/>
        </w:tblCellMar>
      </w:tblPr>
      <w:tr>
        <w:trPr>
          <w:trHeight w:val="253"/>
        </w:trPr>
        <w:tc>
          <w:tcPr>
            <w:tcW w:w="56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22"/>
                <w:szCs w:val="22"/>
                <w:color w:val="auto"/>
              </w:rPr>
              <w:t>SEACOR Marine Holdings Inc.</w:t>
            </w:r>
          </w:p>
        </w:tc>
      </w:tr>
      <w:tr>
        <w:trPr>
          <w:trHeight w:val="274"/>
        </w:trPr>
        <w:tc>
          <w:tcPr>
            <w:tcW w:w="56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22"/>
                <w:szCs w:val="22"/>
                <w:color w:val="auto"/>
              </w:rPr>
              <w:t>(Registrant)</w:t>
            </w:r>
          </w:p>
        </w:tc>
      </w:tr>
      <w:tr>
        <w:trPr>
          <w:trHeight w:val="476"/>
        </w:trPr>
        <w:tc>
          <w:tcPr>
            <w:tcW w:w="560" w:type="dxa"/>
            <w:vAlign w:val="bottom"/>
          </w:tcPr>
          <w:p>
            <w:pPr>
              <w:spacing w:after="0"/>
              <w:rPr>
                <w:sz w:val="20"/>
                <w:szCs w:val="20"/>
                <w:color w:val="auto"/>
              </w:rPr>
            </w:pPr>
            <w:r>
              <w:rPr>
                <w:rFonts w:ascii="Arial" w:cs="Arial" w:eastAsia="Arial" w:hAnsi="Arial"/>
                <w:sz w:val="22"/>
                <w:szCs w:val="22"/>
                <w:color w:val="auto"/>
              </w:rPr>
              <w:t>Date:</w:t>
            </w:r>
          </w:p>
        </w:tc>
        <w:tc>
          <w:tcPr>
            <w:tcW w:w="4080" w:type="dxa"/>
            <w:vAlign w:val="bottom"/>
          </w:tcPr>
          <w:p>
            <w:pPr>
              <w:ind w:left="100"/>
              <w:spacing w:after="0"/>
              <w:rPr>
                <w:sz w:val="20"/>
                <w:szCs w:val="20"/>
                <w:color w:val="auto"/>
              </w:rPr>
            </w:pPr>
            <w:r>
              <w:rPr>
                <w:rFonts w:ascii="Arial" w:cs="Arial" w:eastAsia="Arial" w:hAnsi="Arial"/>
                <w:sz w:val="22"/>
                <w:szCs w:val="22"/>
                <w:color w:val="auto"/>
              </w:rPr>
              <w:t>November 2, 2022</w:t>
            </w:r>
          </w:p>
        </w:tc>
        <w:tc>
          <w:tcPr>
            <w:tcW w:w="3060" w:type="dxa"/>
            <w:vAlign w:val="bottom"/>
          </w:tcPr>
          <w:p>
            <w:pPr>
              <w:ind w:left="2360"/>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John Gellert</w:t>
            </w:r>
          </w:p>
        </w:tc>
      </w:tr>
      <w:tr>
        <w:trPr>
          <w:trHeight w:val="215"/>
        </w:trPr>
        <w:tc>
          <w:tcPr>
            <w:tcW w:w="5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400" w:type="dxa"/>
            <w:vAlign w:val="bottom"/>
          </w:tcPr>
          <w:p>
            <w:pPr>
              <w:spacing w:after="0" w:line="216" w:lineRule="exact"/>
              <w:rPr>
                <w:sz w:val="20"/>
                <w:szCs w:val="20"/>
                <w:color w:val="auto"/>
              </w:rPr>
            </w:pPr>
            <w:r>
              <w:rPr>
                <w:rFonts w:ascii="Arial" w:cs="Arial" w:eastAsia="Arial" w:hAnsi="Arial"/>
                <w:sz w:val="22"/>
                <w:szCs w:val="22"/>
                <w:color w:val="auto"/>
              </w:rPr>
              <w:t xml:space="preserve">John Gellert, </w:t>
            </w:r>
            <w:r>
              <w:rPr>
                <w:rFonts w:ascii="Arial" w:cs="Arial" w:eastAsia="Arial" w:hAnsi="Arial"/>
                <w:sz w:val="22"/>
                <w:szCs w:val="22"/>
                <w:i w:val="1"/>
                <w:iCs w:val="1"/>
                <w:color w:val="auto"/>
              </w:rPr>
              <w:t>President,</w:t>
            </w:r>
          </w:p>
        </w:tc>
      </w:tr>
      <w:tr>
        <w:trPr>
          <w:trHeight w:val="243"/>
        </w:trPr>
        <w:tc>
          <w:tcPr>
            <w:tcW w:w="56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3400" w:type="dxa"/>
            <w:vAlign w:val="bottom"/>
          </w:tcPr>
          <w:p>
            <w:pPr>
              <w:spacing w:after="0" w:line="243" w:lineRule="exact"/>
              <w:rPr>
                <w:sz w:val="20"/>
                <w:szCs w:val="20"/>
                <w:color w:val="auto"/>
              </w:rPr>
            </w:pPr>
            <w:r>
              <w:rPr>
                <w:rFonts w:ascii="Arial" w:cs="Arial" w:eastAsia="Arial" w:hAnsi="Arial"/>
                <w:sz w:val="22"/>
                <w:szCs w:val="22"/>
                <w:i w:val="1"/>
                <w:iCs w:val="1"/>
                <w:color w:val="auto"/>
              </w:rPr>
              <w:t>Chief Executive Officer</w:t>
            </w:r>
          </w:p>
        </w:tc>
      </w:tr>
      <w:tr>
        <w:trPr>
          <w:trHeight w:val="274"/>
        </w:trPr>
        <w:tc>
          <w:tcPr>
            <w:tcW w:w="56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22"/>
                <w:szCs w:val="22"/>
                <w:i w:val="1"/>
                <w:iCs w:val="1"/>
                <w:color w:val="auto"/>
              </w:rPr>
              <w:t>(Principal Executive Officer)</w:t>
            </w:r>
          </w:p>
        </w:tc>
      </w:tr>
      <w:tr>
        <w:trPr>
          <w:trHeight w:val="476"/>
        </w:trPr>
        <w:tc>
          <w:tcPr>
            <w:tcW w:w="560" w:type="dxa"/>
            <w:vAlign w:val="bottom"/>
          </w:tcPr>
          <w:p>
            <w:pPr>
              <w:spacing w:after="0"/>
              <w:rPr>
                <w:sz w:val="20"/>
                <w:szCs w:val="20"/>
                <w:color w:val="auto"/>
              </w:rPr>
            </w:pPr>
            <w:r>
              <w:rPr>
                <w:rFonts w:ascii="Arial" w:cs="Arial" w:eastAsia="Arial" w:hAnsi="Arial"/>
                <w:sz w:val="22"/>
                <w:szCs w:val="22"/>
                <w:color w:val="auto"/>
              </w:rPr>
              <w:t>Date:</w:t>
            </w:r>
          </w:p>
        </w:tc>
        <w:tc>
          <w:tcPr>
            <w:tcW w:w="4080" w:type="dxa"/>
            <w:vAlign w:val="bottom"/>
          </w:tcPr>
          <w:p>
            <w:pPr>
              <w:ind w:left="100"/>
              <w:spacing w:after="0"/>
              <w:rPr>
                <w:sz w:val="20"/>
                <w:szCs w:val="20"/>
                <w:color w:val="auto"/>
              </w:rPr>
            </w:pPr>
            <w:r>
              <w:rPr>
                <w:rFonts w:ascii="Arial" w:cs="Arial" w:eastAsia="Arial" w:hAnsi="Arial"/>
                <w:sz w:val="22"/>
                <w:szCs w:val="22"/>
                <w:color w:val="auto"/>
              </w:rPr>
              <w:t>November 2, 2022</w:t>
            </w:r>
          </w:p>
        </w:tc>
        <w:tc>
          <w:tcPr>
            <w:tcW w:w="3060" w:type="dxa"/>
            <w:vAlign w:val="bottom"/>
          </w:tcPr>
          <w:p>
            <w:pPr>
              <w:ind w:left="2360"/>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Jesús Llorca</w:t>
            </w:r>
          </w:p>
        </w:tc>
      </w:tr>
      <w:tr>
        <w:trPr>
          <w:trHeight w:val="215"/>
        </w:trPr>
        <w:tc>
          <w:tcPr>
            <w:tcW w:w="5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400" w:type="dxa"/>
            <w:vAlign w:val="bottom"/>
          </w:tcPr>
          <w:p>
            <w:pPr>
              <w:spacing w:after="0" w:line="216" w:lineRule="exact"/>
              <w:rPr>
                <w:sz w:val="20"/>
                <w:szCs w:val="20"/>
                <w:color w:val="auto"/>
              </w:rPr>
            </w:pPr>
            <w:r>
              <w:rPr>
                <w:rFonts w:ascii="Arial" w:cs="Arial" w:eastAsia="Arial" w:hAnsi="Arial"/>
                <w:sz w:val="22"/>
                <w:szCs w:val="22"/>
                <w:color w:val="auto"/>
                <w:w w:val="89"/>
              </w:rPr>
              <w:t xml:space="preserve">Jesús Llorca, </w:t>
            </w:r>
            <w:r>
              <w:rPr>
                <w:rFonts w:ascii="Arial" w:cs="Arial" w:eastAsia="Arial" w:hAnsi="Arial"/>
                <w:sz w:val="22"/>
                <w:szCs w:val="22"/>
                <w:i w:val="1"/>
                <w:iCs w:val="1"/>
                <w:color w:val="auto"/>
                <w:w w:val="89"/>
              </w:rPr>
              <w:t>Executive Vice President</w:t>
            </w:r>
          </w:p>
        </w:tc>
      </w:tr>
      <w:tr>
        <w:trPr>
          <w:trHeight w:val="243"/>
        </w:trPr>
        <w:tc>
          <w:tcPr>
            <w:tcW w:w="56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3400" w:type="dxa"/>
            <w:vAlign w:val="bottom"/>
          </w:tcPr>
          <w:p>
            <w:pPr>
              <w:spacing w:after="0" w:line="243" w:lineRule="exact"/>
              <w:rPr>
                <w:sz w:val="20"/>
                <w:szCs w:val="20"/>
                <w:color w:val="auto"/>
              </w:rPr>
            </w:pPr>
            <w:r>
              <w:rPr>
                <w:rFonts w:ascii="Arial" w:cs="Arial" w:eastAsia="Arial" w:hAnsi="Arial"/>
                <w:sz w:val="22"/>
                <w:szCs w:val="22"/>
                <w:i w:val="1"/>
                <w:iCs w:val="1"/>
                <w:color w:val="auto"/>
              </w:rPr>
              <w:t>and Chief Financial Officer</w:t>
            </w:r>
          </w:p>
        </w:tc>
      </w:tr>
      <w:tr>
        <w:trPr>
          <w:trHeight w:val="274"/>
        </w:trPr>
        <w:tc>
          <w:tcPr>
            <w:tcW w:w="56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22"/>
                <w:szCs w:val="22"/>
                <w:i w:val="1"/>
                <w:iCs w:val="1"/>
                <w:color w:val="auto"/>
              </w:rPr>
              <w:t>(Principal Financial Officer)</w:t>
            </w:r>
          </w:p>
        </w:tc>
      </w:tr>
      <w:tr>
        <w:trPr>
          <w:trHeight w:val="476"/>
        </w:trPr>
        <w:tc>
          <w:tcPr>
            <w:tcW w:w="560" w:type="dxa"/>
            <w:vAlign w:val="bottom"/>
          </w:tcPr>
          <w:p>
            <w:pPr>
              <w:spacing w:after="0"/>
              <w:rPr>
                <w:sz w:val="20"/>
                <w:szCs w:val="20"/>
                <w:color w:val="auto"/>
              </w:rPr>
            </w:pPr>
            <w:r>
              <w:rPr>
                <w:rFonts w:ascii="Arial" w:cs="Arial" w:eastAsia="Arial" w:hAnsi="Arial"/>
                <w:sz w:val="22"/>
                <w:szCs w:val="22"/>
                <w:color w:val="auto"/>
              </w:rPr>
              <w:t>Date:</w:t>
            </w:r>
          </w:p>
        </w:tc>
        <w:tc>
          <w:tcPr>
            <w:tcW w:w="4080" w:type="dxa"/>
            <w:vAlign w:val="bottom"/>
          </w:tcPr>
          <w:p>
            <w:pPr>
              <w:ind w:left="100"/>
              <w:spacing w:after="0"/>
              <w:rPr>
                <w:sz w:val="20"/>
                <w:szCs w:val="20"/>
                <w:color w:val="auto"/>
              </w:rPr>
            </w:pPr>
            <w:r>
              <w:rPr>
                <w:rFonts w:ascii="Arial" w:cs="Arial" w:eastAsia="Arial" w:hAnsi="Arial"/>
                <w:sz w:val="22"/>
                <w:szCs w:val="22"/>
                <w:color w:val="auto"/>
              </w:rPr>
              <w:t>November 2, 2022</w:t>
            </w:r>
          </w:p>
        </w:tc>
        <w:tc>
          <w:tcPr>
            <w:tcW w:w="3060" w:type="dxa"/>
            <w:vAlign w:val="bottom"/>
          </w:tcPr>
          <w:p>
            <w:pPr>
              <w:ind w:left="2360"/>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Gregory S. Rossmiller</w:t>
            </w:r>
          </w:p>
        </w:tc>
      </w:tr>
      <w:tr>
        <w:trPr>
          <w:trHeight w:val="215"/>
        </w:trPr>
        <w:tc>
          <w:tcPr>
            <w:tcW w:w="5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400" w:type="dxa"/>
            <w:vAlign w:val="bottom"/>
          </w:tcPr>
          <w:p>
            <w:pPr>
              <w:spacing w:after="0" w:line="216" w:lineRule="exact"/>
              <w:rPr>
                <w:sz w:val="20"/>
                <w:szCs w:val="20"/>
                <w:color w:val="auto"/>
              </w:rPr>
            </w:pPr>
            <w:r>
              <w:rPr>
                <w:rFonts w:ascii="Arial" w:cs="Arial" w:eastAsia="Arial" w:hAnsi="Arial"/>
                <w:sz w:val="22"/>
                <w:szCs w:val="22"/>
                <w:color w:val="auto"/>
              </w:rPr>
              <w:t>Gregory S. Rossmiller,</w:t>
            </w:r>
          </w:p>
        </w:tc>
      </w:tr>
      <w:tr>
        <w:trPr>
          <w:trHeight w:val="243"/>
        </w:trPr>
        <w:tc>
          <w:tcPr>
            <w:tcW w:w="56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3400" w:type="dxa"/>
            <w:vAlign w:val="bottom"/>
          </w:tcPr>
          <w:p>
            <w:pPr>
              <w:spacing w:after="0" w:line="243" w:lineRule="exact"/>
              <w:rPr>
                <w:sz w:val="20"/>
                <w:szCs w:val="20"/>
                <w:color w:val="auto"/>
              </w:rPr>
            </w:pPr>
            <w:r>
              <w:rPr>
                <w:rFonts w:ascii="Arial" w:cs="Arial" w:eastAsia="Arial" w:hAnsi="Arial"/>
                <w:sz w:val="22"/>
                <w:szCs w:val="22"/>
                <w:i w:val="1"/>
                <w:iCs w:val="1"/>
                <w:color w:val="auto"/>
              </w:rPr>
              <w:t>Senior Vice President</w:t>
            </w:r>
          </w:p>
        </w:tc>
      </w:tr>
      <w:tr>
        <w:trPr>
          <w:trHeight w:val="243"/>
        </w:trPr>
        <w:tc>
          <w:tcPr>
            <w:tcW w:w="56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3400" w:type="dxa"/>
            <w:vAlign w:val="bottom"/>
          </w:tcPr>
          <w:p>
            <w:pPr>
              <w:spacing w:after="0" w:line="243" w:lineRule="exact"/>
              <w:rPr>
                <w:sz w:val="20"/>
                <w:szCs w:val="20"/>
                <w:color w:val="auto"/>
              </w:rPr>
            </w:pPr>
            <w:r>
              <w:rPr>
                <w:rFonts w:ascii="Arial" w:cs="Arial" w:eastAsia="Arial" w:hAnsi="Arial"/>
                <w:sz w:val="22"/>
                <w:szCs w:val="22"/>
                <w:i w:val="1"/>
                <w:iCs w:val="1"/>
                <w:color w:val="auto"/>
              </w:rPr>
              <w:t>and Chief Accounting Officer</w:t>
            </w:r>
          </w:p>
        </w:tc>
      </w:tr>
      <w:tr>
        <w:trPr>
          <w:trHeight w:val="274"/>
        </w:trPr>
        <w:tc>
          <w:tcPr>
            <w:tcW w:w="56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22"/>
                <w:szCs w:val="22"/>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240"/>
          </w:cols>
          <w:pgMar w:left="320" w:top="112"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15d-14(a),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Gellert, certify that:</w:t>
      </w:r>
    </w:p>
    <w:p>
      <w:pPr>
        <w:spacing w:after="0" w:line="225" w:lineRule="exact"/>
        <w:rPr>
          <w:sz w:val="20"/>
          <w:szCs w:val="20"/>
          <w:color w:val="auto"/>
        </w:rPr>
      </w:pPr>
    </w:p>
    <w:p>
      <w:pPr>
        <w:ind w:left="780" w:hanging="772"/>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SEACOR Marine Holdings Inc.;</w:t>
      </w:r>
    </w:p>
    <w:p>
      <w:pPr>
        <w:spacing w:after="0" w:line="225" w:lineRule="exact"/>
        <w:rPr>
          <w:rFonts w:ascii="Arial" w:cs="Arial" w:eastAsia="Arial" w:hAnsi="Arial"/>
          <w:sz w:val="18"/>
          <w:szCs w:val="18"/>
          <w:color w:val="auto"/>
        </w:rPr>
      </w:pPr>
    </w:p>
    <w:p>
      <w:pPr>
        <w:ind w:left="780" w:right="60" w:hanging="772"/>
        <w:spacing w:after="0" w:line="263"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80" w:hanging="772"/>
        <w:spacing w:after="0" w:line="308" w:lineRule="auto"/>
        <w:tabs>
          <w:tab w:leader="none" w:pos="7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80" w:right="200" w:hanging="772"/>
        <w:spacing w:after="0" w:line="277"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540" w:right="40" w:hanging="763"/>
        <w:spacing w:after="0" w:line="286" w:lineRule="auto"/>
        <w:tabs>
          <w:tab w:leader="none" w:pos="1540" w:val="left"/>
        </w:tabs>
        <w:numPr>
          <w:ilvl w:val="1"/>
          <w:numId w:val="4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40" w:right="160" w:hanging="763"/>
        <w:spacing w:after="0" w:line="263" w:lineRule="auto"/>
        <w:tabs>
          <w:tab w:leader="none" w:pos="15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540" w:right="60" w:hanging="763"/>
        <w:spacing w:after="0" w:line="263" w:lineRule="auto"/>
        <w:tabs>
          <w:tab w:leader="none" w:pos="15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540" w:right="60" w:hanging="763"/>
        <w:spacing w:after="0" w:line="263" w:lineRule="auto"/>
        <w:tabs>
          <w:tab w:leader="none" w:pos="15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80" w:right="100" w:hanging="772"/>
        <w:spacing w:after="0" w:line="342" w:lineRule="auto"/>
        <w:tabs>
          <w:tab w:leader="none" w:pos="7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40" w:right="220" w:hanging="763"/>
        <w:spacing w:after="0" w:line="342" w:lineRule="auto"/>
        <w:tabs>
          <w:tab w:leader="none" w:pos="154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40" w:right="460" w:hanging="763"/>
        <w:spacing w:after="0" w:line="277" w:lineRule="auto"/>
        <w:tabs>
          <w:tab w:leader="none" w:pos="15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120"/>
              <w:spacing w:after="0"/>
              <w:rPr>
                <w:sz w:val="20"/>
                <w:szCs w:val="20"/>
                <w:color w:val="auto"/>
              </w:rPr>
            </w:pPr>
            <w:r>
              <w:rPr>
                <w:rFonts w:ascii="Arial" w:cs="Arial" w:eastAsia="Arial" w:hAnsi="Arial"/>
                <w:sz w:val="18"/>
                <w:szCs w:val="18"/>
                <w:color w:val="auto"/>
              </w:rPr>
              <w:t>November 2, 2022</w:t>
            </w:r>
          </w:p>
        </w:tc>
      </w:tr>
      <w:tr>
        <w:trPr>
          <w:trHeight w:val="432"/>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Gellert</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00" w:type="dxa"/>
            <w:vAlign w:val="bottom"/>
          </w:tcPr>
          <w:p>
            <w:pPr>
              <w:ind w:left="120"/>
              <w:spacing w:after="0" w:line="195" w:lineRule="exact"/>
              <w:rPr>
                <w:sz w:val="20"/>
                <w:szCs w:val="20"/>
                <w:color w:val="auto"/>
              </w:rPr>
            </w:pPr>
            <w:r>
              <w:rPr>
                <w:rFonts w:ascii="Arial" w:cs="Arial" w:eastAsia="Arial" w:hAnsi="Arial"/>
                <w:sz w:val="18"/>
                <w:szCs w:val="18"/>
                <w:color w:val="auto"/>
              </w:rPr>
              <w:t>John Gellert</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12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620" w:type="dxa"/>
            <w:vAlign w:val="bottom"/>
          </w:tcPr>
          <w:p>
            <w:pPr>
              <w:spacing w:after="0"/>
              <w:rPr>
                <w:sz w:val="20"/>
                <w:szCs w:val="20"/>
                <w:color w:val="auto"/>
              </w:rPr>
            </w:pPr>
          </w:p>
        </w:tc>
        <w:tc>
          <w:tcPr>
            <w:tcW w:w="5000" w:type="dxa"/>
            <w:vAlign w:val="bottom"/>
          </w:tcPr>
          <w:p>
            <w:pPr>
              <w:ind w:left="1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2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RULE 15d-14(a),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Jesús Llorca, certify that:</w:t>
      </w:r>
    </w:p>
    <w:p>
      <w:pPr>
        <w:spacing w:after="0" w:line="225" w:lineRule="exact"/>
        <w:rPr>
          <w:sz w:val="20"/>
          <w:szCs w:val="20"/>
          <w:color w:val="auto"/>
        </w:rPr>
      </w:pPr>
    </w:p>
    <w:p>
      <w:pPr>
        <w:ind w:left="780" w:hanging="772"/>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SEACOR Marine Holdings Inc.;</w:t>
      </w:r>
    </w:p>
    <w:p>
      <w:pPr>
        <w:spacing w:after="0" w:line="225" w:lineRule="exact"/>
        <w:rPr>
          <w:rFonts w:ascii="Arial" w:cs="Arial" w:eastAsia="Arial" w:hAnsi="Arial"/>
          <w:sz w:val="18"/>
          <w:szCs w:val="18"/>
          <w:color w:val="auto"/>
        </w:rPr>
      </w:pPr>
    </w:p>
    <w:p>
      <w:pPr>
        <w:ind w:left="780" w:right="60" w:hanging="772"/>
        <w:spacing w:after="0" w:line="263"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80" w:hanging="772"/>
        <w:spacing w:after="0" w:line="308" w:lineRule="auto"/>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80" w:right="200" w:hanging="772"/>
        <w:spacing w:after="0" w:line="277"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540" w:right="40" w:hanging="763"/>
        <w:spacing w:after="0" w:line="286" w:lineRule="auto"/>
        <w:tabs>
          <w:tab w:leader="none" w:pos="154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40" w:right="160" w:hanging="763"/>
        <w:spacing w:after="0" w:line="263" w:lineRule="auto"/>
        <w:tabs>
          <w:tab w:leader="none" w:pos="15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540" w:right="60" w:hanging="763"/>
        <w:spacing w:after="0" w:line="263" w:lineRule="auto"/>
        <w:tabs>
          <w:tab w:leader="none" w:pos="15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540" w:right="60" w:hanging="763"/>
        <w:spacing w:after="0" w:line="263" w:lineRule="auto"/>
        <w:tabs>
          <w:tab w:leader="none" w:pos="15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80" w:right="100" w:hanging="772"/>
        <w:spacing w:after="0" w:line="342" w:lineRule="auto"/>
        <w:tabs>
          <w:tab w:leader="none" w:pos="7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40" w:right="220" w:hanging="763"/>
        <w:spacing w:after="0" w:line="342" w:lineRule="auto"/>
        <w:tabs>
          <w:tab w:leader="none" w:pos="154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40" w:right="460" w:hanging="763"/>
        <w:spacing w:after="0" w:line="277" w:lineRule="auto"/>
        <w:tabs>
          <w:tab w:leader="none" w:pos="15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ind w:left="5620"/>
        <w:spacing w:after="0"/>
        <w:tabs>
          <w:tab w:leader="none" w:pos="63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2, 2022</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tabs>
          <w:tab w:leader="none" w:pos="6340" w:val="left"/>
        </w:tabs>
        <w:rPr>
          <w:sz w:val="20"/>
          <w:szCs w:val="20"/>
          <w:color w:val="auto"/>
        </w:rPr>
      </w:pPr>
      <w:r>
        <w:rPr>
          <w:rFonts w:ascii="Arial" w:cs="Arial" w:eastAsia="Arial" w:hAnsi="Arial"/>
          <w:sz w:val="18"/>
          <w:szCs w:val="18"/>
          <w:color w:val="auto"/>
        </w:rPr>
        <w:t>Name:</w:t>
        <w:tab/>
        <w:t>Jesús Llorca</w:t>
      </w:r>
    </w:p>
    <w:p>
      <w:pPr>
        <w:spacing w:after="0" w:line="23" w:lineRule="exact"/>
        <w:rPr>
          <w:sz w:val="20"/>
          <w:szCs w:val="20"/>
          <w:color w:val="auto"/>
        </w:rPr>
      </w:pPr>
    </w:p>
    <w:p>
      <w:pPr>
        <w:ind w:left="5620"/>
        <w:spacing w:after="0"/>
        <w:tabs>
          <w:tab w:leader="none" w:pos="6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63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3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2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w:t>
      </w:r>
    </w:p>
    <w:p>
      <w:pPr>
        <w:spacing w:after="0" w:line="27"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BY SECTION 906 OF THE SARBANES-OXLEY ACT OF 2002</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of the undersigned, the Chief Executive Officer and the Chief Financial Officer of SEACOR Marine Holdings Inc. (the “Company”), hereby certifies, to the best of her/his knowledge and belief, that the Form 10-Q of the Company for the quarterly period ended September 30, 2022 (the “Periodic Report”) accompanying this certification fully complies with the requirements of Section 13(a) or 15(d) of the Securities Exchange Act of 1934, as amended, and that the information contained in the Periodic Report fairly presents, in all material respects, the financial condition and results of operations of the Company. This certification is provided solely for purposes of complying with the provisions of Section 906 of the Sarbanes-Oxley Act and is not intended to be used for any other purpose.</w:t>
      </w:r>
    </w:p>
    <w:p>
      <w:pPr>
        <w:spacing w:after="0" w:line="200" w:lineRule="exact"/>
        <w:rPr>
          <w:sz w:val="20"/>
          <w:szCs w:val="20"/>
          <w:color w:val="auto"/>
        </w:rPr>
      </w:pPr>
    </w:p>
    <w:p>
      <w:pPr>
        <w:spacing w:after="0" w:line="23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4960" w:type="dxa"/>
            <w:vAlign w:val="bottom"/>
          </w:tcPr>
          <w:p>
            <w:pPr>
              <w:ind w:left="200"/>
              <w:spacing w:after="0"/>
              <w:rPr>
                <w:sz w:val="20"/>
                <w:szCs w:val="20"/>
                <w:color w:val="auto"/>
              </w:rPr>
            </w:pPr>
            <w:r>
              <w:rPr>
                <w:rFonts w:ascii="Arial" w:cs="Arial" w:eastAsia="Arial" w:hAnsi="Arial"/>
                <w:sz w:val="18"/>
                <w:szCs w:val="18"/>
                <w:color w:val="auto"/>
              </w:rPr>
              <w:t>November 2, 2022</w:t>
            </w:r>
          </w:p>
        </w:tc>
      </w:tr>
      <w:tr>
        <w:trPr>
          <w:trHeight w:val="432"/>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Gellert</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ind w:left="200"/>
              <w:spacing w:after="0" w:line="195" w:lineRule="exact"/>
              <w:rPr>
                <w:sz w:val="20"/>
                <w:szCs w:val="20"/>
                <w:color w:val="auto"/>
              </w:rPr>
            </w:pPr>
            <w:r>
              <w:rPr>
                <w:rFonts w:ascii="Arial" w:cs="Arial" w:eastAsia="Arial" w:hAnsi="Arial"/>
                <w:sz w:val="18"/>
                <w:szCs w:val="18"/>
                <w:color w:val="auto"/>
              </w:rPr>
              <w:t>John Gellert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ind w:left="20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660" w:type="dxa"/>
            <w:vAlign w:val="bottom"/>
          </w:tcPr>
          <w:p>
            <w:pPr>
              <w:spacing w:after="0"/>
              <w:rPr>
                <w:sz w:val="20"/>
                <w:szCs w:val="20"/>
                <w:color w:val="auto"/>
              </w:rPr>
            </w:pPr>
          </w:p>
        </w:tc>
        <w:tc>
          <w:tcPr>
            <w:tcW w:w="4960" w:type="dxa"/>
            <w:vAlign w:val="bottom"/>
          </w:tcPr>
          <w:p>
            <w:pPr>
              <w:ind w:left="200"/>
              <w:spacing w:after="0"/>
              <w:rPr>
                <w:sz w:val="20"/>
                <w:szCs w:val="20"/>
                <w:color w:val="auto"/>
              </w:rPr>
            </w:pPr>
            <w:r>
              <w:rPr>
                <w:rFonts w:ascii="Arial" w:cs="Arial" w:eastAsia="Arial" w:hAnsi="Arial"/>
                <w:sz w:val="18"/>
                <w:szCs w:val="18"/>
                <w:i w:val="1"/>
                <w:iCs w:val="1"/>
                <w:color w:val="auto"/>
              </w:rPr>
              <w:t>(Principal Executive Officer)</w:t>
            </w:r>
          </w:p>
        </w:tc>
      </w:tr>
      <w:tr>
        <w:trPr>
          <w:trHeight w:val="675"/>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4960" w:type="dxa"/>
            <w:vAlign w:val="bottom"/>
          </w:tcPr>
          <w:p>
            <w:pPr>
              <w:ind w:left="200"/>
              <w:spacing w:after="0"/>
              <w:rPr>
                <w:sz w:val="20"/>
                <w:szCs w:val="20"/>
                <w:color w:val="auto"/>
              </w:rPr>
            </w:pPr>
            <w:r>
              <w:rPr>
                <w:rFonts w:ascii="Arial" w:cs="Arial" w:eastAsia="Arial" w:hAnsi="Arial"/>
                <w:sz w:val="18"/>
                <w:szCs w:val="18"/>
                <w:color w:val="auto"/>
              </w:rPr>
              <w:t>November 2, 2022</w:t>
            </w:r>
          </w:p>
        </w:tc>
      </w:tr>
    </w:tbl>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tabs>
          <w:tab w:leader="none" w:pos="64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Jesús Llorca</w:t>
      </w:r>
    </w:p>
    <w:p>
      <w:pPr>
        <w:spacing w:after="0" w:line="23" w:lineRule="exact"/>
        <w:rPr>
          <w:sz w:val="20"/>
          <w:szCs w:val="20"/>
          <w:color w:val="auto"/>
        </w:rPr>
      </w:pPr>
    </w:p>
    <w:p>
      <w:pPr>
        <w:ind w:left="5620"/>
        <w:spacing w:after="0"/>
        <w:tabs>
          <w:tab w:leader="none" w:pos="64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2"/>
    </w:lvl>
  </w:abstractNum>
  <w:abstractNum w:abstractNumId="5">
    <w:nsid w:val="54E49EB4"/>
    <w:multiLevelType w:val="hybridMultilevel"/>
    <w:lvl w:ilvl="0">
      <w:lvlJc w:val="left"/>
      <w:lvlText w:val="%1."/>
      <w:numFmt w:val="decimal"/>
      <w:start w:val="3"/>
    </w:lvl>
  </w:abstractNum>
  <w:abstractNum w:abstractNumId="6">
    <w:nsid w:val="71F32454"/>
    <w:multiLevelType w:val="hybridMultilevel"/>
    <w:lvl w:ilvl="0">
      <w:lvlJc w:val="left"/>
      <w:lvlText w:val="(%1)"/>
      <w:numFmt w:val="lowerRoman"/>
      <w:start w:val="2"/>
    </w:lvl>
  </w:abstractNum>
  <w:abstractNum w:abstractNumId="7">
    <w:nsid w:val="2CA88611"/>
    <w:multiLevelType w:val="hybridMultilevel"/>
    <w:lvl w:ilvl="0">
      <w:lvlJc w:val="left"/>
      <w:lvlText w:val="%1."/>
      <w:numFmt w:val="decimal"/>
      <w:start w:val="4"/>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1."/>
      <w:numFmt w:val="decimal"/>
      <w:start w:val="5"/>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1)"/>
      <w:numFmt w:val="lowerRoman"/>
      <w:start w:val="1"/>
    </w:lvl>
  </w:abstractNum>
  <w:abstractNum w:abstractNumId="12">
    <w:nsid w:val="1E7FF521"/>
    <w:multiLevelType w:val="hybridMultilevel"/>
    <w:lvl w:ilvl="0">
      <w:lvlJc w:val="left"/>
      <w:lvlText w:val="%1."/>
      <w:numFmt w:val="decimal"/>
      <w:start w:val="6"/>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1."/>
      <w:numFmt w:val="decimal"/>
      <w:start w:val="7"/>
    </w:lvl>
  </w:abstractNum>
  <w:abstractNum w:abstractNumId="15">
    <w:nsid w:val="6CEAF087"/>
    <w:multiLevelType w:val="hybridMultilevel"/>
    <w:lvl w:ilvl="0">
      <w:lvlJc w:val="left"/>
      <w:lvlText w:val="%1."/>
      <w:numFmt w:val="decimal"/>
      <w:start w:val="8"/>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1."/>
      <w:numFmt w:val="decimal"/>
      <w:start w:val="9"/>
    </w:lvl>
  </w:abstractNum>
  <w:abstractNum w:abstractNumId="19">
    <w:nsid w:val="614FD4A1"/>
    <w:multiLevelType w:val="hybridMultilevel"/>
    <w:lvl w:ilvl="0">
      <w:lvlJc w:val="left"/>
      <w:lvlText w:val="%1."/>
      <w:numFmt w:val="decimal"/>
      <w:start w:val="10"/>
    </w:lvl>
  </w:abstractNum>
  <w:abstractNum w:abstractNumId="20">
    <w:nsid w:val="419AC241"/>
    <w:multiLevelType w:val="hybridMultilevel"/>
    <w:lvl w:ilvl="0">
      <w:lvlJc w:val="left"/>
      <w:lvlText w:val="%1."/>
      <w:numFmt w:val="decimal"/>
      <w:start w:val="11"/>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1."/>
      <w:numFmt w:val="decimal"/>
      <w:start w:val="12"/>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1."/>
      <w:numFmt w:val="decimal"/>
      <w:start w:val="13"/>
    </w:lvl>
  </w:abstractNum>
  <w:abstractNum w:abstractNumId="26">
    <w:nsid w:val="7724C67E"/>
    <w:multiLevelType w:val="hybridMultilevel"/>
    <w:lvl w:ilvl="0">
      <w:lvlJc w:val="left"/>
      <w:lvlText w:val="%1."/>
      <w:numFmt w:val="decimal"/>
      <w:start w:val="14"/>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1)"/>
      <w:numFmt w:val="decimal"/>
      <w:start w:val="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1)"/>
      <w:numFmt w:val="decimal"/>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1)"/>
      <w:numFmt w:val="lowerRoman"/>
      <w:start w:val="1"/>
    </w:lvl>
  </w:abstractNum>
  <w:abstractNum w:abstractNumId="42">
    <w:nsid w:val="7A6D8D3C"/>
    <w:multiLevelType w:val="hybridMultilevel"/>
    <w:lvl w:ilvl="0">
      <w:lvlJc w:val="left"/>
      <w:lvlText w:val="(%1)"/>
      <w:numFmt w:val="lowerLetter"/>
      <w:start w:val="3"/>
    </w:lvl>
  </w:abstractNum>
  <w:abstractNum w:abstractNumId="43">
    <w:nsid w:val="4B588F54"/>
    <w:multiLevelType w:val="hybridMultilevel"/>
    <w:lvl w:ilvl="0">
      <w:lvlJc w:val="left"/>
      <w:lvlText w:val="%1"/>
      <w:numFmt w:val="decimal"/>
      <w:start w:val="32"/>
    </w:lvl>
  </w:abstractNum>
  <w:abstractNum w:abstractNumId="44">
    <w:nsid w:val="542289EC"/>
    <w:multiLevelType w:val="hybridMultilevel"/>
    <w:lvl w:ilvl="0">
      <w:lvlJc w:val="left"/>
      <w:lvlText w:val="*"/>
      <w:numFmt w:val="bullet"/>
      <w:start w:val="1"/>
    </w:lvl>
    <w:lvl w:ilvl="1">
      <w:lvlJc w:val="left"/>
      <w:lvlText w:val="%2"/>
      <w:numFmt w:val="decimal"/>
      <w:start w:val="104"/>
    </w:lvl>
  </w:abstractNum>
  <w:abstractNum w:abstractNumId="45">
    <w:nsid w:val="6DE91B18"/>
    <w:multiLevelType w:val="hybridMultilevel"/>
    <w:lvl w:ilvl="0">
      <w:lvlJc w:val="left"/>
      <w:lvlText w:val="**"/>
      <w:numFmt w:val="bullet"/>
      <w:start w:val="1"/>
    </w:lvl>
    <w:lvl w:ilvl="1">
      <w:lvlJc w:val="left"/>
      <w:lvlText w:val="%2"/>
      <w:numFmt w:val="decimal"/>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81" Type="http://schemas.openxmlformats.org/officeDocument/2006/relationships/hyperlink" Target="http://www.sec.gov/Archives/edgar/data/1690334/000119312522258312/d323098dex41.htm" TargetMode="External"/><Relationship Id="rId82" Type="http://schemas.openxmlformats.org/officeDocument/2006/relationships/hyperlink" Target="http://www.sec.gov/Archives/edgar/data/1690334/000119312522258312/d323098dex101.htm" TargetMode="External"/><Relationship Id="rId83" Type="http://schemas.openxmlformats.org/officeDocument/2006/relationships/hyperlink" Target="http://www.sec.gov/Archives/edgar/data/1690334/000119312522258312/d323098dex102.htm" TargetMode="External"/><Relationship Id="rId84" Type="http://schemas.openxmlformats.org/officeDocument/2006/relationships/hyperlink" Target="http://www.sec.gov/Archives/edgar/data/1690334/000119312522258312/d323098dex103.htm" TargetMode="External"/><Relationship Id="rId85" Type="http://schemas.openxmlformats.org/officeDocument/2006/relationships/hyperlink" Target="http://www.sec.gov/Archives/edgar/data/1690334/000119312522258312/d323098dex104.htm" TargetMode="External"/><Relationship Id="rId86" Type="http://schemas.openxmlformats.org/officeDocument/2006/relationships/hyperlink" Target="http://www.sec.gov/Archives/edgar/data/1690334/000119312522258312/d323098dex105.htm" TargetMode="External"/><Relationship Id="rId87" Type="http://schemas.openxmlformats.org/officeDocument/2006/relationships/hyperlink" Target="http://www.sec.gov/Archives/edgar/data/1690334/000119312522258312/d323098d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2022-11-02T17:16:36Z</dcterms:created>
  <dcterms:modified xsi:type="dcterms:W3CDTF">2022-11-02T17:16:36Z</dcterms:modified>
</cp:coreProperties>
</file>