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ind w:left="3740"/>
        <w:spacing w:after="0"/>
        <w:rPr>
          <w:sz w:val="20"/>
          <w:szCs w:val="20"/>
          <w:color w:val="auto"/>
        </w:rPr>
      </w:pPr>
      <w:r>
        <w:rPr>
          <w:rFonts w:ascii="Arial" w:cs="Arial" w:eastAsia="Arial" w:hAnsi="Arial"/>
          <w:sz w:val="20"/>
          <w:szCs w:val="20"/>
          <w:color w:val="auto"/>
        </w:rPr>
        <w:t>________________________________________</w:t>
      </w:r>
    </w:p>
    <w:p>
      <w:pPr>
        <w:ind w:left="3740"/>
        <w:spacing w:after="0"/>
        <w:rPr>
          <w:sz w:val="20"/>
          <w:szCs w:val="20"/>
          <w:color w:val="auto"/>
        </w:rPr>
      </w:pPr>
      <w:r>
        <w:rPr>
          <w:rFonts w:ascii="Arial" w:cs="Arial" w:eastAsia="Arial" w:hAnsi="Arial"/>
          <w:sz w:val="20"/>
          <w:szCs w:val="20"/>
          <w:color w:val="auto"/>
        </w:rPr>
        <w:t>________________________________________</w:t>
      </w:r>
      <w:r>
        <w:rPr>
          <w:rFonts w:ascii="Arial" w:cs="Arial" w:eastAsia="Arial" w:hAnsi="Arial"/>
          <w:sz w:val="28"/>
          <w:szCs w:val="28"/>
          <w:b w:val="1"/>
          <w:bCs w:val="1"/>
          <w:color w:val="auto"/>
        </w:rPr>
        <w:t>FORM10-Q</w:t>
      </w:r>
    </w:p>
    <w:p>
      <w:pPr>
        <w:spacing w:after="0" w:line="28"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(Mark One)</w:t>
      </w:r>
    </w:p>
    <w:p>
      <w:pPr>
        <w:spacing w:after="0" w:line="207" w:lineRule="exact"/>
        <w:rPr>
          <w:sz w:val="24"/>
          <w:szCs w:val="24"/>
          <w:color w:val="auto"/>
        </w:rPr>
      </w:pPr>
    </w:p>
    <w:p>
      <w:pPr>
        <w:ind w:left="720" w:hanging="644"/>
        <w:spacing w:after="0"/>
        <w:tabs>
          <w:tab w:leader="none" w:pos="7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4" w:lineRule="exact"/>
        <w:rPr>
          <w:sz w:val="24"/>
          <w:szCs w:val="24"/>
          <w:color w:val="auto"/>
        </w:rPr>
      </w:pPr>
    </w:p>
    <w:p>
      <w:pPr>
        <w:ind w:left="3040"/>
        <w:spacing w:after="0"/>
        <w:tabs>
          <w:tab w:leader="none" w:pos="7540" w:val="left"/>
        </w:tabs>
        <w:rPr>
          <w:sz w:val="20"/>
          <w:szCs w:val="20"/>
          <w:color w:val="auto"/>
        </w:rPr>
      </w:pPr>
      <w:r>
        <w:rPr>
          <w:rFonts w:ascii="Arial" w:cs="Arial" w:eastAsia="Arial" w:hAnsi="Arial"/>
          <w:sz w:val="20"/>
          <w:szCs w:val="20"/>
          <w:b w:val="1"/>
          <w:bCs w:val="1"/>
          <w:color w:val="auto"/>
        </w:rPr>
        <w:t>For the quarterly period ended June 30, 2018</w:t>
      </w:r>
      <w:r>
        <w:rPr>
          <w:sz w:val="20"/>
          <w:szCs w:val="20"/>
          <w:color w:val="auto"/>
        </w:rPr>
        <w:tab/>
      </w:r>
      <w:r>
        <w:rPr>
          <w:rFonts w:ascii="Arial" w:cs="Arial" w:eastAsia="Arial" w:hAnsi="Arial"/>
          <w:sz w:val="18"/>
          <w:szCs w:val="18"/>
          <w:b w:val="1"/>
          <w:bCs w:val="1"/>
          <w:color w:val="auto"/>
        </w:rPr>
        <w:t>or</w:t>
      </w:r>
    </w:p>
    <w:p>
      <w:pPr>
        <w:spacing w:after="0" w:line="229" w:lineRule="exact"/>
        <w:rPr>
          <w:sz w:val="24"/>
          <w:szCs w:val="24"/>
          <w:color w:val="auto"/>
        </w:rPr>
      </w:pPr>
    </w:p>
    <w:p>
      <w:pPr>
        <w:ind w:left="720" w:hanging="644"/>
        <w:spacing w:after="0"/>
        <w:tabs>
          <w:tab w:leader="none" w:pos="7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676" w:right="239" w:bottom="878" w:gutter="0" w:footer="0" w:header="0"/>
        </w:sectPr>
      </w:pPr>
    </w:p>
    <w:p>
      <w:pPr>
        <w:spacing w:after="0" w:line="254"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22" w:lineRule="exact"/>
        <w:rPr>
          <w:sz w:val="24"/>
          <w:szCs w:val="24"/>
          <w:color w:val="auto"/>
        </w:rPr>
      </w:pPr>
    </w:p>
    <w:p>
      <w:pPr>
        <w:sectPr>
          <w:pgSz w:w="11900" w:h="16838" w:orient="portrait"/>
          <w:cols w:equalWidth="0" w:num="2">
            <w:col w:w="6560" w:space="700"/>
            <w:col w:w="4160"/>
          </w:cols>
          <w:pgMar w:left="240" w:top="676" w:right="239" w:bottom="878" w:gutter="0" w:footer="0" w:header="0"/>
          <w:type w:val="continuous"/>
        </w:sectPr>
      </w:pP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1-37966</w:t>
      </w:r>
    </w:p>
    <w:p>
      <w:pPr>
        <w:sectPr>
          <w:pgSz w:w="11900" w:h="16838" w:orient="portrait"/>
          <w:cols w:equalWidth="0" w:num="1">
            <w:col w:w="11420"/>
          </w:cols>
          <w:pgMar w:left="240" w:top="676" w:right="239" w:bottom="878" w:gutter="0" w:footer="0" w:header="0"/>
          <w:type w:val="continuous"/>
        </w:sect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SEACOR Marine Holdings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(Exact Name of Registrant as Specified in Its Charter)</w:t>
      </w:r>
    </w:p>
    <w:p>
      <w:pPr>
        <w:ind w:left="3740"/>
        <w:spacing w:after="0"/>
        <w:rPr>
          <w:sz w:val="20"/>
          <w:szCs w:val="20"/>
          <w:color w:val="auto"/>
        </w:rPr>
      </w:pPr>
      <w:r>
        <w:rPr>
          <w:rFonts w:ascii="Arial" w:cs="Arial" w:eastAsia="Arial" w:hAnsi="Arial"/>
          <w:sz w:val="20"/>
          <w:szCs w:val="20"/>
          <w:color w:val="auto"/>
        </w:rPr>
        <w:t>________________________________________</w:t>
      </w:r>
    </w:p>
    <w:p>
      <w:pPr>
        <w:spacing w:after="0" w:line="207" w:lineRule="exact"/>
        <w:rPr>
          <w:sz w:val="24"/>
          <w:szCs w:val="24"/>
          <w:color w:val="auto"/>
        </w:rPr>
      </w:pPr>
    </w:p>
    <w:tbl>
      <w:tblPr>
        <w:tblLayout w:type="fixed"/>
        <w:tblInd w:w="1060" w:type="dxa"/>
        <w:tblCellMar>
          <w:top w:w="0" w:type="dxa"/>
          <w:left w:w="0" w:type="dxa"/>
          <w:bottom w:w="0" w:type="dxa"/>
          <w:right w:w="0" w:type="dxa"/>
        </w:tblCellMar>
      </w:tblPr>
      <w:tr>
        <w:trPr>
          <w:trHeight w:val="230"/>
        </w:trPr>
        <w:tc>
          <w:tcPr>
            <w:tcW w:w="5160" w:type="dxa"/>
            <w:vAlign w:val="bottom"/>
          </w:tcPr>
          <w:p>
            <w:pPr>
              <w:jc w:val="center"/>
              <w:ind w:right="1681"/>
              <w:spacing w:after="0"/>
              <w:rPr>
                <w:sz w:val="20"/>
                <w:szCs w:val="20"/>
                <w:color w:val="auto"/>
              </w:rPr>
            </w:pPr>
            <w:r>
              <w:rPr>
                <w:rFonts w:ascii="Arial" w:cs="Arial" w:eastAsia="Arial" w:hAnsi="Arial"/>
                <w:sz w:val="20"/>
                <w:szCs w:val="20"/>
                <w:b w:val="1"/>
                <w:bCs w:val="1"/>
                <w:color w:val="auto"/>
                <w:w w:val="88"/>
              </w:rPr>
              <w:t>Delaware</w:t>
            </w:r>
          </w:p>
        </w:tc>
        <w:tc>
          <w:tcPr>
            <w:tcW w:w="3320" w:type="dxa"/>
            <w:vAlign w:val="bottom"/>
          </w:tcPr>
          <w:p>
            <w:pPr>
              <w:jc w:val="right"/>
              <w:ind w:right="201"/>
              <w:spacing w:after="0"/>
              <w:rPr>
                <w:sz w:val="20"/>
                <w:szCs w:val="20"/>
                <w:color w:val="auto"/>
              </w:rPr>
            </w:pPr>
            <w:r>
              <w:rPr>
                <w:rFonts w:ascii="Arial" w:cs="Arial" w:eastAsia="Arial" w:hAnsi="Arial"/>
                <w:sz w:val="20"/>
                <w:szCs w:val="20"/>
                <w:b w:val="1"/>
                <w:bCs w:val="1"/>
                <w:color w:val="auto"/>
              </w:rPr>
              <w:t>47-2564547</w:t>
            </w:r>
          </w:p>
        </w:tc>
      </w:tr>
      <w:tr>
        <w:trPr>
          <w:trHeight w:val="230"/>
        </w:trPr>
        <w:tc>
          <w:tcPr>
            <w:tcW w:w="5160" w:type="dxa"/>
            <w:vAlign w:val="bottom"/>
          </w:tcPr>
          <w:p>
            <w:pPr>
              <w:jc w:val="center"/>
              <w:ind w:right="1681"/>
              <w:spacing w:after="0"/>
              <w:rPr>
                <w:sz w:val="20"/>
                <w:szCs w:val="20"/>
                <w:color w:val="auto"/>
              </w:rPr>
            </w:pPr>
            <w:r>
              <w:rPr>
                <w:rFonts w:ascii="Arial" w:cs="Arial" w:eastAsia="Arial" w:hAnsi="Arial"/>
                <w:sz w:val="20"/>
                <w:szCs w:val="20"/>
                <w:b w:val="1"/>
                <w:bCs w:val="1"/>
                <w:color w:val="auto"/>
                <w:w w:val="91"/>
              </w:rPr>
              <w:t>(State or Other Jurisdiction of</w:t>
            </w:r>
          </w:p>
        </w:tc>
        <w:tc>
          <w:tcPr>
            <w:tcW w:w="3320" w:type="dxa"/>
            <w:vAlign w:val="bottom"/>
          </w:tcPr>
          <w:p>
            <w:pPr>
              <w:jc w:val="center"/>
              <w:ind w:left="1661"/>
              <w:spacing w:after="0"/>
              <w:rPr>
                <w:sz w:val="20"/>
                <w:szCs w:val="20"/>
                <w:color w:val="auto"/>
              </w:rPr>
            </w:pPr>
            <w:r>
              <w:rPr>
                <w:rFonts w:ascii="Arial" w:cs="Arial" w:eastAsia="Arial" w:hAnsi="Arial"/>
                <w:sz w:val="20"/>
                <w:szCs w:val="20"/>
                <w:b w:val="1"/>
                <w:bCs w:val="1"/>
                <w:color w:val="auto"/>
                <w:w w:val="93"/>
              </w:rPr>
              <w:t>(IRS Employer</w:t>
            </w:r>
          </w:p>
        </w:tc>
      </w:tr>
      <w:tr>
        <w:trPr>
          <w:trHeight w:val="256"/>
        </w:trPr>
        <w:tc>
          <w:tcPr>
            <w:tcW w:w="5160" w:type="dxa"/>
            <w:vAlign w:val="bottom"/>
          </w:tcPr>
          <w:p>
            <w:pPr>
              <w:jc w:val="center"/>
              <w:ind w:right="1681"/>
              <w:spacing w:after="0"/>
              <w:rPr>
                <w:sz w:val="20"/>
                <w:szCs w:val="20"/>
                <w:color w:val="auto"/>
              </w:rPr>
            </w:pPr>
            <w:r>
              <w:rPr>
                <w:rFonts w:ascii="Arial" w:cs="Arial" w:eastAsia="Arial" w:hAnsi="Arial"/>
                <w:sz w:val="20"/>
                <w:szCs w:val="20"/>
                <w:b w:val="1"/>
                <w:bCs w:val="1"/>
                <w:color w:val="auto"/>
                <w:w w:val="92"/>
              </w:rPr>
              <w:t>Incorporation or Organization)</w:t>
            </w:r>
          </w:p>
        </w:tc>
        <w:tc>
          <w:tcPr>
            <w:tcW w:w="3320" w:type="dxa"/>
            <w:vAlign w:val="bottom"/>
          </w:tcPr>
          <w:p>
            <w:pPr>
              <w:jc w:val="center"/>
              <w:ind w:left="1681"/>
              <w:spacing w:after="0"/>
              <w:rPr>
                <w:sz w:val="20"/>
                <w:szCs w:val="20"/>
                <w:color w:val="auto"/>
              </w:rPr>
            </w:pPr>
            <w:r>
              <w:rPr>
                <w:rFonts w:ascii="Arial" w:cs="Arial" w:eastAsia="Arial" w:hAnsi="Arial"/>
                <w:sz w:val="20"/>
                <w:szCs w:val="20"/>
                <w:b w:val="1"/>
                <w:bCs w:val="1"/>
                <w:color w:val="auto"/>
                <w:w w:val="91"/>
              </w:rPr>
              <w:t>Identification No.)</w:t>
            </w:r>
          </w:p>
        </w:tc>
      </w:tr>
      <w:tr>
        <w:trPr>
          <w:trHeight w:val="432"/>
        </w:trPr>
        <w:tc>
          <w:tcPr>
            <w:tcW w:w="5160" w:type="dxa"/>
            <w:vAlign w:val="bottom"/>
          </w:tcPr>
          <w:p>
            <w:pPr>
              <w:jc w:val="center"/>
              <w:ind w:right="1681"/>
              <w:spacing w:after="0"/>
              <w:rPr>
                <w:sz w:val="20"/>
                <w:szCs w:val="20"/>
                <w:color w:val="auto"/>
              </w:rPr>
            </w:pPr>
            <w:r>
              <w:rPr>
                <w:rFonts w:ascii="Arial" w:cs="Arial" w:eastAsia="Arial" w:hAnsi="Arial"/>
                <w:sz w:val="20"/>
                <w:szCs w:val="20"/>
                <w:b w:val="1"/>
                <w:bCs w:val="1"/>
                <w:color w:val="auto"/>
                <w:w w:val="91"/>
              </w:rPr>
              <w:t>7910 Main Street, 2nd Floor</w:t>
            </w:r>
          </w:p>
        </w:tc>
        <w:tc>
          <w:tcPr>
            <w:tcW w:w="3320" w:type="dxa"/>
            <w:vAlign w:val="bottom"/>
          </w:tcPr>
          <w:p>
            <w:pPr>
              <w:spacing w:after="0"/>
              <w:rPr>
                <w:sz w:val="24"/>
                <w:szCs w:val="24"/>
                <w:color w:val="auto"/>
              </w:rPr>
            </w:pPr>
          </w:p>
        </w:tc>
      </w:tr>
      <w:tr>
        <w:trPr>
          <w:trHeight w:val="230"/>
        </w:trPr>
        <w:tc>
          <w:tcPr>
            <w:tcW w:w="5160" w:type="dxa"/>
            <w:vAlign w:val="bottom"/>
          </w:tcPr>
          <w:p>
            <w:pPr>
              <w:jc w:val="center"/>
              <w:ind w:right="1681"/>
              <w:spacing w:after="0"/>
              <w:rPr>
                <w:sz w:val="20"/>
                <w:szCs w:val="20"/>
                <w:color w:val="auto"/>
              </w:rPr>
            </w:pPr>
            <w:r>
              <w:rPr>
                <w:rFonts w:ascii="Arial" w:cs="Arial" w:eastAsia="Arial" w:hAnsi="Arial"/>
                <w:sz w:val="20"/>
                <w:szCs w:val="20"/>
                <w:b w:val="1"/>
                <w:bCs w:val="1"/>
                <w:color w:val="auto"/>
                <w:w w:val="96"/>
              </w:rPr>
              <w:t>Houma, LA</w:t>
            </w:r>
          </w:p>
        </w:tc>
        <w:tc>
          <w:tcPr>
            <w:tcW w:w="3320" w:type="dxa"/>
            <w:vAlign w:val="bottom"/>
          </w:tcPr>
          <w:p>
            <w:pPr>
              <w:jc w:val="right"/>
              <w:ind w:right="421"/>
              <w:spacing w:after="0"/>
              <w:rPr>
                <w:sz w:val="20"/>
                <w:szCs w:val="20"/>
                <w:color w:val="auto"/>
              </w:rPr>
            </w:pPr>
            <w:r>
              <w:rPr>
                <w:rFonts w:ascii="Arial" w:cs="Arial" w:eastAsia="Arial" w:hAnsi="Arial"/>
                <w:sz w:val="20"/>
                <w:szCs w:val="20"/>
                <w:b w:val="1"/>
                <w:bCs w:val="1"/>
                <w:color w:val="auto"/>
              </w:rPr>
              <w:t>70360</w:t>
            </w:r>
          </w:p>
        </w:tc>
      </w:tr>
      <w:tr>
        <w:trPr>
          <w:trHeight w:val="256"/>
        </w:trPr>
        <w:tc>
          <w:tcPr>
            <w:tcW w:w="5160" w:type="dxa"/>
            <w:vAlign w:val="bottom"/>
          </w:tcPr>
          <w:p>
            <w:pPr>
              <w:jc w:val="center"/>
              <w:ind w:right="1681"/>
              <w:spacing w:after="0"/>
              <w:rPr>
                <w:sz w:val="20"/>
                <w:szCs w:val="20"/>
                <w:color w:val="auto"/>
              </w:rPr>
            </w:pPr>
            <w:r>
              <w:rPr>
                <w:rFonts w:ascii="Arial" w:cs="Arial" w:eastAsia="Arial" w:hAnsi="Arial"/>
                <w:sz w:val="20"/>
                <w:szCs w:val="20"/>
                <w:b w:val="1"/>
                <w:bCs w:val="1"/>
                <w:color w:val="auto"/>
                <w:w w:val="88"/>
              </w:rPr>
              <w:t>(Address of Principal Executive Offices)</w:t>
            </w:r>
          </w:p>
        </w:tc>
        <w:tc>
          <w:tcPr>
            <w:tcW w:w="3320" w:type="dxa"/>
            <w:vAlign w:val="bottom"/>
          </w:tcPr>
          <w:p>
            <w:pPr>
              <w:jc w:val="center"/>
              <w:ind w:left="1661"/>
              <w:spacing w:after="0"/>
              <w:rPr>
                <w:sz w:val="20"/>
                <w:szCs w:val="20"/>
                <w:color w:val="auto"/>
              </w:rPr>
            </w:pPr>
            <w:r>
              <w:rPr>
                <w:rFonts w:ascii="Arial" w:cs="Arial" w:eastAsia="Arial" w:hAnsi="Arial"/>
                <w:sz w:val="20"/>
                <w:szCs w:val="20"/>
                <w:b w:val="1"/>
                <w:bCs w:val="1"/>
                <w:color w:val="auto"/>
                <w:w w:val="92"/>
              </w:rPr>
              <w:t>(Zip Code)</w:t>
            </w:r>
          </w:p>
        </w:tc>
      </w:tr>
    </w:tbl>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985-876-5400</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(Former Name, Former Address and Former Fiscal Year, if Changed Since Last Report)</w:t>
      </w:r>
    </w:p>
    <w:p>
      <w:pPr>
        <w:ind w:left="3740"/>
        <w:spacing w:after="0"/>
        <w:rPr>
          <w:sz w:val="20"/>
          <w:szCs w:val="20"/>
          <w:color w:val="auto"/>
        </w:rPr>
      </w:pPr>
      <w:r>
        <w:rPr>
          <w:rFonts w:ascii="Arial" w:cs="Arial" w:eastAsia="Arial" w:hAnsi="Arial"/>
          <w:sz w:val="20"/>
          <w:szCs w:val="20"/>
          <w:color w:val="auto"/>
        </w:rPr>
        <w:t>________________________________________</w:t>
      </w:r>
    </w:p>
    <w:p>
      <w:pPr>
        <w:jc w:val="both"/>
        <w:ind w:firstLine="648"/>
        <w:spacing w:after="0" w:line="26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30" w:lineRule="exact"/>
        <w:tabs>
          <w:tab w:leader="none" w:pos="6200" w:val="left"/>
        </w:tabs>
        <w:rPr>
          <w:sz w:val="20"/>
          <w:szCs w:val="20"/>
          <w:color w:val="auto"/>
        </w:rPr>
      </w:pPr>
      <w:r>
        <w:rPr>
          <w:rFonts w:ascii="Arial" w:cs="Arial" w:eastAsia="Arial" w:hAnsi="Arial"/>
          <w:sz w:val="20"/>
          <w:szCs w:val="20"/>
          <w:color w:val="auto"/>
        </w:rPr>
        <w:t xml:space="preserve">(2) has been subject to such filing requirements for the past 90 days. Yes </w:t>
      </w:r>
      <w:r>
        <w:rPr>
          <w:rFonts w:ascii="MS PGothic" w:cs="MS PGothic" w:eastAsia="MS PGothic" w:hAnsi="MS PGothic"/>
          <w:sz w:val="20"/>
          <w:szCs w:val="20"/>
          <w:color w:val="auto"/>
        </w:rPr>
        <w:t>☒</w:t>
      </w:r>
      <w:r>
        <w:rPr>
          <w:rFonts w:ascii="Arial" w:cs="Arial" w:eastAsia="Arial" w:hAnsi="Arial"/>
          <w:sz w:val="20"/>
          <w:szCs w:val="20"/>
          <w:color w:val="auto"/>
        </w:rPr>
        <w:tab/>
        <w:t xml:space="preserve">No </w:t>
      </w:r>
      <w:r>
        <w:rPr>
          <w:rFonts w:ascii="MS PGothic" w:cs="MS PGothic" w:eastAsia="MS PGothic" w:hAnsi="MS PGothic"/>
          <w:sz w:val="20"/>
          <w:szCs w:val="20"/>
          <w:color w:val="auto"/>
        </w:rPr>
        <w:t>☐</w:t>
      </w:r>
    </w:p>
    <w:p>
      <w:pPr>
        <w:spacing w:after="0" w:line="222" w:lineRule="exact"/>
        <w:rPr>
          <w:sz w:val="24"/>
          <w:szCs w:val="24"/>
          <w:color w:val="auto"/>
        </w:rPr>
      </w:pPr>
    </w:p>
    <w:p>
      <w:pPr>
        <w:jc w:val="both"/>
        <w:ind w:firstLine="648"/>
        <w:spacing w:after="0" w:line="248" w:lineRule="exact"/>
        <w:rPr>
          <w:sz w:val="20"/>
          <w:szCs w:val="20"/>
          <w:color w:val="auto"/>
        </w:rPr>
      </w:pPr>
      <w:r>
        <w:rPr>
          <w:rFonts w:ascii="Arial" w:cs="Arial" w:eastAsia="Arial" w:hAnsi="Arial"/>
          <w:sz w:val="19"/>
          <w:szCs w:val="19"/>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18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230"/>
        </w:trPr>
        <w:tc>
          <w:tcPr>
            <w:tcW w:w="2220" w:type="dxa"/>
            <w:vAlign w:val="bottom"/>
          </w:tcPr>
          <w:p>
            <w:pPr>
              <w:spacing w:after="0" w:line="230" w:lineRule="exact"/>
              <w:rPr>
                <w:sz w:val="20"/>
                <w:szCs w:val="20"/>
                <w:color w:val="auto"/>
              </w:rPr>
            </w:pPr>
            <w:r>
              <w:rPr>
                <w:rFonts w:ascii="Arial" w:cs="Arial" w:eastAsia="Arial" w:hAnsi="Arial"/>
                <w:sz w:val="20"/>
                <w:szCs w:val="20"/>
                <w:color w:val="auto"/>
                <w:w w:val="98"/>
              </w:rPr>
              <w:t xml:space="preserve">Large accelerated filer </w:t>
            </w:r>
            <w:r>
              <w:rPr>
                <w:rFonts w:ascii="MS PGothic" w:cs="MS PGothic" w:eastAsia="MS PGothic" w:hAnsi="MS PGothic"/>
                <w:sz w:val="20"/>
                <w:szCs w:val="20"/>
                <w:color w:val="auto"/>
                <w:w w:val="98"/>
              </w:rPr>
              <w:t>☐</w:t>
            </w:r>
          </w:p>
        </w:tc>
        <w:tc>
          <w:tcPr>
            <w:tcW w:w="2080" w:type="dxa"/>
            <w:vAlign w:val="bottom"/>
          </w:tcPr>
          <w:p>
            <w:pPr>
              <w:ind w:left="180"/>
              <w:spacing w:after="0" w:line="230" w:lineRule="exact"/>
              <w:rPr>
                <w:sz w:val="20"/>
                <w:szCs w:val="20"/>
                <w:color w:val="auto"/>
              </w:rPr>
            </w:pPr>
            <w:r>
              <w:rPr>
                <w:rFonts w:ascii="Arial" w:cs="Arial" w:eastAsia="Arial" w:hAnsi="Arial"/>
                <w:sz w:val="20"/>
                <w:szCs w:val="20"/>
                <w:color w:val="auto"/>
              </w:rPr>
              <w:t xml:space="preserve">Accelerated filer </w:t>
            </w:r>
            <w:r>
              <w:rPr>
                <w:rFonts w:ascii="MS PGothic" w:cs="MS PGothic" w:eastAsia="MS PGothic" w:hAnsi="MS PGothic"/>
                <w:sz w:val="20"/>
                <w:szCs w:val="20"/>
                <w:color w:val="auto"/>
              </w:rPr>
              <w:t>☐</w:t>
            </w:r>
          </w:p>
        </w:tc>
        <w:tc>
          <w:tcPr>
            <w:tcW w:w="2740" w:type="dxa"/>
            <w:vAlign w:val="bottom"/>
          </w:tcPr>
          <w:p>
            <w:pPr>
              <w:jc w:val="center"/>
              <w:spacing w:after="0" w:line="230" w:lineRule="exact"/>
              <w:rPr>
                <w:sz w:val="20"/>
                <w:szCs w:val="20"/>
                <w:color w:val="auto"/>
              </w:rPr>
            </w:pPr>
            <w:r>
              <w:rPr>
                <w:rFonts w:ascii="Arial" w:cs="Arial" w:eastAsia="Arial" w:hAnsi="Arial"/>
                <w:sz w:val="20"/>
                <w:szCs w:val="20"/>
                <w:color w:val="auto"/>
                <w:w w:val="90"/>
              </w:rPr>
              <w:t xml:space="preserve">Non-accelerated filer </w:t>
            </w:r>
            <w:r>
              <w:rPr>
                <w:rFonts w:ascii="MS PGothic" w:cs="MS PGothic" w:eastAsia="MS PGothic" w:hAnsi="MS PGothic"/>
                <w:sz w:val="20"/>
                <w:szCs w:val="20"/>
                <w:color w:val="auto"/>
                <w:w w:val="90"/>
              </w:rPr>
              <w:t>☒</w:t>
            </w:r>
          </w:p>
        </w:tc>
        <w:tc>
          <w:tcPr>
            <w:tcW w:w="2140" w:type="dxa"/>
            <w:vAlign w:val="bottom"/>
          </w:tcPr>
          <w:p>
            <w:pPr>
              <w:jc w:val="center"/>
              <w:spacing w:after="0"/>
              <w:rPr>
                <w:sz w:val="20"/>
                <w:szCs w:val="20"/>
                <w:color w:val="auto"/>
              </w:rPr>
            </w:pPr>
            <w:r>
              <w:rPr>
                <w:rFonts w:ascii="Arial" w:cs="Arial" w:eastAsia="Arial" w:hAnsi="Arial"/>
                <w:sz w:val="20"/>
                <w:szCs w:val="20"/>
                <w:color w:val="auto"/>
                <w:w w:val="91"/>
              </w:rPr>
              <w:t>Smaller reporting</w:t>
            </w:r>
          </w:p>
        </w:tc>
        <w:tc>
          <w:tcPr>
            <w:tcW w:w="1780" w:type="dxa"/>
            <w:vAlign w:val="bottom"/>
          </w:tcPr>
          <w:p>
            <w:pPr>
              <w:jc w:val="center"/>
              <w:ind w:left="301"/>
              <w:spacing w:after="0"/>
              <w:rPr>
                <w:sz w:val="20"/>
                <w:szCs w:val="20"/>
                <w:color w:val="auto"/>
              </w:rPr>
            </w:pPr>
            <w:r>
              <w:rPr>
                <w:rFonts w:ascii="Arial" w:cs="Arial" w:eastAsia="Arial" w:hAnsi="Arial"/>
                <w:sz w:val="20"/>
                <w:szCs w:val="20"/>
                <w:color w:val="auto"/>
                <w:w w:val="91"/>
              </w:rPr>
              <w:t>Emerging growth</w:t>
            </w:r>
          </w:p>
        </w:tc>
      </w:tr>
      <w:tr>
        <w:trPr>
          <w:trHeight w:val="267"/>
        </w:trPr>
        <w:tc>
          <w:tcPr>
            <w:tcW w:w="22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740" w:type="dxa"/>
            <w:vAlign w:val="bottom"/>
          </w:tcPr>
          <w:p>
            <w:pPr>
              <w:jc w:val="center"/>
              <w:spacing w:after="0"/>
              <w:rPr>
                <w:sz w:val="20"/>
                <w:szCs w:val="20"/>
                <w:color w:val="auto"/>
              </w:rPr>
            </w:pPr>
            <w:r>
              <w:rPr>
                <w:rFonts w:ascii="Arial" w:cs="Arial" w:eastAsia="Arial" w:hAnsi="Arial"/>
                <w:sz w:val="20"/>
                <w:szCs w:val="20"/>
                <w:color w:val="auto"/>
                <w:w w:val="91"/>
              </w:rPr>
              <w:t>(Do not check if a smaller</w:t>
            </w:r>
          </w:p>
        </w:tc>
        <w:tc>
          <w:tcPr>
            <w:tcW w:w="2140" w:type="dxa"/>
            <w:vAlign w:val="bottom"/>
          </w:tcPr>
          <w:p>
            <w:pPr>
              <w:jc w:val="center"/>
              <w:spacing w:after="0" w:line="230" w:lineRule="exact"/>
              <w:rPr>
                <w:sz w:val="20"/>
                <w:szCs w:val="20"/>
                <w:color w:val="auto"/>
              </w:rPr>
            </w:pPr>
            <w:r>
              <w:rPr>
                <w:rFonts w:ascii="Arial" w:cs="Arial" w:eastAsia="Arial" w:hAnsi="Arial"/>
                <w:sz w:val="20"/>
                <w:szCs w:val="20"/>
                <w:color w:val="auto"/>
                <w:w w:val="93"/>
              </w:rPr>
              <w:t xml:space="preserve">company </w:t>
            </w:r>
            <w:r>
              <w:rPr>
                <w:rFonts w:ascii="MS PGothic" w:cs="MS PGothic" w:eastAsia="MS PGothic" w:hAnsi="MS PGothic"/>
                <w:sz w:val="20"/>
                <w:szCs w:val="20"/>
                <w:color w:val="auto"/>
                <w:w w:val="93"/>
              </w:rPr>
              <w:t>☐</w:t>
            </w:r>
          </w:p>
        </w:tc>
        <w:tc>
          <w:tcPr>
            <w:tcW w:w="1780" w:type="dxa"/>
            <w:vAlign w:val="bottom"/>
          </w:tcPr>
          <w:p>
            <w:pPr>
              <w:jc w:val="center"/>
              <w:ind w:left="321"/>
              <w:spacing w:after="0" w:line="230" w:lineRule="exact"/>
              <w:rPr>
                <w:sz w:val="20"/>
                <w:szCs w:val="20"/>
                <w:color w:val="auto"/>
              </w:rPr>
            </w:pPr>
            <w:r>
              <w:rPr>
                <w:rFonts w:ascii="Arial" w:cs="Arial" w:eastAsia="Arial" w:hAnsi="Arial"/>
                <w:sz w:val="20"/>
                <w:szCs w:val="20"/>
                <w:color w:val="auto"/>
                <w:w w:val="93"/>
              </w:rPr>
              <w:t xml:space="preserve">company </w:t>
            </w:r>
            <w:r>
              <w:rPr>
                <w:rFonts w:ascii="MS PGothic" w:cs="MS PGothic" w:eastAsia="MS PGothic" w:hAnsi="MS PGothic"/>
                <w:sz w:val="20"/>
                <w:szCs w:val="20"/>
                <w:color w:val="auto"/>
                <w:w w:val="93"/>
              </w:rPr>
              <w:t>☒</w:t>
            </w:r>
          </w:p>
        </w:tc>
      </w:tr>
      <w:tr>
        <w:trPr>
          <w:trHeight w:val="250"/>
        </w:trPr>
        <w:tc>
          <w:tcPr>
            <w:tcW w:w="22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Arial" w:cs="Arial" w:eastAsia="Arial" w:hAnsi="Arial"/>
                <w:sz w:val="20"/>
                <w:szCs w:val="20"/>
                <w:color w:val="auto"/>
                <w:w w:val="91"/>
              </w:rPr>
              <w:t>reporting company)</w:t>
            </w:r>
          </w:p>
        </w:tc>
        <w:tc>
          <w:tcPr>
            <w:tcW w:w="2140" w:type="dxa"/>
            <w:vAlign w:val="bottom"/>
          </w:tcPr>
          <w:p>
            <w:pPr>
              <w:spacing w:after="0"/>
              <w:rPr>
                <w:sz w:val="21"/>
                <w:szCs w:val="21"/>
                <w:color w:val="auto"/>
              </w:rPr>
            </w:pPr>
          </w:p>
        </w:tc>
        <w:tc>
          <w:tcPr>
            <w:tcW w:w="1780" w:type="dxa"/>
            <w:vAlign w:val="bottom"/>
          </w:tcPr>
          <w:p>
            <w:pPr>
              <w:spacing w:after="0"/>
              <w:rPr>
                <w:sz w:val="21"/>
                <w:szCs w:val="21"/>
                <w:color w:val="auto"/>
              </w:rPr>
            </w:pPr>
          </w:p>
        </w:tc>
      </w:tr>
    </w:tbl>
    <w:p>
      <w:pPr>
        <w:spacing w:after="0" w:line="209" w:lineRule="exact"/>
        <w:rPr>
          <w:sz w:val="24"/>
          <w:szCs w:val="24"/>
          <w:color w:val="auto"/>
        </w:rPr>
      </w:pPr>
    </w:p>
    <w:p>
      <w:pPr>
        <w:ind w:firstLine="648"/>
        <w:spacing w:after="0" w:line="258"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3" w:lineRule="exact"/>
        <w:rPr>
          <w:sz w:val="24"/>
          <w:szCs w:val="24"/>
          <w:color w:val="auto"/>
        </w:rPr>
      </w:pPr>
    </w:p>
    <w:p>
      <w:pPr>
        <w:ind w:left="660"/>
        <w:spacing w:after="0" w:line="230" w:lineRule="exact"/>
        <w:tabs>
          <w:tab w:leader="none" w:pos="10440" w:val="left"/>
        </w:tabs>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sz w:val="20"/>
          <w:szCs w:val="20"/>
          <w:color w:val="auto"/>
        </w:rPr>
        <w:tab/>
      </w:r>
      <w:r>
        <w:rPr>
          <w:rFonts w:ascii="Arial" w:cs="Arial" w:eastAsia="Arial" w:hAnsi="Arial"/>
          <w:sz w:val="20"/>
          <w:szCs w:val="20"/>
          <w:color w:val="auto"/>
        </w:rPr>
        <w:t xml:space="preserve">No </w:t>
      </w:r>
      <w:r>
        <w:rPr>
          <w:rFonts w:ascii="MS PGothic" w:cs="MS PGothic" w:eastAsia="MS PGothic" w:hAnsi="MS PGothic"/>
          <w:sz w:val="20"/>
          <w:szCs w:val="20"/>
          <w:color w:val="auto"/>
        </w:rPr>
        <w:t>☒</w:t>
      </w:r>
    </w:p>
    <w:p>
      <w:pPr>
        <w:spacing w:after="0" w:line="267" w:lineRule="exact"/>
        <w:rPr>
          <w:sz w:val="24"/>
          <w:szCs w:val="24"/>
          <w:color w:val="auto"/>
        </w:rPr>
      </w:pPr>
    </w:p>
    <w:p>
      <w:pPr>
        <w:ind w:firstLine="648"/>
        <w:spacing w:after="0" w:line="260" w:lineRule="auto"/>
        <w:rPr>
          <w:sz w:val="20"/>
          <w:szCs w:val="20"/>
          <w:color w:val="auto"/>
        </w:rPr>
      </w:pPr>
      <w:r>
        <w:rPr>
          <w:rFonts w:ascii="Arial" w:cs="Arial" w:eastAsia="Arial" w:hAnsi="Arial"/>
          <w:sz w:val="20"/>
          <w:szCs w:val="20"/>
          <w:color w:val="auto"/>
        </w:rPr>
        <w:t>The total number of shares of common stock, par value $.01 per share, outstanding as of August 9, 2018 was 20,441,590.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6" w:right="239" w:bottom="87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960" w:type="dxa"/>
            <w:vAlign w:val="bottom"/>
            <w:gridSpan w:val="4"/>
          </w:tcPr>
          <w:p>
            <w:pPr>
              <w:spacing w:after="0"/>
              <w:rPr>
                <w:rFonts w:ascii="Arial" w:cs="Arial" w:eastAsia="Arial" w:hAnsi="Arial"/>
                <w:sz w:val="22"/>
                <w:szCs w:val="22"/>
                <w:color w:val="0000EE"/>
              </w:rPr>
            </w:pPr>
            <w:hyperlink w:anchor="page2">
              <w:r>
                <w:rPr>
                  <w:rFonts w:ascii="Arial" w:cs="Arial" w:eastAsia="Arial" w:hAnsi="Arial"/>
                  <w:sz w:val="22"/>
                  <w:szCs w:val="22"/>
                  <w:color w:val="0000EE"/>
                </w:rPr>
                <w:t>Table of Contents</w:t>
              </w:r>
            </w:hyperlink>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6"/>
        </w:trPr>
        <w:tc>
          <w:tcPr>
            <w:tcW w:w="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gridSpan w:val="14"/>
          </w:tcPr>
          <w:p>
            <w:pPr>
              <w:jc w:val="center"/>
              <w:ind w:right="2900"/>
              <w:spacing w:after="0"/>
              <w:rPr>
                <w:sz w:val="20"/>
                <w:szCs w:val="20"/>
                <w:color w:val="auto"/>
              </w:rPr>
            </w:pPr>
            <w:r>
              <w:rPr>
                <w:rFonts w:ascii="Arial" w:cs="Arial" w:eastAsia="Arial" w:hAnsi="Arial"/>
                <w:sz w:val="22"/>
                <w:szCs w:val="22"/>
                <w:b w:val="1"/>
                <w:bCs w:val="1"/>
                <w:color w:val="auto"/>
                <w:w w:val="99"/>
              </w:rPr>
              <w:t>SEACOR MARINE HOLDINGS INC.</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10"/>
          </w:tcPr>
          <w:p>
            <w:pPr>
              <w:jc w:val="center"/>
              <w:ind w:right="4220"/>
              <w:spacing w:after="0"/>
              <w:rPr>
                <w:sz w:val="20"/>
                <w:szCs w:val="20"/>
                <w:color w:val="auto"/>
              </w:rPr>
            </w:pPr>
            <w:r>
              <w:rPr>
                <w:rFonts w:ascii="Arial" w:cs="Arial" w:eastAsia="Arial" w:hAnsi="Arial"/>
                <w:sz w:val="22"/>
                <w:szCs w:val="22"/>
                <w:b w:val="1"/>
                <w:bCs w:val="1"/>
                <w:color w:val="auto"/>
                <w:w w:val="87"/>
              </w:rPr>
              <w:t>Table of Contents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line="203" w:lineRule="exact"/>
              <w:rPr>
                <w:sz w:val="20"/>
                <w:szCs w:val="20"/>
                <w:color w:val="auto"/>
              </w:rPr>
            </w:pPr>
            <w:r>
              <w:rPr>
                <w:rFonts w:ascii="Arial" w:cs="Arial" w:eastAsia="Arial" w:hAnsi="Arial"/>
                <w:sz w:val="22"/>
                <w:szCs w:val="22"/>
                <w:color w:val="auto"/>
              </w:rPr>
              <w:t>Part I.</w:t>
            </w:r>
          </w:p>
        </w:tc>
        <w:tc>
          <w:tcPr>
            <w:tcW w:w="9800" w:type="dxa"/>
            <w:vAlign w:val="bottom"/>
            <w:gridSpan w:val="24"/>
            <w:shd w:val="clear" w:color="auto" w:fill="CCEEFF"/>
          </w:tcPr>
          <w:p>
            <w:pPr>
              <w:spacing w:after="0" w:line="203" w:lineRule="exact"/>
              <w:rPr>
                <w:rFonts w:ascii="Arial" w:cs="Arial" w:eastAsia="Arial" w:hAnsi="Arial"/>
                <w:sz w:val="22"/>
                <w:szCs w:val="22"/>
                <w:color w:val="0000EE"/>
              </w:rPr>
            </w:pPr>
            <w:hyperlink w:anchor="page3">
              <w:r>
                <w:rPr>
                  <w:rFonts w:ascii="Arial" w:cs="Arial" w:eastAsia="Arial" w:hAnsi="Arial"/>
                  <w:sz w:val="22"/>
                  <w:szCs w:val="22"/>
                  <w:color w:val="0000EE"/>
                </w:rPr>
                <w:t>Financial Information</w:t>
              </w:r>
            </w:hyperlink>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1.</w:t>
            </w:r>
          </w:p>
        </w:tc>
        <w:tc>
          <w:tcPr>
            <w:tcW w:w="8800" w:type="dxa"/>
            <w:vAlign w:val="bottom"/>
            <w:gridSpan w:val="22"/>
            <w:shd w:val="clear" w:color="auto" w:fill="CCEEFF"/>
          </w:tcPr>
          <w:p>
            <w:pPr>
              <w:spacing w:after="0" w:line="203" w:lineRule="exact"/>
              <w:rPr>
                <w:rFonts w:ascii="Arial" w:cs="Arial" w:eastAsia="Arial" w:hAnsi="Arial"/>
                <w:sz w:val="22"/>
                <w:szCs w:val="22"/>
                <w:color w:val="0000EE"/>
              </w:rPr>
            </w:pPr>
            <w:hyperlink w:anchor="page3">
              <w:r>
                <w:rPr>
                  <w:rFonts w:ascii="Arial" w:cs="Arial" w:eastAsia="Arial" w:hAnsi="Arial"/>
                  <w:sz w:val="22"/>
                  <w:szCs w:val="22"/>
                  <w:color w:val="0000EE"/>
                </w:rPr>
                <w:t>Financial Statements (Unaudited)</w:t>
              </w:r>
            </w:hyperlink>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0" w:type="dxa"/>
            <w:vAlign w:val="bottom"/>
            <w:gridSpan w:val="22"/>
            <w:shd w:val="clear" w:color="auto" w:fill="CCEEFF"/>
          </w:tcPr>
          <w:p>
            <w:pPr>
              <w:spacing w:after="0" w:line="203" w:lineRule="exact"/>
              <w:rPr>
                <w:rFonts w:ascii="Arial" w:cs="Arial" w:eastAsia="Arial" w:hAnsi="Arial"/>
                <w:sz w:val="22"/>
                <w:szCs w:val="22"/>
                <w:color w:val="0000EE"/>
              </w:rPr>
            </w:pPr>
            <w:hyperlink w:anchor="page3">
              <w:r>
                <w:rPr>
                  <w:rFonts w:ascii="Arial" w:cs="Arial" w:eastAsia="Arial" w:hAnsi="Arial"/>
                  <w:sz w:val="22"/>
                  <w:szCs w:val="22"/>
                  <w:color w:val="0000EE"/>
                </w:rPr>
                <w:t>Condensed Consolidated Balance Sheets as of June 30, 2018 and December 31, 2017</w:t>
              </w:r>
            </w:hyperlink>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140" w:type="dxa"/>
            <w:vAlign w:val="bottom"/>
            <w:tcBorders>
              <w:top w:val="single" w:sz="8" w:color="0000EE"/>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340" w:type="dxa"/>
            <w:vAlign w:val="bottom"/>
            <w:tcBorders>
              <w:bottom w:val="single" w:sz="8" w:color="0000EE"/>
            </w:tcBorders>
            <w:gridSpan w:val="20"/>
            <w:shd w:val="clear" w:color="auto" w:fill="CCEEFF"/>
          </w:tcPr>
          <w:p>
            <w:pPr>
              <w:spacing w:after="0" w:line="203" w:lineRule="exact"/>
              <w:rPr>
                <w:rFonts w:ascii="Arial" w:cs="Arial" w:eastAsia="Arial" w:hAnsi="Arial"/>
                <w:sz w:val="22"/>
                <w:szCs w:val="22"/>
                <w:color w:val="0000EE"/>
                <w:w w:val="87"/>
              </w:rPr>
            </w:pPr>
            <w:hyperlink w:anchor="page4">
              <w:r>
                <w:rPr>
                  <w:rFonts w:ascii="Arial" w:cs="Arial" w:eastAsia="Arial" w:hAnsi="Arial"/>
                  <w:sz w:val="22"/>
                  <w:szCs w:val="22"/>
                  <w:color w:val="0000EE"/>
                  <w:w w:val="87"/>
                </w:rPr>
                <w:t>Condensed Consolidated Statements of Loss for the Three and Six Months Ended June 30, 2018</w:t>
              </w:r>
            </w:hyperlink>
          </w:p>
        </w:tc>
        <w:tc>
          <w:tcPr>
            <w:tcW w:w="46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22"/>
                <w:szCs w:val="22"/>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0" w:type="dxa"/>
            <w:vAlign w:val="bottom"/>
            <w:gridSpan w:val="22"/>
            <w:shd w:val="clear" w:color="auto" w:fill="CCEEFF"/>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and 2017</w:t>
              </w:r>
            </w:hyperlink>
          </w:p>
        </w:tc>
        <w:tc>
          <w:tcPr>
            <w:tcW w:w="64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880" w:type="dxa"/>
            <w:vAlign w:val="bottom"/>
            <w:tcBorders>
              <w:bottom w:val="single" w:sz="8" w:color="0000EE"/>
            </w:tcBorders>
            <w:gridSpan w:val="18"/>
            <w:shd w:val="clear" w:color="auto" w:fill="CCEEFF"/>
          </w:tcPr>
          <w:p>
            <w:pPr>
              <w:spacing w:after="0" w:line="203" w:lineRule="exact"/>
              <w:rPr>
                <w:rFonts w:ascii="Arial" w:cs="Arial" w:eastAsia="Arial" w:hAnsi="Arial"/>
                <w:sz w:val="22"/>
                <w:szCs w:val="22"/>
                <w:color w:val="0000EE"/>
                <w:w w:val="88"/>
              </w:rPr>
            </w:pPr>
            <w:hyperlink w:anchor="page5">
              <w:r>
                <w:rPr>
                  <w:rFonts w:ascii="Arial" w:cs="Arial" w:eastAsia="Arial" w:hAnsi="Arial"/>
                  <w:sz w:val="22"/>
                  <w:szCs w:val="22"/>
                  <w:color w:val="0000EE"/>
                  <w:w w:val="88"/>
                </w:rPr>
                <w:t>Condensed Consolidated Statements of Comprehensive Loss for the Three and Six Months</w:t>
              </w:r>
            </w:hyperlink>
          </w:p>
        </w:tc>
        <w:tc>
          <w:tcPr>
            <w:tcW w:w="92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22"/>
                <w:szCs w:val="22"/>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0" w:type="dxa"/>
            <w:vAlign w:val="bottom"/>
            <w:gridSpan w:val="22"/>
            <w:shd w:val="clear" w:color="auto" w:fill="CCEEFF"/>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Ended June 30, 2018 and 2017</w:t>
              </w:r>
            </w:hyperlink>
          </w:p>
        </w:tc>
        <w:tc>
          <w:tcPr>
            <w:tcW w:w="64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0" w:type="dxa"/>
            <w:vAlign w:val="bottom"/>
            <w:gridSpan w:val="22"/>
            <w:shd w:val="clear" w:color="auto" w:fill="CCEEFF"/>
          </w:tcPr>
          <w:p>
            <w:pPr>
              <w:spacing w:after="0" w:line="203" w:lineRule="exact"/>
              <w:rPr>
                <w:rFonts w:ascii="Arial" w:cs="Arial" w:eastAsia="Arial" w:hAnsi="Arial"/>
                <w:sz w:val="22"/>
                <w:szCs w:val="22"/>
                <w:color w:val="0000EE"/>
                <w:w w:val="96"/>
              </w:rPr>
            </w:pPr>
            <w:hyperlink w:anchor="page6">
              <w:r>
                <w:rPr>
                  <w:rFonts w:ascii="Arial" w:cs="Arial" w:eastAsia="Arial" w:hAnsi="Arial"/>
                  <w:sz w:val="22"/>
                  <w:szCs w:val="22"/>
                  <w:color w:val="0000EE"/>
                  <w:w w:val="96"/>
                </w:rPr>
                <w:t>Condensed Consolidated Statement of Changes in Equity for the Six Months Ended June 30,</w:t>
              </w:r>
            </w:hyperlink>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0000EE"/>
            </w:tcBorders>
            <w:gridSpan w:val="2"/>
            <w:shd w:val="clear" w:color="auto" w:fill="CCEEFF"/>
          </w:tcPr>
          <w:p>
            <w:pPr>
              <w:spacing w:after="0" w:line="223" w:lineRule="exact"/>
              <w:rPr>
                <w:rFonts w:ascii="Arial" w:cs="Arial" w:eastAsia="Arial" w:hAnsi="Arial"/>
                <w:sz w:val="22"/>
                <w:szCs w:val="22"/>
                <w:color w:val="0000EE"/>
              </w:rPr>
            </w:pPr>
            <w:hyperlink w:anchor="page6">
              <w:r>
                <w:rPr>
                  <w:rFonts w:ascii="Arial" w:cs="Arial" w:eastAsia="Arial" w:hAnsi="Arial"/>
                  <w:sz w:val="22"/>
                  <w:szCs w:val="22"/>
                  <w:color w:val="0000EE"/>
                </w:rPr>
                <w:t>2018</w:t>
              </w:r>
            </w:hyperlink>
          </w:p>
        </w:tc>
        <w:tc>
          <w:tcPr>
            <w:tcW w:w="14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4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540" w:type="dxa"/>
            <w:vAlign w:val="bottom"/>
            <w:tcBorders>
              <w:top w:val="single" w:sz="8" w:color="0000EE"/>
            </w:tcBorders>
            <w:shd w:val="clear" w:color="auto" w:fill="CCEEFF"/>
          </w:tcPr>
          <w:p>
            <w:pPr>
              <w:spacing w:after="0"/>
              <w:rPr>
                <w:sz w:val="21"/>
                <w:szCs w:val="21"/>
                <w:color w:val="auto"/>
              </w:rPr>
            </w:pPr>
          </w:p>
        </w:tc>
        <w:tc>
          <w:tcPr>
            <w:tcW w:w="54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1880" w:type="dxa"/>
            <w:vAlign w:val="bottom"/>
            <w:tcBorders>
              <w:top w:val="single" w:sz="8" w:color="0000EE"/>
            </w:tcBorders>
            <w:shd w:val="clear" w:color="auto" w:fill="CCEEFF"/>
          </w:tcPr>
          <w:p>
            <w:pPr>
              <w:spacing w:after="0"/>
              <w:rPr>
                <w:sz w:val="21"/>
                <w:szCs w:val="21"/>
                <w:color w:val="auto"/>
              </w:rPr>
            </w:pPr>
          </w:p>
        </w:tc>
        <w:tc>
          <w:tcPr>
            <w:tcW w:w="4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140" w:type="dxa"/>
            <w:vAlign w:val="bottom"/>
            <w:tcBorders>
              <w:top w:val="single" w:sz="8" w:color="0000EE"/>
            </w:tcBorders>
            <w:shd w:val="clear" w:color="auto" w:fill="CCEEFF"/>
          </w:tcPr>
          <w:p>
            <w:pPr>
              <w:spacing w:after="0"/>
              <w:rPr>
                <w:sz w:val="21"/>
                <w:szCs w:val="21"/>
                <w:color w:val="auto"/>
              </w:rPr>
            </w:pPr>
          </w:p>
        </w:tc>
        <w:tc>
          <w:tcPr>
            <w:tcW w:w="38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140" w:type="dxa"/>
            <w:vAlign w:val="bottom"/>
            <w:tcBorders>
              <w:top w:val="single" w:sz="8" w:color="0000EE"/>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0" w:type="dxa"/>
            <w:vAlign w:val="bottom"/>
            <w:gridSpan w:val="22"/>
            <w:shd w:val="clear" w:color="auto" w:fill="CCEEFF"/>
          </w:tcPr>
          <w:p>
            <w:pPr>
              <w:spacing w:after="0" w:line="203" w:lineRule="exact"/>
              <w:rPr>
                <w:rFonts w:ascii="Arial" w:cs="Arial" w:eastAsia="Arial" w:hAnsi="Arial"/>
                <w:sz w:val="22"/>
                <w:szCs w:val="22"/>
                <w:color w:val="0000EE"/>
                <w:w w:val="92"/>
              </w:rPr>
            </w:pPr>
            <w:hyperlink w:anchor="page7">
              <w:r>
                <w:rPr>
                  <w:rFonts w:ascii="Arial" w:cs="Arial" w:eastAsia="Arial" w:hAnsi="Arial"/>
                  <w:sz w:val="22"/>
                  <w:szCs w:val="22"/>
                  <w:color w:val="0000EE"/>
                  <w:w w:val="92"/>
                </w:rPr>
                <w:t>Condensed Consolidated Statements of Cash Flows for the Six Months Ended June 30, 2018 and</w:t>
              </w:r>
            </w:hyperlink>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0000EE"/>
            </w:tcBorders>
            <w:gridSpan w:val="2"/>
            <w:shd w:val="clear" w:color="auto" w:fill="CCEEFF"/>
          </w:tcPr>
          <w:p>
            <w:pPr>
              <w:spacing w:after="0" w:line="223" w:lineRule="exact"/>
              <w:rPr>
                <w:rFonts w:ascii="Arial" w:cs="Arial" w:eastAsia="Arial" w:hAnsi="Arial"/>
                <w:sz w:val="22"/>
                <w:szCs w:val="22"/>
                <w:color w:val="0000EE"/>
              </w:rPr>
            </w:pPr>
            <w:hyperlink w:anchor="page7">
              <w:r>
                <w:rPr>
                  <w:rFonts w:ascii="Arial" w:cs="Arial" w:eastAsia="Arial" w:hAnsi="Arial"/>
                  <w:sz w:val="22"/>
                  <w:szCs w:val="22"/>
                  <w:color w:val="0000EE"/>
                </w:rPr>
                <w:t>2017</w:t>
              </w:r>
            </w:hyperlink>
          </w:p>
        </w:tc>
        <w:tc>
          <w:tcPr>
            <w:tcW w:w="14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4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540" w:type="dxa"/>
            <w:vAlign w:val="bottom"/>
            <w:tcBorders>
              <w:top w:val="single" w:sz="8" w:color="0000EE"/>
            </w:tcBorders>
            <w:shd w:val="clear" w:color="auto" w:fill="CCEEFF"/>
          </w:tcPr>
          <w:p>
            <w:pPr>
              <w:spacing w:after="0"/>
              <w:rPr>
                <w:sz w:val="21"/>
                <w:szCs w:val="21"/>
                <w:color w:val="auto"/>
              </w:rPr>
            </w:pPr>
          </w:p>
        </w:tc>
        <w:tc>
          <w:tcPr>
            <w:tcW w:w="54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1880" w:type="dxa"/>
            <w:vAlign w:val="bottom"/>
            <w:tcBorders>
              <w:top w:val="single" w:sz="8" w:color="0000EE"/>
            </w:tcBorders>
            <w:shd w:val="clear" w:color="auto" w:fill="CCEEFF"/>
          </w:tcPr>
          <w:p>
            <w:pPr>
              <w:spacing w:after="0"/>
              <w:rPr>
                <w:sz w:val="21"/>
                <w:szCs w:val="21"/>
                <w:color w:val="auto"/>
              </w:rPr>
            </w:pPr>
          </w:p>
        </w:tc>
        <w:tc>
          <w:tcPr>
            <w:tcW w:w="4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140" w:type="dxa"/>
            <w:vAlign w:val="bottom"/>
            <w:tcBorders>
              <w:top w:val="single" w:sz="8" w:color="0000EE"/>
            </w:tcBorders>
            <w:shd w:val="clear" w:color="auto" w:fill="CCEEFF"/>
          </w:tcPr>
          <w:p>
            <w:pPr>
              <w:spacing w:after="0"/>
              <w:rPr>
                <w:sz w:val="21"/>
                <w:szCs w:val="21"/>
                <w:color w:val="auto"/>
              </w:rPr>
            </w:pPr>
          </w:p>
        </w:tc>
        <w:tc>
          <w:tcPr>
            <w:tcW w:w="38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140" w:type="dxa"/>
            <w:vAlign w:val="bottom"/>
            <w:tcBorders>
              <w:top w:val="single" w:sz="8" w:color="0000EE"/>
            </w:tcBorders>
            <w:shd w:val="clear" w:color="auto" w:fill="CCEEFF"/>
          </w:tcPr>
          <w:p>
            <w:pPr>
              <w:spacing w:after="0"/>
              <w:rPr>
                <w:sz w:val="21"/>
                <w:szCs w:val="21"/>
                <w:color w:val="auto"/>
              </w:rPr>
            </w:pPr>
          </w:p>
        </w:tc>
        <w:tc>
          <w:tcPr>
            <w:tcW w:w="32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42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0" w:type="dxa"/>
            <w:vAlign w:val="bottom"/>
            <w:gridSpan w:val="22"/>
            <w:shd w:val="clear" w:color="auto" w:fill="CCEEFF"/>
          </w:tcPr>
          <w:p>
            <w:pPr>
              <w:spacing w:after="0" w:line="203" w:lineRule="exact"/>
              <w:rPr>
                <w:rFonts w:ascii="Arial" w:cs="Arial" w:eastAsia="Arial" w:hAnsi="Arial"/>
                <w:sz w:val="22"/>
                <w:szCs w:val="22"/>
                <w:color w:val="0000EE"/>
              </w:rPr>
            </w:pPr>
            <w:hyperlink w:anchor="page8">
              <w:r>
                <w:rPr>
                  <w:rFonts w:ascii="Arial" w:cs="Arial" w:eastAsia="Arial" w:hAnsi="Arial"/>
                  <w:sz w:val="22"/>
                  <w:szCs w:val="22"/>
                  <w:color w:val="0000EE"/>
                </w:rPr>
                <w:t>Notes to Condensed Consolidated Financial Statements</w:t>
              </w:r>
            </w:hyperlink>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80" w:type="dxa"/>
            <w:vAlign w:val="bottom"/>
            <w:tcBorders>
              <w:top w:val="single" w:sz="8" w:color="0000EE"/>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2.</w:t>
            </w:r>
          </w:p>
        </w:tc>
        <w:tc>
          <w:tcPr>
            <w:tcW w:w="8800" w:type="dxa"/>
            <w:vAlign w:val="bottom"/>
            <w:gridSpan w:val="22"/>
            <w:shd w:val="clear" w:color="auto" w:fill="CCEEFF"/>
          </w:tcPr>
          <w:p>
            <w:pPr>
              <w:spacing w:after="0" w:line="203" w:lineRule="exact"/>
              <w:rPr>
                <w:rFonts w:ascii="Arial" w:cs="Arial" w:eastAsia="Arial" w:hAnsi="Arial"/>
                <w:sz w:val="22"/>
                <w:szCs w:val="22"/>
                <w:color w:val="0000EE"/>
              </w:rPr>
            </w:pPr>
            <w:hyperlink w:anchor="page26">
              <w:r>
                <w:rPr>
                  <w:rFonts w:ascii="Arial" w:cs="Arial" w:eastAsia="Arial" w:hAnsi="Arial"/>
                  <w:sz w:val="22"/>
                  <w:szCs w:val="22"/>
                  <w:color w:val="0000EE"/>
                </w:rPr>
                <w:t>Management’s Discussion and Analysis of Financial Condition and Results of Operations</w:t>
              </w:r>
            </w:hyperlink>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19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14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3.</w:t>
            </w:r>
          </w:p>
        </w:tc>
        <w:tc>
          <w:tcPr>
            <w:tcW w:w="8800" w:type="dxa"/>
            <w:vAlign w:val="bottom"/>
            <w:gridSpan w:val="22"/>
            <w:shd w:val="clear" w:color="auto" w:fill="CCEEFF"/>
          </w:tcPr>
          <w:p>
            <w:pPr>
              <w:spacing w:after="0" w:line="203" w:lineRule="exact"/>
              <w:rPr>
                <w:rFonts w:ascii="Arial" w:cs="Arial" w:eastAsia="Arial" w:hAnsi="Arial"/>
                <w:sz w:val="22"/>
                <w:szCs w:val="22"/>
                <w:color w:val="0000EE"/>
              </w:rPr>
            </w:pPr>
            <w:hyperlink w:anchor="page51">
              <w:r>
                <w:rPr>
                  <w:rFonts w:ascii="Arial" w:cs="Arial" w:eastAsia="Arial" w:hAnsi="Arial"/>
                  <w:sz w:val="22"/>
                  <w:szCs w:val="22"/>
                  <w:color w:val="0000EE"/>
                </w:rPr>
                <w:t>Quantitative and Qualitative Disclosures About Market Risk</w:t>
              </w:r>
            </w:hyperlink>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4.</w:t>
            </w:r>
          </w:p>
        </w:tc>
        <w:tc>
          <w:tcPr>
            <w:tcW w:w="2140" w:type="dxa"/>
            <w:vAlign w:val="bottom"/>
            <w:tcBorders>
              <w:bottom w:val="single" w:sz="8" w:color="0000EE"/>
            </w:tcBorders>
            <w:gridSpan w:val="9"/>
            <w:shd w:val="clear" w:color="auto" w:fill="CCEEFF"/>
          </w:tcPr>
          <w:p>
            <w:pPr>
              <w:spacing w:after="0" w:line="203" w:lineRule="exact"/>
              <w:rPr>
                <w:rFonts w:ascii="Arial" w:cs="Arial" w:eastAsia="Arial" w:hAnsi="Arial"/>
                <w:sz w:val="22"/>
                <w:szCs w:val="22"/>
                <w:color w:val="0000EE"/>
                <w:w w:val="87"/>
              </w:rPr>
            </w:pPr>
            <w:hyperlink w:anchor="page51">
              <w:r>
                <w:rPr>
                  <w:rFonts w:ascii="Arial" w:cs="Arial" w:eastAsia="Arial" w:hAnsi="Arial"/>
                  <w:sz w:val="22"/>
                  <w:szCs w:val="22"/>
                  <w:color w:val="0000EE"/>
                  <w:w w:val="87"/>
                </w:rPr>
                <w:t>Controls and Procedures</w:t>
              </w:r>
            </w:hyperlink>
          </w:p>
        </w:tc>
        <w:tc>
          <w:tcPr>
            <w:tcW w:w="6660" w:type="dxa"/>
            <w:vAlign w:val="bottom"/>
            <w:tcBorders>
              <w:bottom w:val="single" w:sz="8" w:color="CCEEFF"/>
            </w:tcBorders>
            <w:gridSpan w:val="13"/>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22"/>
                <w:szCs w:val="22"/>
                <w:color w:val="auto"/>
              </w:rPr>
              <w:t>38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line="203" w:lineRule="exact"/>
              <w:rPr>
                <w:sz w:val="20"/>
                <w:szCs w:val="20"/>
                <w:color w:val="auto"/>
              </w:rPr>
            </w:pPr>
            <w:r>
              <w:rPr>
                <w:rFonts w:ascii="Arial" w:cs="Arial" w:eastAsia="Arial" w:hAnsi="Arial"/>
                <w:sz w:val="22"/>
                <w:szCs w:val="22"/>
                <w:color w:val="auto"/>
              </w:rPr>
              <w:t>Part II.</w:t>
            </w:r>
          </w:p>
        </w:tc>
        <w:tc>
          <w:tcPr>
            <w:tcW w:w="9800" w:type="dxa"/>
            <w:vAlign w:val="bottom"/>
            <w:gridSpan w:val="24"/>
            <w:shd w:val="clear" w:color="auto" w:fill="CCEEFF"/>
          </w:tcPr>
          <w:p>
            <w:pPr>
              <w:spacing w:after="0" w:line="203" w:lineRule="exact"/>
              <w:rPr>
                <w:rFonts w:ascii="Arial" w:cs="Arial" w:eastAsia="Arial" w:hAnsi="Arial"/>
                <w:sz w:val="22"/>
                <w:szCs w:val="22"/>
                <w:color w:val="0000EE"/>
              </w:rPr>
            </w:pPr>
            <w:hyperlink w:anchor="page52">
              <w:r>
                <w:rPr>
                  <w:rFonts w:ascii="Arial" w:cs="Arial" w:eastAsia="Arial" w:hAnsi="Arial"/>
                  <w:sz w:val="22"/>
                  <w:szCs w:val="22"/>
                  <w:color w:val="0000EE"/>
                </w:rPr>
                <w:t>Other Information</w:t>
              </w:r>
            </w:hyperlink>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1.</w:t>
            </w:r>
          </w:p>
        </w:tc>
        <w:tc>
          <w:tcPr>
            <w:tcW w:w="8800" w:type="dxa"/>
            <w:vAlign w:val="bottom"/>
            <w:gridSpan w:val="22"/>
            <w:shd w:val="clear" w:color="auto" w:fill="CCEEFF"/>
          </w:tcPr>
          <w:p>
            <w:pPr>
              <w:spacing w:after="0" w:line="203" w:lineRule="exact"/>
              <w:rPr>
                <w:rFonts w:ascii="Arial" w:cs="Arial" w:eastAsia="Arial" w:hAnsi="Arial"/>
                <w:sz w:val="22"/>
                <w:szCs w:val="22"/>
                <w:color w:val="0000EE"/>
              </w:rPr>
            </w:pPr>
            <w:hyperlink w:anchor="page52">
              <w:r>
                <w:rPr>
                  <w:rFonts w:ascii="Arial" w:cs="Arial" w:eastAsia="Arial" w:hAnsi="Arial"/>
                  <w:sz w:val="22"/>
                  <w:szCs w:val="22"/>
                  <w:color w:val="0000EE"/>
                </w:rPr>
                <w:t>Legal Proceedings</w:t>
              </w:r>
            </w:hyperlink>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1A.</w:t>
            </w:r>
          </w:p>
        </w:tc>
        <w:tc>
          <w:tcPr>
            <w:tcW w:w="8800" w:type="dxa"/>
            <w:vAlign w:val="bottom"/>
            <w:gridSpan w:val="22"/>
            <w:shd w:val="clear" w:color="auto" w:fill="CCEEFF"/>
          </w:tcPr>
          <w:p>
            <w:pPr>
              <w:spacing w:after="0" w:line="203" w:lineRule="exact"/>
              <w:rPr>
                <w:rFonts w:ascii="Arial" w:cs="Arial" w:eastAsia="Arial" w:hAnsi="Arial"/>
                <w:sz w:val="22"/>
                <w:szCs w:val="22"/>
                <w:color w:val="0000EE"/>
              </w:rPr>
            </w:pPr>
            <w:hyperlink w:anchor="page52">
              <w:r>
                <w:rPr>
                  <w:rFonts w:ascii="Arial" w:cs="Arial" w:eastAsia="Arial" w:hAnsi="Arial"/>
                  <w:sz w:val="22"/>
                  <w:szCs w:val="22"/>
                  <w:color w:val="0000EE"/>
                </w:rPr>
                <w:t>Risk Factors</w:t>
              </w:r>
            </w:hyperlink>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2.</w:t>
            </w:r>
          </w:p>
        </w:tc>
        <w:tc>
          <w:tcPr>
            <w:tcW w:w="8800" w:type="dxa"/>
            <w:vAlign w:val="bottom"/>
            <w:gridSpan w:val="22"/>
            <w:shd w:val="clear" w:color="auto" w:fill="CCEEFF"/>
          </w:tcPr>
          <w:p>
            <w:pPr>
              <w:spacing w:after="0" w:line="203" w:lineRule="exact"/>
              <w:rPr>
                <w:rFonts w:ascii="Arial" w:cs="Arial" w:eastAsia="Arial" w:hAnsi="Arial"/>
                <w:sz w:val="22"/>
                <w:szCs w:val="22"/>
                <w:color w:val="0000EE"/>
              </w:rPr>
            </w:pPr>
            <w:hyperlink w:anchor="page52">
              <w:r>
                <w:rPr>
                  <w:rFonts w:ascii="Arial" w:cs="Arial" w:eastAsia="Arial" w:hAnsi="Arial"/>
                  <w:sz w:val="22"/>
                  <w:szCs w:val="22"/>
                  <w:color w:val="0000EE"/>
                </w:rPr>
                <w:t>Unregistered Sales of Equity Securities and Use of Proceeds</w:t>
              </w:r>
            </w:hyperlink>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3.</w:t>
            </w:r>
          </w:p>
        </w:tc>
        <w:tc>
          <w:tcPr>
            <w:tcW w:w="8800" w:type="dxa"/>
            <w:vAlign w:val="bottom"/>
            <w:gridSpan w:val="22"/>
            <w:shd w:val="clear" w:color="auto" w:fill="CCEEFF"/>
          </w:tcPr>
          <w:p>
            <w:pPr>
              <w:spacing w:after="0" w:line="203" w:lineRule="exact"/>
              <w:rPr>
                <w:rFonts w:ascii="Arial" w:cs="Arial" w:eastAsia="Arial" w:hAnsi="Arial"/>
                <w:sz w:val="22"/>
                <w:szCs w:val="22"/>
                <w:color w:val="0000EE"/>
              </w:rPr>
            </w:pPr>
            <w:hyperlink w:anchor="page52">
              <w:r>
                <w:rPr>
                  <w:rFonts w:ascii="Arial" w:cs="Arial" w:eastAsia="Arial" w:hAnsi="Arial"/>
                  <w:sz w:val="22"/>
                  <w:szCs w:val="22"/>
                  <w:color w:val="0000EE"/>
                </w:rPr>
                <w:t>Default Upon Senior Securities</w:t>
              </w:r>
            </w:hyperlink>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4.</w:t>
            </w:r>
          </w:p>
        </w:tc>
        <w:tc>
          <w:tcPr>
            <w:tcW w:w="8800" w:type="dxa"/>
            <w:vAlign w:val="bottom"/>
            <w:gridSpan w:val="22"/>
            <w:shd w:val="clear" w:color="auto" w:fill="CCEEFF"/>
          </w:tcPr>
          <w:p>
            <w:pPr>
              <w:spacing w:after="0" w:line="203" w:lineRule="exact"/>
              <w:rPr>
                <w:rFonts w:ascii="Arial" w:cs="Arial" w:eastAsia="Arial" w:hAnsi="Arial"/>
                <w:sz w:val="22"/>
                <w:szCs w:val="22"/>
                <w:color w:val="0000EE"/>
              </w:rPr>
            </w:pPr>
            <w:hyperlink w:anchor="page52">
              <w:r>
                <w:rPr>
                  <w:rFonts w:ascii="Arial" w:cs="Arial" w:eastAsia="Arial" w:hAnsi="Arial"/>
                  <w:sz w:val="22"/>
                  <w:szCs w:val="22"/>
                  <w:color w:val="0000EE"/>
                </w:rPr>
                <w:t>Mine Safety Disclosures</w:t>
              </w:r>
            </w:hyperlink>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5.</w:t>
            </w:r>
          </w:p>
        </w:tc>
        <w:tc>
          <w:tcPr>
            <w:tcW w:w="8800" w:type="dxa"/>
            <w:vAlign w:val="bottom"/>
            <w:gridSpan w:val="22"/>
            <w:shd w:val="clear" w:color="auto" w:fill="CCEEFF"/>
          </w:tcPr>
          <w:p>
            <w:pPr>
              <w:spacing w:after="0" w:line="203" w:lineRule="exact"/>
              <w:rPr>
                <w:rFonts w:ascii="Arial" w:cs="Arial" w:eastAsia="Arial" w:hAnsi="Arial"/>
                <w:sz w:val="22"/>
                <w:szCs w:val="22"/>
                <w:color w:val="0000EE"/>
              </w:rPr>
            </w:pPr>
            <w:hyperlink w:anchor="page52">
              <w:r>
                <w:rPr>
                  <w:rFonts w:ascii="Arial" w:cs="Arial" w:eastAsia="Arial" w:hAnsi="Arial"/>
                  <w:sz w:val="22"/>
                  <w:szCs w:val="22"/>
                  <w:color w:val="0000EE"/>
                </w:rPr>
                <w:t>Other Information</w:t>
              </w:r>
            </w:hyperlink>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6.</w:t>
            </w:r>
          </w:p>
        </w:tc>
        <w:tc>
          <w:tcPr>
            <w:tcW w:w="8800" w:type="dxa"/>
            <w:vAlign w:val="bottom"/>
            <w:gridSpan w:val="22"/>
            <w:shd w:val="clear" w:color="auto" w:fill="CCEEFF"/>
          </w:tcPr>
          <w:p>
            <w:pPr>
              <w:spacing w:after="0" w:line="203" w:lineRule="exact"/>
              <w:rPr>
                <w:rFonts w:ascii="Arial" w:cs="Arial" w:eastAsia="Arial" w:hAnsi="Arial"/>
                <w:sz w:val="22"/>
                <w:szCs w:val="22"/>
                <w:color w:val="0000EE"/>
              </w:rPr>
            </w:pPr>
            <w:hyperlink w:anchor="page53">
              <w:r>
                <w:rPr>
                  <w:rFonts w:ascii="Arial" w:cs="Arial" w:eastAsia="Arial" w:hAnsi="Arial"/>
                  <w:sz w:val="22"/>
                  <w:szCs w:val="22"/>
                  <w:color w:val="0000EE"/>
                </w:rPr>
                <w:t>Exhibits</w:t>
              </w:r>
            </w:hyperlink>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40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6"/>
        </w:trPr>
        <w:tc>
          <w:tcPr>
            <w:tcW w:w="8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880" w:type="dxa"/>
            <w:vAlign w:val="bottom"/>
            <w:tcBorders>
              <w:top w:val="single" w:sz="8" w:color="CCEEFF"/>
            </w:tcBorders>
            <w:gridSpan w:val="10"/>
          </w:tcPr>
          <w:p>
            <w:pPr>
              <w:jc w:val="center"/>
              <w:ind w:right="4220"/>
              <w:spacing w:after="0"/>
              <w:rPr>
                <w:sz w:val="20"/>
                <w:szCs w:val="20"/>
                <w:color w:val="auto"/>
              </w:rPr>
            </w:pPr>
            <w:r>
              <w:rPr>
                <w:rFonts w:ascii="Arial" w:cs="Arial" w:eastAsia="Arial" w:hAnsi="Arial"/>
                <w:sz w:val="22"/>
                <w:szCs w:val="22"/>
                <w:color w:val="auto"/>
              </w:rPr>
              <w:t>i</w:t>
            </w:r>
          </w:p>
        </w:tc>
        <w:tc>
          <w:tcPr>
            <w:tcW w:w="6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June 30, 2018</w:t>
            </w:r>
          </w:p>
        </w:tc>
        <w:tc>
          <w:tcPr>
            <w:tcW w:w="8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86,239</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1,951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w w:val="94"/>
              </w:rPr>
              <w:t>Trade, net of allowance for doubtful accounts of $4,001 and $4,039 in 2018 and 2017, respectively</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57,658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3,666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169,643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177,290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Historical cost</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1,287,855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1,179,836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Accumulated depreciation</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(564,477)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723,378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82,274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Net property and equipment</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805,652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689,833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at Equity, and Advances to 50% or Less Owned Companies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115,424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Construction Reserve Funds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38,152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1,132,538</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1,008,504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right w:val="single" w:sz="8" w:color="CCEEFF"/>
            </w:tcBorders>
            <w:shd w:val="clear" w:color="auto" w:fill="CCEEFF"/>
          </w:tcPr>
          <w:p>
            <w:pPr>
              <w:ind w:left="284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22,858</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23,774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Due to SEACOR Holdings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Accrued wages and benefits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4,986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Accrued income taxes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Accrued capital, repair and maintenance expenditures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24,462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revenues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10,227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12,442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103,847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348,912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49,789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Gains and Other Liabilities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551,723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485,338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SEACOR Marine Holdings Inc. stockholders’ equity:</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Borders>
              <w:right w:val="single" w:sz="8" w:color="CCEEFF"/>
            </w:tcBorders>
            <w:shd w:val="clear" w:color="auto" w:fill="CCEEFF"/>
          </w:tcPr>
          <w:p>
            <w:pPr>
              <w:ind w:left="320"/>
              <w:spacing w:after="0" w:line="201" w:lineRule="exact"/>
              <w:rPr>
                <w:sz w:val="20"/>
                <w:szCs w:val="20"/>
                <w:color w:val="auto"/>
              </w:rPr>
            </w:pPr>
            <w:r>
              <w:rPr>
                <w:rFonts w:ascii="Arial" w:cs="Arial" w:eastAsia="Arial" w:hAnsi="Arial"/>
                <w:sz w:val="18"/>
                <w:szCs w:val="18"/>
                <w:color w:val="auto"/>
                <w:w w:val="90"/>
              </w:rPr>
              <w:t>Common stock, $.01 par value, 60,000,000 shares authorized; 20,441,590 and 17,675,356 shares issued in</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 and 2017, respectively</w:t>
            </w: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413,754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303,996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150,585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Shares held in treasury</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 net of tax</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551,360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508,191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29,455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Total equity</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580,815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523,166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1,132,538</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should be read in conjunction herewith.</w:t>
      </w:r>
    </w:p>
    <w:p>
      <w:pPr>
        <w:sectPr>
          <w:pgSz w:w="11900" w:h="16838" w:orient="portrait"/>
          <w:cols w:equalWidth="0" w:num="1">
            <w:col w:w="11420"/>
          </w:cols>
          <w:pgMar w:left="240" w:top="118"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SEACOR MARINE HOLDINGS INC. UNAUDITED CONDENSED CONSOLIDATED STATEMENTS OF LOSS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0"/>
                <w:szCs w:val="20"/>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60,701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112,422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44,482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89,993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Administrative and general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15,532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21,705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28,339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82,758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80,820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156,250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138,528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Gains (Losses) on Asset Dispositions and Impairments,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(21,002)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(44,815)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(45,416)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(63,400)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SEACOR Holdings management fees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(1,283)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SEACOR Holdings guarantee fees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Marketable security (losses) gains,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losses,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Foreign currency losses,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(1,094)</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(9,630)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(7,045)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(26,936)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Loss Before Income Tax Benefit and Equity in Earnings of 50% or Less Owned</w:t>
            </w: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Companies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(51,860)</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(72,352)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(4,724)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(13,800)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(14,548)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Before Equity in Earnings of 50% or Less Owned Companies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(38,060)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(57,804)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w w:val="99"/>
              </w:rPr>
              <w:t>Equity in (Losses) Earnings of 50% or Less Owned Companies, Net of Tax</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1,571</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(36,489)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Loss attributable to Noncontrolling Interests in Subsidiaries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(2,497)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(4,460)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SEACOR Marine Holdings Inc.</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(25,024)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(53,857)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(41,387)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Basic and Diluted Loss Per Common Share and Warrants of SEACOR Marine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Holdings Inc.</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w w:val="90"/>
              </w:rPr>
              <w:t>Basic and Diluted Weighted Average Common Shares and Warrants Outstanding: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19,978,516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17,631,567</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17,967,242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17,651,352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should be read in conjunction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0"/>
                <w:szCs w:val="20"/>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(26,629)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(58,317)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(losses) gains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Derivative (losses) gains on cash flow hedges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Reclassification of derivative (losses) gains on cash flow hedges to interest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320"/>
              <w:spacing w:after="0" w:line="201" w:lineRule="exact"/>
              <w:rPr>
                <w:sz w:val="20"/>
                <w:szCs w:val="20"/>
                <w:color w:val="auto"/>
              </w:rPr>
            </w:pPr>
            <w:r>
              <w:rPr>
                <w:rFonts w:ascii="Arial" w:cs="Arial" w:eastAsia="Arial" w:hAnsi="Arial"/>
                <w:sz w:val="18"/>
                <w:szCs w:val="18"/>
                <w:color w:val="auto"/>
                <w:w w:val="92"/>
              </w:rPr>
              <w:t>Reclassification of derivative losses on cash flow hedges to equity in earnings</w:t>
            </w: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4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20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of 50% or less owned companies</w:t>
            </w: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(533)</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(29,444)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(35,402)</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(58,986)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(42,245)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Interests in Subsidiaries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Comprehensive Loss attributable to SEACOR Marine Holdings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(27,729)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(33,003)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(54,493)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should be read in conjunction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i w:val="1"/>
                <w:iCs w:val="1"/>
                <w:color w:val="auto"/>
                <w:w w:val="86"/>
              </w:rPr>
              <w:t>Accumulated</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i w:val="1"/>
                <w:iCs w:val="1"/>
                <w:color w:val="auto"/>
                <w:w w:val="92"/>
              </w:rPr>
              <w:t>Non-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i w:val="1"/>
                <w:iCs w:val="1"/>
                <w:color w:val="auto"/>
                <w:w w:val="88"/>
              </w:rPr>
              <w:t>Additional</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i w:val="1"/>
                <w:iCs w:val="1"/>
                <w:color w:val="auto"/>
                <w:w w:val="83"/>
              </w:rPr>
              <w:t>Shares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i w:val="1"/>
                <w:iCs w:val="1"/>
                <w:color w:val="auto"/>
                <w:w w:val="91"/>
              </w:rPr>
              <w:t>Other</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i w:val="1"/>
                <w:iCs w:val="1"/>
                <w:color w:val="auto"/>
                <w:w w:val="89"/>
              </w:rPr>
              <w:t>Controlling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i w:val="1"/>
                <w:iCs w:val="1"/>
                <w:color w:val="auto"/>
                <w:w w:val="99"/>
              </w:rPr>
              <w:t>Common</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i w:val="1"/>
                <w:iCs w:val="1"/>
                <w:color w:val="auto"/>
                <w:w w:val="96"/>
              </w:rPr>
              <w:t>Paid-In</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i w:val="1"/>
                <w:iCs w:val="1"/>
                <w:color w:val="auto"/>
                <w:w w:val="89"/>
              </w:rPr>
              <w:t>Held in</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i w:val="1"/>
                <w:iCs w:val="1"/>
                <w:color w:val="auto"/>
                <w:w w:val="99"/>
              </w:rPr>
              <w:t>Retained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i w:val="1"/>
                <w:iCs w:val="1"/>
                <w:color w:val="auto"/>
                <w:w w:val="85"/>
              </w:rPr>
              <w:t>Comprehensive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i w:val="1"/>
                <w:iCs w:val="1"/>
                <w:color w:val="auto"/>
                <w:w w:val="87"/>
              </w:rPr>
              <w:t>Interests In</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i w:val="1"/>
                <w:iCs w:val="1"/>
                <w:color w:val="auto"/>
              </w:rPr>
              <w:t>Total</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i w:val="1"/>
                <w:iCs w:val="1"/>
                <w:color w:val="auto"/>
              </w:rPr>
              <w:t>Stock</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9"/>
              </w:rPr>
              <w:t>Capital</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6"/>
              </w:rPr>
              <w:t>Treasury</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i w:val="1"/>
                <w:iCs w:val="1"/>
                <w:color w:val="auto"/>
              </w:rPr>
              <w:t>Earnings</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0"/>
              </w:rPr>
              <w:t>Loss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5"/>
              </w:rPr>
              <w:t>Subsidiaries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i w:val="1"/>
                <w:i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303,996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216,511</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523,166</w:t>
            </w:r>
          </w:p>
        </w:tc>
        <w:tc>
          <w:tcPr>
            <w:tcW w:w="0" w:type="dxa"/>
            <w:vAlign w:val="bottom"/>
          </w:tcPr>
          <w:p>
            <w:pPr>
              <w:spacing w:after="0"/>
              <w:rPr>
                <w:sz w:val="1"/>
                <w:szCs w:val="1"/>
                <w:color w:val="auto"/>
              </w:rPr>
            </w:pPr>
          </w:p>
        </w:tc>
      </w:tr>
      <w:tr>
        <w:trPr>
          <w:trHeight w:val="202"/>
        </w:trPr>
        <w:tc>
          <w:tcPr>
            <w:tcW w:w="3440" w:type="dxa"/>
            <w:vAlign w:val="bottom"/>
          </w:tcPr>
          <w:p>
            <w:pPr>
              <w:ind w:left="340"/>
              <w:spacing w:after="0" w:line="201" w:lineRule="exact"/>
              <w:rPr>
                <w:sz w:val="20"/>
                <w:szCs w:val="20"/>
                <w:color w:val="auto"/>
              </w:rPr>
            </w:pPr>
            <w:r>
              <w:rPr>
                <w:rFonts w:ascii="Arial" w:cs="Arial" w:eastAsia="Arial" w:hAnsi="Arial"/>
                <w:sz w:val="18"/>
                <w:szCs w:val="18"/>
                <w:color w:val="auto"/>
              </w:rPr>
              <w:t>Impact of adoption of accounting</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(12,069)</w:t>
            </w:r>
          </w:p>
        </w:tc>
        <w:tc>
          <w:tcPr>
            <w:tcW w:w="13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(12,069)</w:t>
            </w:r>
          </w:p>
        </w:tc>
        <w:tc>
          <w:tcPr>
            <w:tcW w:w="0" w:type="dxa"/>
            <w:vAlign w:val="bottom"/>
          </w:tcPr>
          <w:p>
            <w:pPr>
              <w:spacing w:after="0"/>
              <w:rPr>
                <w:sz w:val="1"/>
                <w:szCs w:val="1"/>
                <w:color w:val="auto"/>
              </w:rPr>
            </w:pPr>
          </w:p>
        </w:tc>
      </w:tr>
      <w:tr>
        <w:trPr>
          <w:trHeight w:val="217"/>
        </w:trPr>
        <w:tc>
          <w:tcPr>
            <w:tcW w:w="3440" w:type="dxa"/>
            <w:vAlign w:val="bottom"/>
          </w:tcPr>
          <w:p>
            <w:pPr>
              <w:spacing w:after="0"/>
              <w:rPr>
                <w:sz w:val="20"/>
                <w:szCs w:val="20"/>
                <w:color w:val="auto"/>
              </w:rPr>
            </w:pPr>
            <w:r>
              <w:rPr>
                <w:rFonts w:ascii="Arial" w:cs="Arial" w:eastAsia="Arial" w:hAnsi="Arial"/>
                <w:sz w:val="18"/>
                <w:szCs w:val="18"/>
                <w:color w:val="auto"/>
              </w:rPr>
              <w:t>principle</w:t>
            </w:r>
          </w:p>
        </w:tc>
        <w:tc>
          <w:tcPr>
            <w:tcW w:w="11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 as adjusted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303,996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204,442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511,097</w:t>
            </w:r>
          </w:p>
        </w:tc>
        <w:tc>
          <w:tcPr>
            <w:tcW w:w="0" w:type="dxa"/>
            <w:vAlign w:val="bottom"/>
          </w:tcPr>
          <w:p>
            <w:pPr>
              <w:spacing w:after="0"/>
              <w:rPr>
                <w:sz w:val="1"/>
                <w:szCs w:val="1"/>
                <w:color w:val="auto"/>
              </w:rPr>
            </w:pPr>
          </w:p>
        </w:tc>
      </w:tr>
      <w:tr>
        <w:trPr>
          <w:trHeight w:val="216"/>
        </w:trPr>
        <w:tc>
          <w:tcPr>
            <w:tcW w:w="3440" w:type="dxa"/>
            <w:vAlign w:val="bottom"/>
          </w:tcPr>
          <w:p>
            <w:pPr>
              <w:ind w:left="340"/>
              <w:spacing w:after="0"/>
              <w:rPr>
                <w:sz w:val="20"/>
                <w:szCs w:val="20"/>
                <w:color w:val="auto"/>
              </w:rPr>
            </w:pPr>
            <w:r>
              <w:rPr>
                <w:rFonts w:ascii="Arial" w:cs="Arial" w:eastAsia="Arial" w:hAnsi="Arial"/>
                <w:sz w:val="18"/>
                <w:szCs w:val="18"/>
                <w:color w:val="auto"/>
              </w:rPr>
              <w:t>Issuance of Common Stock</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42,973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42,996</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Warrants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62,809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62,809</w:t>
            </w:r>
          </w:p>
        </w:tc>
        <w:tc>
          <w:tcPr>
            <w:tcW w:w="0" w:type="dxa"/>
            <w:vAlign w:val="bottom"/>
          </w:tcPr>
          <w:p>
            <w:pPr>
              <w:spacing w:after="0"/>
              <w:rPr>
                <w:sz w:val="1"/>
                <w:szCs w:val="1"/>
                <w:color w:val="auto"/>
              </w:rPr>
            </w:pPr>
          </w:p>
        </w:tc>
      </w:tr>
      <w:tr>
        <w:trPr>
          <w:trHeight w:val="216"/>
        </w:trPr>
        <w:tc>
          <w:tcPr>
            <w:tcW w:w="3440" w:type="dxa"/>
            <w:vAlign w:val="bottom"/>
          </w:tcPr>
          <w:p>
            <w:pPr>
              <w:ind w:left="340"/>
              <w:spacing w:after="0"/>
              <w:rPr>
                <w:sz w:val="20"/>
                <w:szCs w:val="20"/>
                <w:color w:val="auto"/>
              </w:rPr>
            </w:pPr>
            <w:r>
              <w:rPr>
                <w:rFonts w:ascii="Arial" w:cs="Arial" w:eastAsia="Arial" w:hAnsi="Arial"/>
                <w:sz w:val="18"/>
                <w:szCs w:val="18"/>
                <w:color w:val="auto"/>
                <w:w w:val="97"/>
              </w:rPr>
              <w:t>Amortization of employee share awards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1,896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3440" w:type="dxa"/>
            <w:vAlign w:val="bottom"/>
          </w:tcPr>
          <w:p>
            <w:pPr>
              <w:ind w:left="340"/>
              <w:spacing w:after="0"/>
              <w:rPr>
                <w:sz w:val="20"/>
                <w:szCs w:val="20"/>
                <w:color w:val="auto"/>
              </w:rPr>
            </w:pPr>
            <w:r>
              <w:rPr>
                <w:rFonts w:ascii="Arial" w:cs="Arial" w:eastAsia="Arial" w:hAnsi="Arial"/>
                <w:sz w:val="18"/>
                <w:szCs w:val="18"/>
                <w:color w:val="auto"/>
              </w:rPr>
              <w:t>Exercise of Warrants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vesting</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440" w:type="dxa"/>
            <w:vAlign w:val="bottom"/>
          </w:tcPr>
          <w:p>
            <w:pPr>
              <w:ind w:left="340"/>
              <w:spacing w:after="0"/>
              <w:rPr>
                <w:sz w:val="20"/>
                <w:szCs w:val="20"/>
                <w:color w:val="auto"/>
              </w:rPr>
            </w:pPr>
            <w:r>
              <w:rPr>
                <w:rFonts w:ascii="Arial" w:cs="Arial" w:eastAsia="Arial" w:hAnsi="Arial"/>
                <w:sz w:val="18"/>
                <w:szCs w:val="18"/>
                <w:color w:val="auto"/>
              </w:rPr>
              <w:t>Director share awards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893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Acquisition of consolidated joint venture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(12,037)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(12,037)</w:t>
            </w:r>
          </w:p>
        </w:tc>
        <w:tc>
          <w:tcPr>
            <w:tcW w:w="0" w:type="dxa"/>
            <w:vAlign w:val="bottom"/>
          </w:tcPr>
          <w:p>
            <w:pPr>
              <w:spacing w:after="0"/>
              <w:rPr>
                <w:sz w:val="1"/>
                <w:szCs w:val="1"/>
                <w:color w:val="auto"/>
              </w:rPr>
            </w:pPr>
          </w:p>
        </w:tc>
      </w:tr>
      <w:tr>
        <w:trPr>
          <w:trHeight w:val="216"/>
        </w:trPr>
        <w:tc>
          <w:tcPr>
            <w:tcW w:w="3440" w:type="dxa"/>
            <w:vAlign w:val="bottom"/>
          </w:tcPr>
          <w:p>
            <w:pPr>
              <w:ind w:left="340"/>
              <w:spacing w:after="0"/>
              <w:rPr>
                <w:sz w:val="20"/>
                <w:szCs w:val="20"/>
                <w:color w:val="auto"/>
              </w:rPr>
            </w:pPr>
            <w:r>
              <w:rPr>
                <w:rFonts w:ascii="Arial" w:cs="Arial" w:eastAsia="Arial" w:hAnsi="Arial"/>
                <w:sz w:val="18"/>
                <w:szCs w:val="18"/>
                <w:color w:val="auto"/>
              </w:rPr>
              <w:t>Issuance of noncontrolling interests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31,010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31,385</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(53,857)</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(58,317)</w:t>
            </w:r>
          </w:p>
        </w:tc>
        <w:tc>
          <w:tcPr>
            <w:tcW w:w="0" w:type="dxa"/>
            <w:vAlign w:val="bottom"/>
          </w:tcPr>
          <w:p>
            <w:pPr>
              <w:spacing w:after="0"/>
              <w:rPr>
                <w:sz w:val="1"/>
                <w:szCs w:val="1"/>
                <w:color w:val="auto"/>
              </w:rPr>
            </w:pPr>
          </w:p>
        </w:tc>
      </w:tr>
      <w:tr>
        <w:trPr>
          <w:trHeight w:val="216"/>
        </w:trPr>
        <w:tc>
          <w:tcPr>
            <w:tcW w:w="344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(636)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413,754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150,585</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(13,129)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29,455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580,815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should be read in conjunction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(58,317)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financing costs amortization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Restricted stock amortization</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 stock vesting</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Director share awards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Debt discount amortization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Amortization of deferred gains against charter expense</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(4,019)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Bad debt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Loss from equipment sales, retirements or impairments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Gains from sale of marketable securities, net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Proceeds from sale of securities</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losses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Cash settlement on derivative transactions, net</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Currency loss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(17,395)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earnings (losses), net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Dividends received from equity investees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Accounts receivables</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(15,414)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Cash settlements on derivative transactions, net</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disposition of property and equipment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Net change in construction reserve fund</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Investments in and advances to 50% or less owned companies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Return of investments and advances from 50% or less owned companies</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investment in equity investees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Payments received on third party notes receivable,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assumed on consolidation of 50% or less owned companies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Business acquisitions, net of cash acquired</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long-term debt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Proceeds from issuance of long-term debt, net of issue costs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SMHI Restricted Stock</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Purchase of subsidiary shares from noncontrolling interests</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 and Warrants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Issuance of stock</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42,996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Issuance of Warrants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(24,361)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Restricted 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Cash, Restricted Cash and Cash Equivalents, End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88,190</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152,782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should be read in conjunction herewith.</w:t>
      </w:r>
    </w:p>
    <w:p>
      <w:pPr>
        <w:sectPr>
          <w:pgSz w:w="11900" w:h="16838" w:orient="portrait"/>
          <w:cols w:equalWidth="0" w:num="1">
            <w:col w:w="11420"/>
          </w:cols>
          <w:pgMar w:left="240" w:top="118"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SEACOR MARINE HOLDINGS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0" w:hanging="392"/>
        <w:spacing w:after="0"/>
        <w:tabs>
          <w:tab w:leader="none" w:pos="4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BASIS OF PRESENTATION AND ACCOUNTING POLICIES</w:t>
      </w:r>
    </w:p>
    <w:p>
      <w:pPr>
        <w:spacing w:after="0" w:line="2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Certain information and footnote disclosures normally included in financial statements prepared in accordance with generally accepted accounting principles in the United States have been condensed or omitted. These condensed consolidated financial statements should be read in conjunction with the Company’s financial statements and related notes thereto included in the Company's Annual Report on Form 10-K for the year ended December 31, 2017.</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 Capitalized terms used and not specifically defined herein have the same meaning given those terms in the Company's Annual Report on Form 10-K for the year ended December 31, 2017.</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SEACOR Marine was previously a subsidiary of SEACOR Holdings Inc. (along with its consolidated subsidiaries, other than SEACOR Marine and its subsidiaries, collectively referred to as “SEACOR Holdings”). On June 1, 2017, SEACOR Holdings completed a spin-off of SEACOR Marine by way of a pro rata dividend of SEACOR Marine’s common stock, par value $0.01 per share (“Common Stock”), all of which was then held by SEACOR Holdings, to SEACOR Holdings’ shareholders of record as of May 22, 2017 (the “Spin-off”). SEACOR Marine entered into certain agreements with SEACOR Holdings to govern SEACOR Marine’s relationship with SEACOR Holdings following the Spin-off, including a Distribution Agreement, two Transition Services Agreements, an Employee Matters Agreement and a Tax Matters Agreement. Immediately following the Spin-off, SEACOR Marine began to operate as an independent, publicly traded company.</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i w:val="1"/>
          <w:iCs w:val="1"/>
          <w:color w:val="auto"/>
        </w:rPr>
        <w:t xml:space="preserve">Recently Adopted Accounting Standards. </w:t>
      </w:r>
      <w:r>
        <w:rPr>
          <w:rFonts w:ascii="Arial" w:cs="Arial" w:eastAsia="Arial" w:hAnsi="Arial"/>
          <w:sz w:val="19"/>
          <w:szCs w:val="19"/>
          <w:color w:val="auto"/>
        </w:rPr>
        <w:t>In May 2014, the Financial Accounting Standards Board (“FASB”) issued Accounting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Standards Update (“ASU”) 2014-09, “</w:t>
      </w:r>
      <w:r>
        <w:rPr>
          <w:rFonts w:ascii="Arial" w:cs="Arial" w:eastAsia="Arial" w:hAnsi="Arial"/>
          <w:sz w:val="19"/>
          <w:szCs w:val="19"/>
          <w:i w:val="1"/>
          <w:iCs w:val="1"/>
          <w:color w:val="auto"/>
        </w:rPr>
        <w:t>Revenue from Contracts with Customers (Topic</w:t>
      </w:r>
      <w:r>
        <w:rPr>
          <w:rFonts w:ascii="Arial" w:cs="Arial" w:eastAsia="Arial" w:hAnsi="Arial"/>
          <w:sz w:val="19"/>
          <w:szCs w:val="19"/>
          <w:color w:val="auto"/>
        </w:rPr>
        <w:t xml:space="preserve"> 606</w:t>
      </w:r>
      <w:r>
        <w:rPr>
          <w:rFonts w:ascii="Arial" w:cs="Arial" w:eastAsia="Arial" w:hAnsi="Arial"/>
          <w:sz w:val="19"/>
          <w:szCs w:val="19"/>
          <w:i w:val="1"/>
          <w:iCs w:val="1"/>
          <w:color w:val="auto"/>
        </w:rPr>
        <w:t>)</w:t>
      </w:r>
      <w:r>
        <w:rPr>
          <w:rFonts w:ascii="Arial" w:cs="Arial" w:eastAsia="Arial" w:hAnsi="Arial"/>
          <w:sz w:val="19"/>
          <w:szCs w:val="19"/>
          <w:color w:val="auto"/>
        </w:rPr>
        <w:t>” to clarify the principles for recognizing revenue and to develop a common revenue standard and disclosure requirements. The new standard supersedes current revenue recognition requirements and industry-specific guidance. Under the new standard, revenue is recognized when a customer obtains control of promised goods or services in an amount that reflects the consideration the entity expects to receive in exchange for those goods or services. The Company adopted this new standard on January 1, 2018 using the modified retrospective approach by recognizing the cumulative effect of initially applying the new standard as an adjustment to the opening balance of accumulated deficit. The Company implemented the necessary changes to its business processes, systems and controls to support recognition and disclosure of this ASU upon adoption. The Company's revenues are primarily based on leases or rental agreements with customers and is not addressed in the new standard. As a result, the adoption of the standard did not have a material effect on the Company's financial position, results of operations or cash flows, but did result in increased disclosures related to revenue recognition policies.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In November 2016, the FASB issued ASU 2016-18, “</w:t>
      </w:r>
      <w:r>
        <w:rPr>
          <w:rFonts w:ascii="Arial" w:cs="Arial" w:eastAsia="Arial" w:hAnsi="Arial"/>
          <w:sz w:val="19"/>
          <w:szCs w:val="19"/>
          <w:i w:val="1"/>
          <w:iCs w:val="1"/>
          <w:color w:val="auto"/>
        </w:rPr>
        <w:t>Statement of Cash Flows (Topic</w:t>
      </w:r>
      <w:r>
        <w:rPr>
          <w:rFonts w:ascii="Arial" w:cs="Arial" w:eastAsia="Arial" w:hAnsi="Arial"/>
          <w:sz w:val="19"/>
          <w:szCs w:val="19"/>
          <w:color w:val="auto"/>
        </w:rPr>
        <w:t xml:space="preserve"> 230</w:t>
      </w:r>
      <w:r>
        <w:rPr>
          <w:rFonts w:ascii="Arial" w:cs="Arial" w:eastAsia="Arial" w:hAnsi="Arial"/>
          <w:sz w:val="19"/>
          <w:szCs w:val="19"/>
          <w:i w:val="1"/>
          <w:iCs w:val="1"/>
          <w:color w:val="auto"/>
        </w:rPr>
        <w:t>) – Restricted Cash</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which requires that amounts generally described as restricted cash be included with cash and cash equivalents when reconciling the beginning-of-period and end-of-period amounts shown on the statement of cash flows. The Company adopted this new standard on January 1, 2018. Retrospective presentation was required. The adoption of the standard did not have a material effect on the Company's financial position, results of operations or cash flows. In accordance with ASU 2016-18, the Company has included restricted cash as part of the beginning-of-period and end-of-period cash balances on the condensed consolidated statement of cash flows.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Revenue Recognition. </w:t>
      </w:r>
      <w:r>
        <w:rPr>
          <w:rFonts w:ascii="Arial" w:cs="Arial" w:eastAsia="Arial" w:hAnsi="Arial"/>
          <w:sz w:val="20"/>
          <w:szCs w:val="20"/>
          <w:color w:val="auto"/>
        </w:rPr>
        <w:t>Revenue is recognized when (or as) the Company transfers promised goods or services to its customers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amounts that reflect the consideration to which the Company expects to be entitled to in exchange for those goods or services, which occurs when (or as) the Company satisfies its contractual obligations and transfers over control of the promised goods or services to its customers. Costs to obtain or fulfill a contract are expensed as incurred.</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Lease Revenues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primary source of the Company’s revenues is earned through time charter and bareboat agreements. Time charter</w:t>
      </w:r>
      <w:r>
        <w:rPr>
          <w:rFonts w:ascii="Arial" w:cs="Arial" w:eastAsia="Arial" w:hAnsi="Arial"/>
          <w:sz w:val="18"/>
          <w:szCs w:val="18"/>
          <w:i w:val="1"/>
          <w:iCs w:val="1"/>
          <w:color w:val="auto"/>
        </w:rPr>
        <w:t xml:space="preserve"> </w:t>
      </w:r>
      <w:r>
        <w:rPr>
          <w:rFonts w:ascii="Arial" w:cs="Arial" w:eastAsia="Arial" w:hAnsi="Arial"/>
          <w:sz w:val="18"/>
          <w:szCs w:val="18"/>
          <w:color w:val="auto"/>
        </w:rPr>
        <w:t>and bareboat agreements are rental agreements that are recognized ratably over the lease term as the services are provided, typically on a per day basis. The charterer will take the vessel on hire for a specific period of time and uses the vessel to move cargo, people or equipment and will pay the Company a rate per day. Under a time charter, the Company provides a vessel to a customer for a set term and is responsible for all operating expenses, typically excluding fuel. Under a bareboat charter, the Company provides a vessel to a customer for a set term and the customer assumes responsibility for all operating expenses and the risk of operation (see Note 15).</w:t>
      </w:r>
    </w:p>
    <w:p>
      <w:pPr>
        <w:sectPr>
          <w:pgSz w:w="11900" w:h="16838" w:orient="portrait"/>
          <w:cols w:equalWidth="0" w:num="1">
            <w:col w:w="11420"/>
          </w:cols>
          <w:pgMar w:left="240" w:top="11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Revenues from Customers. </w:t>
      </w:r>
      <w:r>
        <w:rPr>
          <w:rFonts w:ascii="Arial" w:cs="Arial" w:eastAsia="Arial" w:hAnsi="Arial"/>
          <w:sz w:val="18"/>
          <w:szCs w:val="18"/>
          <w:color w:val="auto"/>
        </w:rPr>
        <w:t>The Company contracts with various customers to carry out management services for vessels as agents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and on behalf of ship owners. These services include crew management, technical management, commercial management, insurance arrangements, sale and purchase of vessel, provisions, and bunkering. As the manager,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hereunder. The Company also contracts with various customers to carry out management services regarding engineering for vessel construction and vessel conversions. The vast majority of the ship management agreements span over the length of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 (see Note 15).</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Revenue that does not meet these criteria is deferred until the criteria is met and are considered contract liabilities. Contract liabilities, included in other current liabilities in the accompanying condensed consolidated balance sheets, for the six months ended June 30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8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2018</w:t>
            </w:r>
          </w:p>
        </w:tc>
        <w:tc>
          <w:tcPr>
            <w:tcW w:w="7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2017</w:t>
            </w:r>
          </w:p>
        </w:tc>
        <w:tc>
          <w:tcPr>
            <w:tcW w:w="220" w:type="dxa"/>
            <w:vAlign w:val="bottom"/>
          </w:tcPr>
          <w:p>
            <w:pPr>
              <w:spacing w:after="0"/>
              <w:rPr>
                <w:sz w:val="21"/>
                <w:szCs w:val="21"/>
                <w:color w:val="auto"/>
              </w:rPr>
            </w:pPr>
          </w:p>
        </w:tc>
      </w:tr>
      <w:tr>
        <w:trPr>
          <w:trHeight w:val="223"/>
        </w:trPr>
        <w:tc>
          <w:tcPr>
            <w:tcW w:w="786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Balance at beginning of period</w:t>
            </w:r>
          </w:p>
        </w:tc>
        <w:tc>
          <w:tcPr>
            <w:tcW w:w="24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9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10,104</w:t>
            </w:r>
          </w:p>
        </w:tc>
        <w:tc>
          <w:tcPr>
            <w:tcW w:w="1040" w:type="dxa"/>
            <w:vAlign w:val="bottom"/>
            <w:gridSpan w:val="2"/>
            <w:shd w:val="clear" w:color="auto" w:fill="CCEEFF"/>
          </w:tcPr>
          <w:p>
            <w:pPr>
              <w:jc w:val="right"/>
              <w:ind w:right="220"/>
              <w:spacing w:after="0" w:line="223" w:lineRule="exact"/>
              <w:rPr>
                <w:sz w:val="20"/>
                <w:szCs w:val="20"/>
                <w:color w:val="auto"/>
              </w:rPr>
            </w:pPr>
            <w:r>
              <w:rPr>
                <w:rFonts w:ascii="Arial" w:cs="Arial" w:eastAsia="Arial" w:hAnsi="Arial"/>
                <w:sz w:val="20"/>
                <w:szCs w:val="20"/>
                <w:color w:val="auto"/>
              </w:rPr>
              <w:t>$</w:t>
            </w:r>
          </w:p>
        </w:tc>
        <w:tc>
          <w:tcPr>
            <w:tcW w:w="1360" w:type="dxa"/>
            <w:vAlign w:val="bottom"/>
            <w:gridSpan w:val="2"/>
            <w:shd w:val="clear" w:color="auto" w:fill="CCEEFF"/>
          </w:tcPr>
          <w:p>
            <w:pPr>
              <w:jc w:val="right"/>
              <w:ind w:right="220"/>
              <w:spacing w:after="0" w:line="223" w:lineRule="exact"/>
              <w:rPr>
                <w:sz w:val="20"/>
                <w:szCs w:val="20"/>
                <w:color w:val="auto"/>
              </w:rPr>
            </w:pPr>
            <w:r>
              <w:rPr>
                <w:rFonts w:ascii="Arial" w:cs="Arial" w:eastAsia="Arial" w:hAnsi="Arial"/>
                <w:sz w:val="20"/>
                <w:szCs w:val="20"/>
                <w:color w:val="auto"/>
              </w:rPr>
              <w:t>6,953</w:t>
            </w:r>
          </w:p>
        </w:tc>
      </w:tr>
      <w:tr>
        <w:trPr>
          <w:trHeight w:val="230"/>
        </w:trPr>
        <w:tc>
          <w:tcPr>
            <w:tcW w:w="7860" w:type="dxa"/>
            <w:vAlign w:val="bottom"/>
          </w:tcPr>
          <w:p>
            <w:pPr>
              <w:ind w:left="180"/>
              <w:spacing w:after="0"/>
              <w:rPr>
                <w:sz w:val="20"/>
                <w:szCs w:val="20"/>
                <w:color w:val="auto"/>
              </w:rPr>
            </w:pPr>
            <w:r>
              <w:rPr>
                <w:rFonts w:ascii="Arial" w:cs="Arial" w:eastAsia="Arial" w:hAnsi="Arial"/>
                <w:sz w:val="20"/>
                <w:szCs w:val="20"/>
                <w:color w:val="auto"/>
              </w:rPr>
              <w:t>Revenues deferred during the period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1,673</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20"/>
                <w:szCs w:val="20"/>
                <w:color w:val="auto"/>
              </w:rPr>
              <w:t>2,337</w:t>
            </w:r>
          </w:p>
        </w:tc>
      </w:tr>
      <w:tr>
        <w:trPr>
          <w:trHeight w:val="23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Revenues recognized during the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(1,550)</w:t>
            </w:r>
          </w:p>
        </w:tc>
        <w:tc>
          <w:tcPr>
            <w:tcW w:w="7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23"/>
        </w:trPr>
        <w:tc>
          <w:tcPr>
            <w:tcW w:w="7860" w:type="dxa"/>
            <w:vAlign w:val="bottom"/>
          </w:tcPr>
          <w:p>
            <w:pPr>
              <w:spacing w:after="0" w:line="223" w:lineRule="exact"/>
              <w:rPr>
                <w:sz w:val="20"/>
                <w:szCs w:val="20"/>
                <w:color w:val="auto"/>
              </w:rPr>
            </w:pPr>
            <w:r>
              <w:rPr>
                <w:rFonts w:ascii="Arial" w:cs="Arial" w:eastAsia="Arial" w:hAnsi="Arial"/>
                <w:sz w:val="20"/>
                <w:szCs w:val="20"/>
                <w:color w:val="auto"/>
              </w:rPr>
              <w:t>Balance at end of period</w:t>
            </w:r>
          </w:p>
        </w:tc>
        <w:tc>
          <w:tcPr>
            <w:tcW w:w="240" w:type="dxa"/>
            <w:vAlign w:val="bottom"/>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line="223" w:lineRule="exact"/>
              <w:rPr>
                <w:sz w:val="20"/>
                <w:szCs w:val="20"/>
                <w:color w:val="auto"/>
              </w:rPr>
            </w:pPr>
            <w:r>
              <w:rPr>
                <w:rFonts w:ascii="Arial" w:cs="Arial" w:eastAsia="Arial" w:hAnsi="Arial"/>
                <w:sz w:val="20"/>
                <w:szCs w:val="20"/>
                <w:color w:val="auto"/>
              </w:rPr>
              <w:t>10,227</w:t>
            </w:r>
          </w:p>
        </w:tc>
        <w:tc>
          <w:tcPr>
            <w:tcW w:w="1040" w:type="dxa"/>
            <w:vAlign w:val="bottom"/>
            <w:gridSpan w:val="2"/>
          </w:tcPr>
          <w:p>
            <w:pPr>
              <w:jc w:val="right"/>
              <w:ind w:right="220"/>
              <w:spacing w:after="0" w:line="223" w:lineRule="exact"/>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220"/>
              <w:spacing w:after="0" w:line="223" w:lineRule="exact"/>
              <w:rPr>
                <w:sz w:val="20"/>
                <w:szCs w:val="20"/>
                <w:color w:val="auto"/>
              </w:rPr>
            </w:pPr>
            <w:r>
              <w:rPr>
                <w:rFonts w:ascii="Arial" w:cs="Arial" w:eastAsia="Arial" w:hAnsi="Arial"/>
                <w:sz w:val="20"/>
                <w:szCs w:val="20"/>
                <w:color w:val="auto"/>
              </w:rPr>
              <w:t>9,290</w:t>
            </w:r>
          </w:p>
        </w:tc>
      </w:tr>
      <w:tr>
        <w:trPr>
          <w:trHeight w:val="20"/>
        </w:trPr>
        <w:tc>
          <w:tcPr>
            <w:tcW w:w="7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As of June 30, 2018, contract liabilities of $6.8 million related to the time charter of several offshore support vessels paid through the conveyance of an overriding royalty interest (the “Conveyance”) in developmental oil and gas producing properties operated by a customer in the U.S. Gulf of Mexico. Payments under the Conveyance, and the timing of such payments, were contingent upon production and energy sale prices. On August 17, 2012, the customer filed a voluntary petition for Chapter 11 bankruptcy. The Company is vigorously defending its interest in connection with the bankruptcy filing; however, payments received under the Conveyance subsequent to May 19, 2012 are subject to creditors’ claims in bankruptcy court. The Company will recognize revenues when reasonably assured of a judgment in its favor. All costs and expenses related to these charters were recognized as incurred.</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June 30, 2018, contract liabilities of $3.2 million related to the time charter of an offshore support vessel to a customer for which collection was not reasonably assured. The Company will recognize revenues when collected or when collection is reasonably assured. All costs and expenses related to this charter were recognized as incurred.</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i w:val="1"/>
          <w:iCs w:val="1"/>
          <w:color w:val="auto"/>
        </w:rPr>
        <w:t xml:space="preserve">Property and Equipment. </w:t>
      </w:r>
      <w:r>
        <w:rPr>
          <w:rFonts w:ascii="Arial" w:cs="Arial" w:eastAsia="Arial" w:hAnsi="Arial"/>
          <w:sz w:val="20"/>
          <w:szCs w:val="20"/>
          <w:color w:val="auto"/>
        </w:rPr>
        <w:t>Equipment, stated at cost, is depreciated using the straight-line method over the estimated useful life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assets that have already exceeded the Company’s useful life policy, in which case the Company depreciates such assets based on its best estimate of remaining useful life, typically the next survey or certification date.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the estimated useful life (in years) of each of the Company’s major categories of new equipment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160" w:type="dxa"/>
            <w:vAlign w:val="bottom"/>
          </w:tcPr>
          <w:p>
            <w:pPr>
              <w:spacing w:after="0"/>
              <w:rPr>
                <w:sz w:val="20"/>
                <w:szCs w:val="20"/>
                <w:color w:val="auto"/>
              </w:rPr>
            </w:pPr>
            <w:r>
              <w:rPr>
                <w:rFonts w:ascii="Arial" w:cs="Arial" w:eastAsia="Arial" w:hAnsi="Arial"/>
                <w:sz w:val="20"/>
                <w:szCs w:val="20"/>
                <w:color w:val="auto"/>
              </w:rPr>
              <w:t>Offshore Support Vessels:</w:t>
            </w:r>
          </w:p>
        </w:tc>
        <w:tc>
          <w:tcPr>
            <w:tcW w:w="3260" w:type="dxa"/>
            <w:vAlign w:val="bottom"/>
          </w:tcPr>
          <w:p>
            <w:pPr>
              <w:spacing w:after="0"/>
              <w:rPr>
                <w:sz w:val="21"/>
                <w:szCs w:val="21"/>
                <w:color w:val="auto"/>
              </w:rPr>
            </w:pPr>
          </w:p>
        </w:tc>
      </w:tr>
      <w:tr>
        <w:trPr>
          <w:trHeight w:val="230"/>
        </w:trPr>
        <w:tc>
          <w:tcPr>
            <w:tcW w:w="81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Wind farm utility vessels</w:t>
            </w:r>
          </w:p>
        </w:tc>
        <w:tc>
          <w:tcPr>
            <w:tcW w:w="3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w:t>
            </w:r>
          </w:p>
        </w:tc>
      </w:tr>
      <w:tr>
        <w:trPr>
          <w:trHeight w:val="250"/>
        </w:trPr>
        <w:tc>
          <w:tcPr>
            <w:tcW w:w="8160" w:type="dxa"/>
            <w:vAlign w:val="bottom"/>
          </w:tcPr>
          <w:p>
            <w:pPr>
              <w:ind w:left="180"/>
              <w:spacing w:after="0"/>
              <w:rPr>
                <w:sz w:val="20"/>
                <w:szCs w:val="20"/>
                <w:color w:val="auto"/>
              </w:rPr>
            </w:pPr>
            <w:r>
              <w:rPr>
                <w:rFonts w:ascii="Arial" w:cs="Arial" w:eastAsia="Arial" w:hAnsi="Arial"/>
                <w:sz w:val="20"/>
                <w:szCs w:val="20"/>
                <w:color w:val="auto"/>
              </w:rPr>
              <w:t>All other offshore support vessels (excluding wind farm utility)</w:t>
            </w:r>
          </w:p>
        </w:tc>
        <w:tc>
          <w:tcPr>
            <w:tcW w:w="3260" w:type="dxa"/>
            <w:vAlign w:val="bottom"/>
          </w:tcPr>
          <w:p>
            <w:pPr>
              <w:jc w:val="right"/>
              <w:ind w:right="1"/>
              <w:spacing w:after="0"/>
              <w:rPr>
                <w:sz w:val="20"/>
                <w:szCs w:val="20"/>
                <w:color w:val="auto"/>
              </w:rPr>
            </w:pPr>
            <w:r>
              <w:rPr>
                <w:rFonts w:ascii="Arial" w:cs="Arial" w:eastAsia="Arial" w:hAnsi="Arial"/>
                <w:sz w:val="20"/>
                <w:szCs w:val="20"/>
                <w:color w:val="auto"/>
              </w:rPr>
              <w:t>20</w:t>
            </w:r>
          </w:p>
        </w:tc>
      </w:tr>
    </w:tbl>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Certain interest costs incurred during the construction of equipment are capitalized as part of the assets’ carrying values and are amortized over such assets’ estimated useful lives. During the six months ended June 30, 2018, capitalized interest totaled $1.0 million.</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The Company performs an impairment analysis of long-lived assets used in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intangible 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 estimated undiscounted cash flows, the estimated fair value of the assets or asset groups are compared to their current carrying values and impairment charges are recorded if the carrying value exceeds fair value. The Company performs its testing on an asset or asset group basis. Generally, fair value is determined using valuation techniques, such as expected discounted cash flows or appraisals, as appropriate. During the six months ended June 30, 2018, the Company recognized $3.0 million of impairment charges primarily related to four anchor-handling vessels removed from service and adjusted to scrap value.</w:t>
      </w:r>
    </w:p>
    <w:p>
      <w:pPr>
        <w:sectPr>
          <w:pgSz w:w="11900" w:h="16838" w:orient="portrait"/>
          <w:cols w:equalWidth="0" w:num="1">
            <w:col w:w="11420"/>
          </w:cols>
          <w:pgMar w:left="240" w:top="118" w:right="239" w:bottom="962"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962"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i w:val="1"/>
          <w:iCs w:val="1"/>
          <w:color w:val="auto"/>
        </w:rPr>
        <w:t xml:space="preserve">Impairment of </w:t>
      </w:r>
      <w:r>
        <w:rPr>
          <w:rFonts w:ascii="Arial" w:cs="Arial" w:eastAsia="Arial" w:hAnsi="Arial"/>
          <w:sz w:val="18"/>
          <w:szCs w:val="18"/>
          <w:b w:val="1"/>
          <w:bCs w:val="1"/>
          <w:color w:val="auto"/>
        </w:rPr>
        <w:t>50%</w:t>
      </w:r>
      <w:r>
        <w:rPr>
          <w:rFonts w:ascii="Arial" w:cs="Arial" w:eastAsia="Arial" w:hAnsi="Arial"/>
          <w:sz w:val="18"/>
          <w:szCs w:val="18"/>
          <w:b w:val="1"/>
          <w:bCs w:val="1"/>
          <w:i w:val="1"/>
          <w:iCs w:val="1"/>
          <w:color w:val="auto"/>
        </w:rPr>
        <w:t xml:space="preserve"> or Less Owned Companies. </w:t>
      </w:r>
      <w:r>
        <w:rPr>
          <w:rFonts w:ascii="Arial" w:cs="Arial" w:eastAsia="Arial" w:hAnsi="Arial"/>
          <w:sz w:val="18"/>
          <w:szCs w:val="18"/>
          <w:color w:val="auto"/>
        </w:rPr>
        <w:t>Investments in 50% or less owned companies are reviewed periodically to assess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six months ended June 30, 2018, the Company recognized impairment charges of $1.2 million related to one of its 50% or less owned companies which the Company believes will be unable to meet all of its liabilities.</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i w:val="1"/>
          <w:iCs w:val="1"/>
          <w:color w:val="auto"/>
        </w:rPr>
        <w:t xml:space="preserve">Income Taxes. </w:t>
      </w:r>
      <w:r>
        <w:rPr>
          <w:rFonts w:ascii="Arial" w:cs="Arial" w:eastAsia="Arial" w:hAnsi="Arial"/>
          <w:sz w:val="19"/>
          <w:szCs w:val="19"/>
          <w:color w:val="auto"/>
        </w:rPr>
        <w:t>During the six months ended June 30, 2018, the Company's effective income tax rate of 20.1% was primarily due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taxes provided on income attributable to noncontrolling interests, foreign sourced income not subject to U.S. income taxes, foreign taxes not creditable against U.S. income taxes, and a reversal of an unrecognized tax benefit. During the six months ended June 30, 2017, the Company’s effective income tax rate of 27.2% was primarily due to losses of foreign subsidiaries not benefited.</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Deferred Gains. </w:t>
      </w:r>
      <w:r>
        <w:rPr>
          <w:rFonts w:ascii="Arial" w:cs="Arial" w:eastAsia="Arial" w:hAnsi="Arial"/>
          <w:sz w:val="20"/>
          <w:szCs w:val="20"/>
          <w:color w:val="auto"/>
        </w:rPr>
        <w:t>The Company has sold certain equipment to its 50% or less owned companies, entered into vessel sale-leaseback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transactions with finance companies, and provided seller financing on sales of its equipment to third parties and its 50% or less owned companies. A portion of the gains realized from these transactions were deferred and recorded in deferred gains and other liabilities in the accompanying condensed consolidated balance sheets. Deferred gain activity related to these transactions for the six months ended June 30 was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800" w:type="dxa"/>
            <w:vAlign w:val="bottom"/>
            <w:vMerge w:val="restart"/>
          </w:tcPr>
          <w:p>
            <w:pPr>
              <w:spacing w:after="0"/>
              <w:rPr>
                <w:sz w:val="20"/>
                <w:szCs w:val="20"/>
                <w:color w:val="auto"/>
              </w:rPr>
            </w:pPr>
            <w:r>
              <w:rPr>
                <w:rFonts w:ascii="Arial" w:cs="Arial" w:eastAsia="Arial" w:hAnsi="Arial"/>
                <w:sz w:val="20"/>
                <w:szCs w:val="20"/>
                <w:color w:val="auto"/>
              </w:rPr>
              <w:t>Balance at beginning of period</w:t>
            </w:r>
          </w:p>
        </w:tc>
        <w:tc>
          <w:tcPr>
            <w:tcW w:w="1280" w:type="dxa"/>
            <w:vAlign w:val="bottom"/>
            <w:gridSpan w:val="2"/>
          </w:tcPr>
          <w:p>
            <w:pPr>
              <w:jc w:val="right"/>
              <w:spacing w:after="0"/>
              <w:rPr>
                <w:sz w:val="20"/>
                <w:szCs w:val="20"/>
                <w:color w:val="auto"/>
              </w:rPr>
            </w:pPr>
            <w:r>
              <w:rPr>
                <w:rFonts w:ascii="Arial" w:cs="Arial" w:eastAsia="Arial" w:hAnsi="Arial"/>
                <w:sz w:val="20"/>
                <w:szCs w:val="20"/>
                <w:b w:val="1"/>
                <w:bCs w:val="1"/>
                <w:color w:val="auto"/>
              </w:rPr>
              <w:t>2018</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41"/>
              <w:spacing w:after="0"/>
              <w:rPr>
                <w:sz w:val="20"/>
                <w:szCs w:val="20"/>
                <w:color w:val="auto"/>
              </w:rPr>
            </w:pPr>
            <w:r>
              <w:rPr>
                <w:rFonts w:ascii="Arial" w:cs="Arial" w:eastAsia="Arial" w:hAnsi="Arial"/>
                <w:sz w:val="20"/>
                <w:szCs w:val="20"/>
                <w:b w:val="1"/>
                <w:bCs w:val="1"/>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Borders>
              <w:top w:val="single" w:sz="8" w:color="auto"/>
            </w:tcBorders>
          </w:tcPr>
          <w:p>
            <w:pPr>
              <w:jc w:val="right"/>
              <w:ind w:right="761"/>
              <w:spacing w:after="0" w:line="223" w:lineRule="exact"/>
              <w:rPr>
                <w:sz w:val="20"/>
                <w:szCs w:val="20"/>
                <w:color w:val="auto"/>
              </w:rPr>
            </w:pPr>
            <w:r>
              <w:rPr>
                <w:rFonts w:ascii="Arial" w:cs="Arial" w:eastAsia="Arial" w:hAnsi="Arial"/>
                <w:sz w:val="20"/>
                <w:szCs w:val="20"/>
                <w:color w:val="auto"/>
                <w:w w:val="71"/>
              </w:rPr>
              <w:t>$</w:t>
            </w:r>
          </w:p>
        </w:tc>
        <w:tc>
          <w:tcPr>
            <w:tcW w:w="5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w w:val="84"/>
              </w:rPr>
              <w:t>25,006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33,910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spacing w:after="0"/>
              <w:rPr>
                <w:sz w:val="20"/>
                <w:szCs w:val="20"/>
                <w:color w:val="auto"/>
              </w:rPr>
            </w:pPr>
            <w:r>
              <w:rPr>
                <w:rFonts w:ascii="Arial" w:cs="Arial" w:eastAsia="Arial" w:hAnsi="Arial"/>
                <w:sz w:val="20"/>
                <w:szCs w:val="20"/>
                <w:color w:val="auto"/>
                <w:w w:val="92"/>
              </w:rPr>
              <w:t>Amortization of deferred gains included in operating expenses as a reduction to rental expense</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w w:val="91"/>
              </w:rPr>
              <w:t>(4,019)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(4,099)</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20"/>
                <w:szCs w:val="20"/>
                <w:color w:val="auto"/>
              </w:rPr>
              <w:t>Other adjustments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20"/>
                <w:szCs w:val="20"/>
                <w:color w:val="auto"/>
              </w:rPr>
              <w:t>(250)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20"/>
                <w:szCs w:val="20"/>
                <w:color w:val="auto"/>
              </w:rPr>
              <w:t>(364)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8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Balance at end of period</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61"/>
              <w:spacing w:after="0" w:line="223" w:lineRule="exact"/>
              <w:rPr>
                <w:sz w:val="20"/>
                <w:szCs w:val="20"/>
                <w:color w:val="auto"/>
              </w:rPr>
            </w:pPr>
            <w:r>
              <w:rPr>
                <w:rFonts w:ascii="Arial" w:cs="Arial" w:eastAsia="Arial" w:hAnsi="Arial"/>
                <w:sz w:val="20"/>
                <w:szCs w:val="20"/>
                <w:color w:val="auto"/>
                <w:w w:val="71"/>
              </w:rPr>
              <w:t>$</w:t>
            </w:r>
          </w:p>
        </w:tc>
        <w:tc>
          <w:tcPr>
            <w:tcW w:w="680" w:type="dxa"/>
            <w:vAlign w:val="bottom"/>
            <w:gridSpan w:val="2"/>
            <w:shd w:val="clear" w:color="auto" w:fill="CCEEFF"/>
          </w:tcPr>
          <w:p>
            <w:pPr>
              <w:jc w:val="right"/>
              <w:ind w:right="140"/>
              <w:spacing w:after="0" w:line="223" w:lineRule="exact"/>
              <w:rPr>
                <w:sz w:val="20"/>
                <w:szCs w:val="20"/>
                <w:color w:val="auto"/>
              </w:rPr>
            </w:pPr>
            <w:r>
              <w:rPr>
                <w:rFonts w:ascii="Arial" w:cs="Arial" w:eastAsia="Arial" w:hAnsi="Arial"/>
                <w:sz w:val="20"/>
                <w:szCs w:val="20"/>
                <w:color w:val="auto"/>
                <w:w w:val="84"/>
              </w:rPr>
              <w:t>20,737</w:t>
            </w:r>
          </w:p>
        </w:tc>
        <w:tc>
          <w:tcPr>
            <w:tcW w:w="400" w:type="dxa"/>
            <w:vAlign w:val="bottom"/>
            <w:gridSpan w:val="2"/>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260" w:type="dxa"/>
            <w:vAlign w:val="bottom"/>
            <w:gridSpan w:val="2"/>
            <w:shd w:val="clear" w:color="auto" w:fill="CCEEFF"/>
          </w:tcPr>
          <w:p>
            <w:pPr>
              <w:jc w:val="right"/>
              <w:ind w:right="100"/>
              <w:spacing w:after="0" w:line="223" w:lineRule="exact"/>
              <w:rPr>
                <w:sz w:val="20"/>
                <w:szCs w:val="20"/>
                <w:color w:val="auto"/>
              </w:rPr>
            </w:pPr>
            <w:r>
              <w:rPr>
                <w:rFonts w:ascii="Arial" w:cs="Arial" w:eastAsia="Arial" w:hAnsi="Arial"/>
                <w:sz w:val="20"/>
                <w:szCs w:val="20"/>
                <w:color w:val="auto"/>
              </w:rPr>
              <w:t>29,447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b w:val="1"/>
          <w:bCs w:val="1"/>
          <w:i w:val="1"/>
          <w:iCs w:val="1"/>
          <w:color w:val="auto"/>
        </w:rPr>
        <w:t xml:space="preserve">Accumulated Other Comprehensive Income (Loss). </w:t>
      </w:r>
      <w:r>
        <w:rPr>
          <w:rFonts w:ascii="Arial" w:cs="Arial" w:eastAsia="Arial" w:hAnsi="Arial"/>
          <w:sz w:val="20"/>
          <w:szCs w:val="20"/>
          <w:color w:val="auto"/>
        </w:rPr>
        <w:t>The components of accumulated other comprehensive loss were as follows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gridSpan w:val="9"/>
          </w:tcPr>
          <w:p>
            <w:pPr>
              <w:jc w:val="center"/>
              <w:ind w:right="280"/>
              <w:spacing w:after="0"/>
              <w:rPr>
                <w:sz w:val="20"/>
                <w:szCs w:val="20"/>
                <w:color w:val="auto"/>
              </w:rPr>
            </w:pPr>
            <w:r>
              <w:rPr>
                <w:rFonts w:ascii="Arial" w:cs="Arial" w:eastAsia="Arial" w:hAnsi="Arial"/>
                <w:sz w:val="20"/>
                <w:szCs w:val="20"/>
                <w:b w:val="1"/>
                <w:bCs w:val="1"/>
                <w:color w:val="auto"/>
                <w:w w:val="93"/>
              </w:rPr>
              <w:t>SEACOR Marine Holdings Inc.</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2"/>
        </w:trPr>
        <w:tc>
          <w:tcPr>
            <w:tcW w:w="3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0" w:type="dxa"/>
            <w:vAlign w:val="bottom"/>
            <w:gridSpan w:val="7"/>
          </w:tcPr>
          <w:p>
            <w:pPr>
              <w:jc w:val="center"/>
              <w:ind w:left="681"/>
              <w:spacing w:after="0"/>
              <w:rPr>
                <w:sz w:val="20"/>
                <w:szCs w:val="20"/>
                <w:color w:val="auto"/>
              </w:rPr>
            </w:pPr>
            <w:r>
              <w:rPr>
                <w:rFonts w:ascii="Arial" w:cs="Arial" w:eastAsia="Arial" w:hAnsi="Arial"/>
                <w:sz w:val="20"/>
                <w:szCs w:val="20"/>
                <w:b w:val="1"/>
                <w:bCs w:val="1"/>
                <w:color w:val="auto"/>
                <w:w w:val="89"/>
              </w:rPr>
              <w:t>Stockholders’ Equity</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5"/>
          </w:tcPr>
          <w:p>
            <w:pPr>
              <w:jc w:val="right"/>
              <w:ind w:right="420"/>
              <w:spacing w:after="0"/>
              <w:rPr>
                <w:sz w:val="20"/>
                <w:szCs w:val="20"/>
                <w:color w:val="auto"/>
              </w:rPr>
            </w:pPr>
            <w:r>
              <w:rPr>
                <w:rFonts w:ascii="Arial" w:cs="Arial" w:eastAsia="Arial" w:hAnsi="Arial"/>
                <w:sz w:val="20"/>
                <w:szCs w:val="20"/>
                <w:b w:val="1"/>
                <w:bCs w:val="1"/>
                <w:color w:val="auto"/>
                <w:w w:val="91"/>
              </w:rPr>
              <w:t>Noncontrolling Interests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0"/>
        </w:trPr>
        <w:tc>
          <w:tcPr>
            <w:tcW w:w="3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40"/>
              <w:spacing w:after="0" w:line="200" w:lineRule="exact"/>
              <w:rPr>
                <w:sz w:val="20"/>
                <w:szCs w:val="20"/>
                <w:color w:val="auto"/>
              </w:rPr>
            </w:pPr>
            <w:r>
              <w:rPr>
                <w:rFonts w:ascii="Arial" w:cs="Arial" w:eastAsia="Arial" w:hAnsi="Arial"/>
                <w:sz w:val="20"/>
                <w:szCs w:val="20"/>
                <w:b w:val="1"/>
                <w:bCs w:val="1"/>
                <w:color w:val="auto"/>
                <w:w w:val="92"/>
              </w:rPr>
              <w:t>Derivative</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92"/>
              </w:rPr>
              <w:t>Derivative</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9"/>
              </w:rPr>
              <w:t>Foreign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8"/>
              </w:rPr>
              <w:t>Income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9"/>
              </w:rPr>
              <w:t>Foreign</w:t>
            </w:r>
          </w:p>
        </w:tc>
        <w:tc>
          <w:tcPr>
            <w:tcW w:w="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91"/>
              </w:rPr>
              <w:t>Income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1"/>
              </w:rPr>
              <w:t>Currency</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3"/>
              </w:rPr>
              <w:t>(Losses) on</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3"/>
              </w:rPr>
              <w:t>Currency</w:t>
            </w:r>
          </w:p>
        </w:tc>
        <w:tc>
          <w:tcPr>
            <w:tcW w:w="8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3"/>
              </w:rPr>
              <w:t>(Losses) on</w:t>
            </w:r>
          </w:p>
        </w:tc>
        <w:tc>
          <w:tcPr>
            <w:tcW w:w="26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20"/>
                <w:szCs w:val="20"/>
                <w:b w:val="1"/>
                <w:bCs w:val="1"/>
                <w:color w:val="auto"/>
              </w:rPr>
              <w:t>Other</w:t>
            </w:r>
          </w:p>
        </w:tc>
      </w:tr>
      <w:tr>
        <w:trPr>
          <w:trHeight w:val="230"/>
        </w:trPr>
        <w:tc>
          <w:tcPr>
            <w:tcW w:w="3240" w:type="dxa"/>
            <w:vAlign w:val="bottom"/>
          </w:tcPr>
          <w:p>
            <w:pPr>
              <w:spacing w:after="0"/>
              <w:rPr>
                <w:sz w:val="19"/>
                <w:szCs w:val="19"/>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20"/>
                <w:szCs w:val="20"/>
                <w:b w:val="1"/>
                <w:bCs w:val="1"/>
                <w:color w:val="auto"/>
                <w:w w:val="90"/>
              </w:rPr>
              <w:t>Translation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9"/>
              </w:rPr>
              <w:t>Cash Flow</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20"/>
                <w:szCs w:val="20"/>
                <w:b w:val="1"/>
                <w:bCs w:val="1"/>
                <w:color w:val="auto"/>
                <w:w w:val="90"/>
              </w:rPr>
              <w:t>Translation</w:t>
            </w:r>
          </w:p>
        </w:tc>
        <w:tc>
          <w:tcPr>
            <w:tcW w:w="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87"/>
              </w:rPr>
              <w:t>Cash Flow</w:t>
            </w:r>
          </w:p>
        </w:tc>
        <w:tc>
          <w:tcPr>
            <w:tcW w:w="1420" w:type="dxa"/>
            <w:vAlign w:val="bottom"/>
            <w:gridSpan w:val="3"/>
          </w:tcPr>
          <w:p>
            <w:pPr>
              <w:spacing w:after="0"/>
              <w:rPr>
                <w:sz w:val="20"/>
                <w:szCs w:val="20"/>
                <w:color w:val="auto"/>
              </w:rPr>
            </w:pPr>
            <w:r>
              <w:rPr>
                <w:rFonts w:ascii="Arial" w:cs="Arial" w:eastAsia="Arial" w:hAnsi="Arial"/>
                <w:sz w:val="20"/>
                <w:szCs w:val="20"/>
                <w:b w:val="1"/>
                <w:bCs w:val="1"/>
                <w:color w:val="auto"/>
                <w:w w:val="93"/>
              </w:rPr>
              <w:t>Comprehensive</w:t>
            </w:r>
          </w:p>
        </w:tc>
      </w:tr>
      <w:tr>
        <w:trPr>
          <w:trHeight w:val="252"/>
        </w:trPr>
        <w:tc>
          <w:tcPr>
            <w:tcW w:w="3240" w:type="dxa"/>
            <w:vAlign w:val="bottom"/>
          </w:tcPr>
          <w:p>
            <w:pPr>
              <w:spacing w:after="0"/>
              <w:rPr>
                <w:sz w:val="21"/>
                <w:szCs w:val="21"/>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6"/>
              </w:rPr>
              <w:t>Hedges, net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20"/>
                <w:szCs w:val="20"/>
                <w:b w:val="1"/>
                <w:bCs w:val="1"/>
                <w:color w:val="auto"/>
              </w:rPr>
              <w:t>Total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Adjustments</w:t>
            </w:r>
          </w:p>
        </w:tc>
        <w:tc>
          <w:tcPr>
            <w:tcW w:w="22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6"/>
              </w:rPr>
              <w:t>Hedges, net</w:t>
            </w:r>
          </w:p>
        </w:tc>
        <w:tc>
          <w:tcPr>
            <w:tcW w:w="220" w:type="dxa"/>
            <w:vAlign w:val="bottom"/>
          </w:tcPr>
          <w:p>
            <w:pPr>
              <w:spacing w:after="0"/>
              <w:rPr>
                <w:sz w:val="21"/>
                <w:szCs w:val="21"/>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w w:val="91"/>
              </w:rPr>
              <w:t>Income (Loss)</w:t>
            </w:r>
          </w:p>
        </w:tc>
        <w:tc>
          <w:tcPr>
            <w:tcW w:w="100" w:type="dxa"/>
            <w:vAlign w:val="bottom"/>
          </w:tcPr>
          <w:p>
            <w:pPr>
              <w:spacing w:after="0"/>
              <w:rPr>
                <w:sz w:val="21"/>
                <w:szCs w:val="21"/>
                <w:color w:val="auto"/>
              </w:rPr>
            </w:pPr>
          </w:p>
        </w:tc>
      </w:tr>
      <w:tr>
        <w:trPr>
          <w:trHeight w:val="223"/>
        </w:trPr>
        <w:tc>
          <w:tcPr>
            <w:tcW w:w="324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December 31, 2017</w:t>
            </w:r>
          </w:p>
        </w:tc>
        <w:tc>
          <w:tcPr>
            <w:tcW w:w="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gridSpan w:val="2"/>
            <w:shd w:val="clear" w:color="auto" w:fill="CCEEFF"/>
          </w:tcPr>
          <w:p>
            <w:pPr>
              <w:jc w:val="right"/>
              <w:ind w:right="80"/>
              <w:spacing w:after="0" w:line="223" w:lineRule="exact"/>
              <w:rPr>
                <w:sz w:val="20"/>
                <w:szCs w:val="20"/>
                <w:color w:val="auto"/>
              </w:rPr>
            </w:pPr>
            <w:r>
              <w:rPr>
                <w:rFonts w:ascii="Arial" w:cs="Arial" w:eastAsia="Arial" w:hAnsi="Arial"/>
                <w:sz w:val="20"/>
                <w:szCs w:val="20"/>
                <w:color w:val="auto"/>
              </w:rPr>
              <w:t>(13,195)</w:t>
            </w:r>
          </w:p>
        </w:tc>
        <w:tc>
          <w:tcPr>
            <w:tcW w:w="180" w:type="dxa"/>
            <w:vAlign w:val="bottom"/>
            <w:gridSpan w:val="2"/>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702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line="223" w:lineRule="exact"/>
              <w:rPr>
                <w:sz w:val="20"/>
                <w:szCs w:val="20"/>
                <w:color w:val="auto"/>
              </w:rPr>
            </w:pPr>
            <w:r>
              <w:rPr>
                <w:rFonts w:ascii="Arial" w:cs="Arial" w:eastAsia="Arial" w:hAnsi="Arial"/>
                <w:sz w:val="20"/>
                <w:szCs w:val="20"/>
                <w:color w:val="auto"/>
              </w:rPr>
              <w:t>(12,493)</w:t>
            </w:r>
          </w:p>
        </w:tc>
        <w:tc>
          <w:tcPr>
            <w:tcW w:w="220" w:type="dxa"/>
            <w:vAlign w:val="bottom"/>
            <w:gridSpan w:val="2"/>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20" w:type="dxa"/>
            <w:vAlign w:val="bottom"/>
            <w:gridSpan w:val="2"/>
            <w:shd w:val="clear" w:color="auto" w:fill="CCEEFF"/>
          </w:tcPr>
          <w:p>
            <w:pPr>
              <w:jc w:val="right"/>
              <w:ind w:right="160"/>
              <w:spacing w:after="0" w:line="223" w:lineRule="exact"/>
              <w:rPr>
                <w:sz w:val="20"/>
                <w:szCs w:val="20"/>
                <w:color w:val="auto"/>
              </w:rPr>
            </w:pPr>
            <w:r>
              <w:rPr>
                <w:rFonts w:ascii="Arial" w:cs="Arial" w:eastAsia="Arial" w:hAnsi="Arial"/>
                <w:sz w:val="20"/>
                <w:szCs w:val="20"/>
                <w:color w:val="auto"/>
              </w:rPr>
              <w:t>(1,357)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20"/>
                <w:szCs w:val="20"/>
                <w:color w:val="auto"/>
                <w:w w:val="96"/>
              </w:rPr>
              <w:t>Other comprehensive income (loss)</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(847)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246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color w:val="auto"/>
              </w:rPr>
              <w:t>(601)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20"/>
                <w:szCs w:val="20"/>
                <w:color w:val="auto"/>
              </w:rPr>
              <w:t>(26)</w:t>
            </w:r>
          </w:p>
        </w:tc>
        <w:tc>
          <w:tcPr>
            <w:tcW w:w="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20"/>
                <w:szCs w:val="20"/>
                <w:color w:val="auto"/>
              </w:rPr>
              <w:t>(7)</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20"/>
                <w:szCs w:val="20"/>
                <w:color w:val="auto"/>
              </w:rPr>
              <w:t>(634)</w:t>
            </w:r>
          </w:p>
        </w:tc>
      </w:tr>
      <w:tr>
        <w:trPr>
          <w:trHeight w:val="230"/>
        </w:trPr>
        <w:tc>
          <w:tcPr>
            <w:tcW w:w="32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Income tax expense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(35)</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(35)</w:t>
            </w:r>
          </w:p>
        </w:tc>
      </w:tr>
      <w:tr>
        <w:trPr>
          <w:trHeight w:val="20"/>
        </w:trPr>
        <w:tc>
          <w:tcPr>
            <w:tcW w:w="3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3240" w:type="dxa"/>
            <w:vAlign w:val="bottom"/>
          </w:tcPr>
          <w:p>
            <w:pPr>
              <w:spacing w:after="0" w:line="223" w:lineRule="exact"/>
              <w:rPr>
                <w:sz w:val="20"/>
                <w:szCs w:val="20"/>
                <w:color w:val="auto"/>
              </w:rPr>
            </w:pPr>
            <w:r>
              <w:rPr>
                <w:rFonts w:ascii="Arial" w:cs="Arial" w:eastAsia="Arial" w:hAnsi="Arial"/>
                <w:sz w:val="20"/>
                <w:szCs w:val="20"/>
                <w:color w:val="auto"/>
              </w:rPr>
              <w:t>Six months Ended June 30, 2018</w:t>
            </w:r>
          </w:p>
        </w:tc>
        <w:tc>
          <w:tcPr>
            <w:tcW w:w="140" w:type="dxa"/>
            <w:vAlign w:val="bottom"/>
          </w:tcPr>
          <w:p>
            <w:pPr>
              <w:jc w:val="right"/>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gridSpan w:val="2"/>
          </w:tcPr>
          <w:p>
            <w:pPr>
              <w:jc w:val="right"/>
              <w:ind w:right="80"/>
              <w:spacing w:after="0" w:line="223" w:lineRule="exact"/>
              <w:rPr>
                <w:sz w:val="20"/>
                <w:szCs w:val="20"/>
                <w:color w:val="auto"/>
              </w:rPr>
            </w:pPr>
            <w:r>
              <w:rPr>
                <w:rFonts w:ascii="Arial" w:cs="Arial" w:eastAsia="Arial" w:hAnsi="Arial"/>
                <w:sz w:val="20"/>
                <w:szCs w:val="20"/>
                <w:color w:val="auto"/>
              </w:rPr>
              <w:t>(14,042)</w:t>
            </w:r>
          </w:p>
        </w:tc>
        <w:tc>
          <w:tcPr>
            <w:tcW w:w="180" w:type="dxa"/>
            <w:vAlign w:val="bottom"/>
            <w:gridSpan w:val="2"/>
          </w:tcPr>
          <w:p>
            <w:pPr>
              <w:jc w:val="right"/>
              <w:spacing w:after="0" w:line="223" w:lineRule="exact"/>
              <w:rPr>
                <w:sz w:val="20"/>
                <w:szCs w:val="20"/>
                <w:color w:val="auto"/>
              </w:rPr>
            </w:pPr>
            <w:r>
              <w:rPr>
                <w:rFonts w:ascii="Arial" w:cs="Arial" w:eastAsia="Arial" w:hAnsi="Arial"/>
                <w:sz w:val="20"/>
                <w:szCs w:val="20"/>
                <w:color w:val="auto"/>
              </w:rPr>
              <w:t>$</w:t>
            </w:r>
          </w:p>
        </w:tc>
        <w:tc>
          <w:tcPr>
            <w:tcW w:w="1040" w:type="dxa"/>
            <w:vAlign w:val="bottom"/>
          </w:tcPr>
          <w:p>
            <w:pPr>
              <w:jc w:val="right"/>
              <w:spacing w:after="0" w:line="223" w:lineRule="exact"/>
              <w:rPr>
                <w:sz w:val="20"/>
                <w:szCs w:val="20"/>
                <w:color w:val="auto"/>
              </w:rPr>
            </w:pPr>
            <w:r>
              <w:rPr>
                <w:rFonts w:ascii="Arial" w:cs="Arial" w:eastAsia="Arial" w:hAnsi="Arial"/>
                <w:sz w:val="20"/>
                <w:szCs w:val="20"/>
                <w:color w:val="auto"/>
              </w:rPr>
              <w:t>913</w:t>
            </w:r>
          </w:p>
        </w:tc>
        <w:tc>
          <w:tcPr>
            <w:tcW w:w="2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line="223" w:lineRule="exact"/>
              <w:rPr>
                <w:sz w:val="20"/>
                <w:szCs w:val="20"/>
                <w:color w:val="auto"/>
              </w:rPr>
            </w:pPr>
            <w:r>
              <w:rPr>
                <w:rFonts w:ascii="Arial" w:cs="Arial" w:eastAsia="Arial" w:hAnsi="Arial"/>
                <w:sz w:val="20"/>
                <w:szCs w:val="20"/>
                <w:color w:val="auto"/>
              </w:rPr>
              <w:t>(13,129)</w:t>
            </w:r>
          </w:p>
        </w:tc>
        <w:tc>
          <w:tcPr>
            <w:tcW w:w="220" w:type="dxa"/>
            <w:vAlign w:val="bottom"/>
            <w:gridSpan w:val="2"/>
          </w:tcPr>
          <w:p>
            <w:pPr>
              <w:jc w:val="right"/>
              <w:spacing w:after="0" w:line="223" w:lineRule="exact"/>
              <w:rPr>
                <w:sz w:val="20"/>
                <w:szCs w:val="20"/>
                <w:color w:val="auto"/>
              </w:rPr>
            </w:pPr>
            <w:r>
              <w:rPr>
                <w:rFonts w:ascii="Arial" w:cs="Arial" w:eastAsia="Arial" w:hAnsi="Arial"/>
                <w:sz w:val="20"/>
                <w:szCs w:val="20"/>
                <w:color w:val="auto"/>
              </w:rPr>
              <w:t>$</w:t>
            </w:r>
          </w:p>
        </w:tc>
        <w:tc>
          <w:tcPr>
            <w:tcW w:w="1220" w:type="dxa"/>
            <w:vAlign w:val="bottom"/>
            <w:gridSpan w:val="2"/>
          </w:tcPr>
          <w:p>
            <w:pPr>
              <w:jc w:val="right"/>
              <w:ind w:right="160"/>
              <w:spacing w:after="0" w:line="223" w:lineRule="exact"/>
              <w:rPr>
                <w:sz w:val="20"/>
                <w:szCs w:val="20"/>
                <w:color w:val="auto"/>
              </w:rPr>
            </w:pPr>
            <w:r>
              <w:rPr>
                <w:rFonts w:ascii="Arial" w:cs="Arial" w:eastAsia="Arial" w:hAnsi="Arial"/>
                <w:sz w:val="20"/>
                <w:szCs w:val="20"/>
                <w:color w:val="auto"/>
              </w:rPr>
              <w:t>(1,383)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40"/>
              <w:spacing w:after="0" w:line="223" w:lineRule="exact"/>
              <w:rPr>
                <w:sz w:val="20"/>
                <w:szCs w:val="20"/>
                <w:color w:val="auto"/>
              </w:rPr>
            </w:pPr>
            <w:r>
              <w:rPr>
                <w:rFonts w:ascii="Arial" w:cs="Arial" w:eastAsia="Arial" w:hAnsi="Arial"/>
                <w:sz w:val="20"/>
                <w:szCs w:val="20"/>
                <w:color w:val="auto"/>
              </w:rPr>
              <w:t>(6)</w:t>
            </w:r>
          </w:p>
        </w:tc>
        <w:tc>
          <w:tcPr>
            <w:tcW w:w="260" w:type="dxa"/>
            <w:vAlign w:val="bottom"/>
          </w:tcPr>
          <w:p>
            <w:pPr>
              <w:spacing w:after="0" w:line="223" w:lineRule="exact"/>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40"/>
              <w:spacing w:after="0" w:line="223" w:lineRule="exact"/>
              <w:rPr>
                <w:sz w:val="20"/>
                <w:szCs w:val="20"/>
                <w:color w:val="auto"/>
              </w:rPr>
            </w:pPr>
            <w:r>
              <w:rPr>
                <w:rFonts w:ascii="Arial" w:cs="Arial" w:eastAsia="Arial" w:hAnsi="Arial"/>
                <w:sz w:val="20"/>
                <w:szCs w:val="20"/>
                <w:color w:val="auto"/>
              </w:rPr>
              <w:t>(669)</w:t>
            </w:r>
          </w:p>
        </w:tc>
      </w:tr>
      <w:tr>
        <w:trPr>
          <w:trHeight w:val="20"/>
        </w:trPr>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i w:val="1"/>
          <w:iCs w:val="1"/>
          <w:color w:val="auto"/>
        </w:rPr>
        <w:t xml:space="preserve">Loss Per Share. </w:t>
      </w:r>
      <w:r>
        <w:rPr>
          <w:rFonts w:ascii="Arial" w:cs="Arial" w:eastAsia="Arial" w:hAnsi="Arial"/>
          <w:sz w:val="19"/>
          <w:szCs w:val="19"/>
          <w:color w:val="auto"/>
        </w:rPr>
        <w:t>Basic loss per common share of the Company is computed based on the weighted average number of common shares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warrants to purchase common shares at an exercise price of $0.01 per share (“Warrants”) issued and outstanding during the relevant periods. The Warrants are included in the basic loss per common share because the shares issuable upon exercise of the Warrants are issuable for de minimis cash consideration. Diluted loss per common share of the Company is computed based on the weighted average number of common shares and Warrants issued and outstanding plus the effect of potentially dilutive securities through the application of the if-converted method that assumes all common shares have been issued and outstanding during the relevant periods pursuant to the conversion of the Convertible Senior Notes. For the six months ended June 30, 2018 and 2017, diluted earnings per common share of the Company excluded 2,183,708 and 4,070,500 common shares, respectively, issuable pursuant to the Company’s Convertible Senior Notes (see Note 4) as the effect of their inclusion in the computation would be anti-dilutive. In addition, for the six months ended June 30, 2018, diluted loss per common share of the Company excluded 196,338 shares of restricted stock and 694,691 outstanding stock options as the effect of their inclusion in the computation would be anti-dilutive.</w:t>
      </w:r>
    </w:p>
    <w:p>
      <w:pPr>
        <w:spacing w:after="0" w:line="20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i w:val="1"/>
          <w:iCs w:val="1"/>
          <w:color w:val="auto"/>
        </w:rPr>
        <w:t xml:space="preserve">New Accounting Pronouncements. </w:t>
      </w:r>
      <w:r>
        <w:rPr>
          <w:rFonts w:ascii="Arial" w:cs="Arial" w:eastAsia="Arial" w:hAnsi="Arial"/>
          <w:sz w:val="20"/>
          <w:szCs w:val="20"/>
          <w:color w:val="auto"/>
        </w:rPr>
        <w:t>On February 25, 2016, the Financial Accounting Standards Board (“FASB”) issued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comprehensive new leasing standard, which improves transparency and comparability among companies by requiring lessees to recognize a lease liability and a corresponding lease asset for virtually all lease contracts. It also requires additional disclosures about leasing arrangements. The Company will adopt the new standard on January 1, 2019 and will use the modified retrospective approach upon adoption. The Company expects the adoption of the new standard will have a material impact on its consolidated financial position, results of operations and cash flows, although it has not yet determined the extent of the impact.</w:t>
      </w:r>
    </w:p>
    <w:p>
      <w:pPr>
        <w:spacing w:after="0" w:line="2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In February 2018, the FASB issued a new accounting standard which allows a reclassification from accumulated other comprehensive income to retained earnings of stranded tax effects resulting from the Tax Cuts and Jobs Act passed in December 2017. The standard is effective for interim and annual periods beginning after December 15, 2018. The Company does not expect the adoption of the new standard to have a material impact on its consolidated financial position or its results of operations and cash flows.</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In June 2018, the FASB issued a new accounting standard which addresses aspects of the accounting for nonemployee share-based payment transactions. The standard is effective for interim and annual periods beginning after December 15, 2018. The Company does not</w:t>
      </w:r>
    </w:p>
    <w:p>
      <w:pPr>
        <w:sectPr>
          <w:pgSz w:w="11900" w:h="16838" w:orient="portrait"/>
          <w:cols w:equalWidth="0" w:num="1">
            <w:col w:w="11420"/>
          </w:cols>
          <w:pgMar w:left="240" w:top="118" w:right="239" w:bottom="0" w:gutter="0" w:footer="0" w:header="0"/>
        </w:sectPr>
      </w:pPr>
    </w:p>
    <w:bookmarkStart w:id="10" w:name="page11"/>
    <w:bookmarkEnd w:id="10"/>
    <w:p>
      <w:pPr>
        <w:spacing w:after="0" w:line="249" w:lineRule="auto"/>
        <w:rPr>
          <w:sz w:val="20"/>
          <w:szCs w:val="20"/>
          <w:color w:val="auto"/>
        </w:rPr>
      </w:pPr>
      <w:r>
        <w:rPr>
          <w:rFonts w:ascii="Arial" w:cs="Arial" w:eastAsia="Arial" w:hAnsi="Arial"/>
          <w:sz w:val="20"/>
          <w:szCs w:val="20"/>
          <w:color w:val="auto"/>
        </w:rPr>
        <w:t>expect the adoption of the new standard to have a material impact on its consolidated financial position or its results of operations and cash flows.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ind w:left="400" w:hanging="392"/>
        <w:spacing w:after="0"/>
        <w:tabs>
          <w:tab w:leader="none" w:pos="40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EQUIPMENT ACQUISITIONS AND DISPOSITIONS</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During the six months ended June 30, 2018, capital expenditures were $18.8 million. Equipment deliveries during the six months ended June 30, 2018 included one wind farm utility vessel, six liftboats contributed from Montco Offshore, LLC (“MOI”) to certain designated wholly-owned subsidiaries of Falcon Global Holdings LLC (“FGH”) as described in Note 4 below and two platform supply vessels constructed through the SEACOSCO joint venture as described in Note 3 below.</w:t>
      </w:r>
    </w:p>
    <w:p>
      <w:pPr>
        <w:spacing w:after="0" w:line="20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During the six months ended June 30, 2018, the Company sold one fast support vessel and two supply vessels previously retired and removed from service, one standby safety vessel, one supply vessel and one fast support vessel, and other property and equipment for net proceeds of $2.6 million ($2.5 million in cash and $0.1 million of previously received deposits) and gains of $1.4 million.</w:t>
      </w: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INVESTMENTS, AT EQUITY, AND ADVANCES TO 50% OR LESS OWNED COMPANIES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i w:val="1"/>
          <w:iCs w:val="1"/>
          <w:color w:val="auto"/>
        </w:rPr>
        <w:t>SEACOSCO</w:t>
      </w:r>
      <w:r>
        <w:rPr>
          <w:rFonts w:ascii="Arial" w:cs="Arial" w:eastAsia="Arial" w:hAnsi="Arial"/>
          <w:sz w:val="21"/>
          <w:szCs w:val="21"/>
          <w:color w:val="auto"/>
        </w:rPr>
        <w:t>. On January 17, 2018, the Company announced the formation of SEACOSCO Offshore LLC</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(“SEACOSCO”), a Marshall Islands entity jointly owned by the Company and affiliates of COSCO SHIPPING GROUP (“COSCO SHIPPING”). SEACOSCO entered into contracts for the purchase of eight Rolls-Royce designed, new construction platform supply vessels (“PSVs”) from COSCO SHIPPING HEAVY INDUSTRY (GUANGDONG) CO., LTD (the “Shipyard”), an affiliate of COSCO SHIPPING, for approximately $161.1 million, of which 70% will be financed by the Shipyard, and secured by the PSVs on a non-recourse basis to the Company. SEACOSCO took delivery of two vessels in the quarter ending March 31, 2018, took title to another five of the PSVs in the quarter ending June 30, 2018, and expects to take title to one vessel in 2019. Thereafter, the Shipyard, at its cost, will store the PSVs at its facility for periods ranging from six to 18 months. The Company's total committed investment for construction and working capital requirements is approximately $27.5 million for an unconsolidated 50% interest in SEACOSCO. During the six months ended June 30, 2018, the Company contributed capital of $25.6 million in cash. The remaining committed investment will be due as the remaining vessel and equipment are delivered as part of the $27.5 million commitment. The Company is responsible for full commercial, operational, and technical management of the vessels on a worldwide basis.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b w:val="1"/>
          <w:bCs w:val="1"/>
          <w:i w:val="1"/>
          <w:iCs w:val="1"/>
          <w:color w:val="auto"/>
        </w:rPr>
        <w:t xml:space="preserve">SEACOR Grant DIS. </w:t>
      </w:r>
      <w:r>
        <w:rPr>
          <w:rFonts w:ascii="Arial" w:cs="Arial" w:eastAsia="Arial" w:hAnsi="Arial"/>
          <w:sz w:val="22"/>
          <w:szCs w:val="22"/>
          <w:color w:val="auto"/>
        </w:rPr>
        <w:t>As of June 30, 2018, the Company estimates that SEACOR Grant DIS will be unable to meet all its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liabilities, and has recorded a bad debt reserve of $0.4 million against SEACOR Grant DIS’s liability to the Company and an impairment charge of $1.2 million to reduce its investment carrying value to zero.</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b w:val="1"/>
          <w:bCs w:val="1"/>
          <w:i w:val="1"/>
          <w:iCs w:val="1"/>
          <w:color w:val="auto"/>
        </w:rPr>
        <w:t xml:space="preserve">Guarantees. </w:t>
      </w:r>
      <w:r>
        <w:rPr>
          <w:rFonts w:ascii="Arial" w:cs="Arial" w:eastAsia="Arial" w:hAnsi="Arial"/>
          <w:sz w:val="22"/>
          <w:szCs w:val="22"/>
          <w:color w:val="auto"/>
        </w:rPr>
        <w:t>The Company has guaranteed certain of the outstanding charter receivables of one of its managed 50%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less owned companies if a customer defaults in payment and the Company either fails to take enforcement action against the defaulting customer or fails to assign its right of recovery against the defaulting customer. As of June 30, 2018, the total amount guaranteed by the Company under this arrangement is $0.5 million.</w:t>
      </w:r>
    </w:p>
    <w:p>
      <w:pPr>
        <w:spacing w:after="0" w:line="185" w:lineRule="exact"/>
        <w:rPr>
          <w:sz w:val="20"/>
          <w:szCs w:val="20"/>
          <w:color w:val="auto"/>
        </w:rPr>
      </w:pPr>
    </w:p>
    <w:p>
      <w:pPr>
        <w:jc w:val="both"/>
        <w:ind w:firstLine="713"/>
        <w:spacing w:after="0" w:line="236" w:lineRule="auto"/>
        <w:rPr>
          <w:sz w:val="20"/>
          <w:szCs w:val="20"/>
          <w:color w:val="auto"/>
        </w:rPr>
      </w:pPr>
      <w:r>
        <w:rPr>
          <w:rFonts w:ascii="Arial" w:cs="Arial" w:eastAsia="Arial" w:hAnsi="Arial"/>
          <w:sz w:val="22"/>
          <w:szCs w:val="22"/>
          <w:color w:val="auto"/>
        </w:rPr>
        <w:t>In addition, as of June 30, 2018, two of the Company's 50% or less owned companies have bank debt secured by, among other things, a first preferred mortgage on their vessels. The banks also have the authority to require the Company and its partners to fund uncalled capital commitments, as defined in the partnership agreements. In such event, the Company would be required to contribute its allocable share of uncalled capital, which is $1.2 million in the aggregate. This liability is included in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LONG-TERM DEBT</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b w:val="1"/>
          <w:bCs w:val="1"/>
          <w:i w:val="1"/>
          <w:iCs w:val="1"/>
          <w:color w:val="auto"/>
        </w:rPr>
        <w:t xml:space="preserve">Convertible Senior Notes. </w:t>
      </w:r>
      <w:r>
        <w:rPr>
          <w:rFonts w:ascii="Arial" w:cs="Arial" w:eastAsia="Arial" w:hAnsi="Arial"/>
          <w:sz w:val="21"/>
          <w:szCs w:val="21"/>
          <w:color w:val="auto"/>
        </w:rPr>
        <w:t>On December 1, 2015, the Company issued $175.0 million in aggregate principal amount of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Convertible Senior Notes (the “Convertible Senior Notes”), at an interest rate of 3.75%, due December 1, 2022, to investment funds managed and controlled by the Carlyle Group (collectively “Carlyle”). The Convertible Senior Notes are convertible into shares of Common Stock at a conversion rate of 23.26 shares per $1,000 in principal amount of such notes, subject to certain conditions, or, into Warrants to purchase an equal number of shares of Common Stock at an exercise price of $0.01 per share in order to facilitate the Company's compliance with the provisions of the Jones Act.</w:t>
      </w:r>
    </w:p>
    <w:p>
      <w:pPr>
        <w:spacing w:after="0" w:line="20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On May 2, 2018, the Company and Carlyle entered into an exchange transaction (the “Exchange”) pursuant to which Carlyle exchanged $50 million in principal amount of the Convertible Senior Notes for Warrants to purchase 1,886,792 shares of Common Stock (to facilitate compliance with the provisions of the Jones Act) at an exercise price of $0.01 per share, subject to adjustments (the “Carlyle Warrants”), representing an implied exchange rate of approximately 37.73 shares per $1,000 in principal amount of the Convertible Senior Notes (equivalent to an exchange price of $26.50 per share). The Carlyle Warrants have a 25-year term, which commenced May 2, 2018. The Company and Carlyle also amended the $125.0 million in principal amount of Convertible Senior Notes that remained outstanding following the Exchange to (i) increase the interest rate from 3.75% per annum to 4.25% per annum and (ii) extend the maturity date of the Convertible Senior Notes by 12 months to December 1, 2023. Interest on the Convertible Senior Notes is payable semi-annually on June 15 and December 15 of each year.</w:t>
      </w:r>
    </w:p>
    <w:p>
      <w:pPr>
        <w:sectPr>
          <w:pgSz w:w="11900" w:h="16838" w:orient="portrait"/>
          <w:cols w:equalWidth="0" w:num="1">
            <w:col w:w="11420"/>
          </w:cols>
          <w:pgMar w:left="240" w:top="118" w:right="239" w:bottom="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18" w:right="239" w:bottom="0" w:gutter="0" w:footer="0" w:header="0"/>
          <w:type w:val="continuous"/>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i w:val="1"/>
          <w:iCs w:val="1"/>
          <w:color w:val="auto"/>
        </w:rPr>
        <w:t xml:space="preserve">MOI Joint Venture. </w:t>
      </w:r>
      <w:r>
        <w:rPr>
          <w:rFonts w:ascii="Arial" w:cs="Arial" w:eastAsia="Arial" w:hAnsi="Arial"/>
          <w:sz w:val="19"/>
          <w:szCs w:val="19"/>
          <w:color w:val="auto"/>
        </w:rPr>
        <w:t>On February 8, 2018, a wholly-owned subsidiary of the Company and MOI formed and capitalized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joint venture named Falcon Global Holdings LLC. In connection therewith and MOI’s plan of reorganization, which was confirmed on January 18, 2018, MOI emerged from its Chapter 11 bankruptcy case. In accordance with the terms of a Joint Venture Contribution and Formation Agreement, the Company and MOI contributed certain liftboat vessels and other related assets to FGH and its designated subsidiaries, and FGH and its designated subsidiaries assumed certain operating liabilities and indebtedness associated with the liftboat vessels and related assets. On February 8, 2018, Falcon Global USA LLC (“FGUSA”), a wholly-owned subsidiary of FGH, paid $15.0 million of MOI’s debtor-in-possession obligations and entered into a $131.1 million credit agreement comprised of a $116.1 million term loan (the “FGUSA Term Loan”) and a $15.0 million revolving loan facility (the “FGUSA Revolving Loan Facility”) bearing interest at a variable rate (currently 6.63%), maturing in 2024, and secured by vessels owned by wholly-owned subsidiaries of FGUSA (the “FGUSA Credit Facility”). The full amount of the FGUSA Term Loan and other amounts paid by affiliates of MOI satisfied in full the amounts outstanding under MOI’s pre-petition credit facilities. The FGUSA Credit Facility, apart from a guarantee of certain interest payments and participation fees for two years after the closing of the transactions, is non-recourse to SEACOR Marine and its subsidiaries other than FGUSA. The Company performed a fair market valuation of the debt reflecting a debt discount of $10.0 million, which will be amortized over the life of the FGUSA Credit Facility. Scheduled principal payments begin in 2020. During the six months ending June 30, 2018, the Company borrowed $10.0 million under the FGUSA Revolving Loan Facility for working capital purposes. The Company consolidates FGH as the Company holds 72% of the equity interest in FGH and is entitled to appoint a majority of the board of managers of FGH.</w:t>
      </w:r>
    </w:p>
    <w:p>
      <w:pPr>
        <w:spacing w:after="0" w:line="19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i w:val="1"/>
          <w:iCs w:val="1"/>
          <w:color w:val="auto"/>
        </w:rPr>
        <w:t xml:space="preserve">Windcat. </w:t>
      </w:r>
      <w:r>
        <w:rPr>
          <w:rFonts w:ascii="Arial" w:cs="Arial" w:eastAsia="Arial" w:hAnsi="Arial"/>
          <w:sz w:val="21"/>
          <w:szCs w:val="21"/>
          <w:color w:val="auto"/>
        </w:rPr>
        <w:t>During the six months ended June 30, 2018, the Company converted €6.0 million denominated debt to pound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sterling debt, paying off approximately $7.5 million in euro debt and borrowing approximately $8.5 million in pound sterling debt, resulting in a net increase in USD borrowings of $1.0 million to be used for future capital commitments.</w:t>
      </w:r>
    </w:p>
    <w:p>
      <w:pPr>
        <w:spacing w:after="0" w:line="1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i w:val="1"/>
          <w:iCs w:val="1"/>
          <w:color w:val="auto"/>
        </w:rPr>
        <w:t>Letters of Credit</w:t>
      </w:r>
      <w:r>
        <w:rPr>
          <w:rFonts w:ascii="Arial" w:cs="Arial" w:eastAsia="Arial" w:hAnsi="Arial"/>
          <w:sz w:val="22"/>
          <w:szCs w:val="22"/>
          <w:color w:val="auto"/>
        </w:rPr>
        <w:t>. As of June 30, 2018, the Company had outstanding letters of credit of $7.9 million securing one long-term</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debt obligation, and $1.7 million for labor and performance guarantees.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INCOME TAXES</w:t>
      </w:r>
    </w:p>
    <w:p>
      <w:pPr>
        <w:spacing w:after="0" w:line="212"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following table reconciles the difference between the statutory federal income tax rate for the Company and the effective income tax rate on continuing operations for the six months ended June 30,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Foreign earnings not subject to U.S. income tax</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Foreign taxes not creditable against U.S. income tax</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r>
        <w:trPr>
          <w:trHeight w:val="20"/>
        </w:trPr>
        <w:tc>
          <w:tcPr>
            <w:tcW w:w="97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97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r>
      <w:tr>
        <w:trPr>
          <w:trHeight w:val="20"/>
        </w:trPr>
        <w:tc>
          <w:tcPr>
            <w:tcW w:w="97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As of December 31, 2017, the Company's net operating loss carryforwards excluded potential tax benefits of $3.9 million as a result of uncertainty regarding interpretation of the new U.S. tax legislation signed into law on December 22, 2017. Subsequent guidance has confirmed that the Company should recognize the tax benefits of $3.9 million and therefore, for the six months ending June 30, 2018, the Company removed the valuation allowance previously established against the net operating loss carryforwards.</w:t>
      </w: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DERIVATIVE INSTRUMENTS AND HEDGING STRATEGIES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Derivative instruments are classified as either assets or liabilities based on their individual fair values. The fair values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Company’s derivative instruments as of June 30, 2018 were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9"/>
                <w:szCs w:val="19"/>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Derivative</w:t>
            </w:r>
          </w:p>
        </w:tc>
      </w:tr>
      <w:tr>
        <w:trPr>
          <w:trHeight w:val="270"/>
        </w:trPr>
        <w:tc>
          <w:tcPr>
            <w:tcW w:w="20" w:type="dxa"/>
            <w:vAlign w:val="bottom"/>
          </w:tcPr>
          <w:p>
            <w:pPr>
              <w:spacing w:after="0"/>
              <w:rPr>
                <w:sz w:val="23"/>
                <w:szCs w:val="23"/>
                <w:color w:val="auto"/>
              </w:rPr>
            </w:pPr>
          </w:p>
        </w:tc>
        <w:tc>
          <w:tcPr>
            <w:tcW w:w="8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gridSpan w:val="2"/>
          </w:tcPr>
          <w:p>
            <w:pPr>
              <w:jc w:val="center"/>
              <w:ind w:right="440"/>
              <w:spacing w:after="0" w:line="269" w:lineRule="exact"/>
              <w:rPr>
                <w:sz w:val="20"/>
                <w:szCs w:val="20"/>
                <w:color w:val="auto"/>
              </w:rPr>
            </w:pPr>
            <w:r>
              <w:rPr>
                <w:rFonts w:ascii="Arial" w:cs="Arial" w:eastAsia="Arial" w:hAnsi="Arial"/>
                <w:sz w:val="18"/>
                <w:szCs w:val="18"/>
                <w:b w:val="1"/>
                <w:bCs w:val="1"/>
                <w:color w:val="auto"/>
                <w:w w:val="81"/>
              </w:rPr>
              <w:t>Asset</w:t>
            </w:r>
            <w:r>
              <w:rPr>
                <w:rFonts w:ascii="Arial" w:cs="Arial" w:eastAsia="Arial" w:hAnsi="Arial"/>
                <w:sz w:val="30"/>
                <w:szCs w:val="30"/>
                <w:b w:val="1"/>
                <w:bCs w:val="1"/>
                <w:color w:val="auto"/>
                <w:w w:val="81"/>
                <w:vertAlign w:val="superscript"/>
              </w:rPr>
              <w:t>(1)</w:t>
            </w:r>
          </w:p>
        </w:tc>
        <w:tc>
          <w:tcPr>
            <w:tcW w:w="200" w:type="dxa"/>
            <w:vAlign w:val="bottom"/>
          </w:tcPr>
          <w:p>
            <w:pPr>
              <w:spacing w:after="0"/>
              <w:rPr>
                <w:sz w:val="23"/>
                <w:szCs w:val="23"/>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Liability</w:t>
            </w: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Interest rate swap agreements (cash flow hedges)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w:t>
            </w:r>
            <w:r>
              <w:rPr>
                <w:rFonts w:ascii="Arial" w:cs="Arial" w:eastAsia="Arial" w:hAnsi="Arial"/>
                <w:sz w:val="15"/>
                <w:szCs w:val="15"/>
                <w:color w:val="auto"/>
              </w:rPr>
              <w:t>(2)</w:t>
            </w: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option liability on Convertible Senior Notes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21,886</w:t>
            </w: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21,930</w:t>
            </w:r>
          </w:p>
        </w:tc>
      </w:tr>
      <w:tr>
        <w:trPr>
          <w:trHeight w:val="20"/>
        </w:trPr>
        <w:tc>
          <w:tcPr>
            <w:tcW w:w="20" w:type="dxa"/>
            <w:vAlign w:val="bottom"/>
          </w:tcPr>
          <w:p>
            <w:pPr>
              <w:spacing w:after="0" w:line="20" w:lineRule="exact"/>
              <w:rPr>
                <w:sz w:val="1"/>
                <w:szCs w:val="1"/>
                <w:color w:val="auto"/>
              </w:rPr>
            </w:pPr>
          </w:p>
        </w:tc>
        <w:tc>
          <w:tcPr>
            <w:tcW w:w="8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other receivables in the accompanying condensed consolidated balance sheets.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other current liabilities in the accompanying condensed consolidated balance sheets.</w:t>
      </w:r>
    </w:p>
    <w:p>
      <w:pPr>
        <w:sectPr>
          <w:pgSz w:w="11900" w:h="16838" w:orient="portrait"/>
          <w:cols w:equalWidth="0" w:num="1">
            <w:col w:w="11420"/>
          </w:cols>
          <w:pgMar w:left="240" w:top="118" w:right="239" w:bottom="28"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28" w:gutter="0" w:footer="0" w:header="0"/>
          <w:type w:val="continuous"/>
        </w:sectPr>
      </w:pPr>
    </w:p>
    <w:bookmarkStart w:id="14" w:name="page15"/>
    <w:bookmarkEnd w:id="14"/>
    <w:p>
      <w:pPr>
        <w:spacing w:after="0" w:line="62"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b w:val="1"/>
          <w:bCs w:val="1"/>
          <w:i w:val="1"/>
          <w:iCs w:val="1"/>
          <w:color w:val="auto"/>
        </w:rPr>
        <w:t xml:space="preserve">Cash Flow Hedges. </w:t>
      </w:r>
      <w:r>
        <w:rPr>
          <w:rFonts w:ascii="Arial" w:cs="Arial" w:eastAsia="Arial" w:hAnsi="Arial"/>
          <w:sz w:val="22"/>
          <w:szCs w:val="22"/>
          <w:color w:val="auto"/>
        </w:rPr>
        <w:t>The Company and certain of its 50% or less owned companies have interest rate swap agreements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designated as cash flow hedges. By entering into these interest rate swap agreements, the Company and its 50% or less owned companies have converted the variable LIBOR or EURIBOR component of certain of their outstanding borrowings to a fixed interest rate. The Company recognized immaterial losses on derivative instruments designated as cash flow hedges during the six months ended June 30, 2018. As of June 30, 2018, the interest rate swaps held by the Company and its 50% or less owned companies were as follows:</w:t>
      </w:r>
    </w:p>
    <w:p>
      <w:pPr>
        <w:spacing w:after="0" w:line="189" w:lineRule="exact"/>
        <w:rPr>
          <w:sz w:val="20"/>
          <w:szCs w:val="20"/>
          <w:color w:val="auto"/>
        </w:rPr>
      </w:pPr>
    </w:p>
    <w:p>
      <w:pPr>
        <w:jc w:val="both"/>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2"/>
          <w:szCs w:val="22"/>
          <w:color w:val="auto"/>
        </w:rPr>
        <w:t>Windcat Workboats had two interest rate swap agreements maturing in 2021 that call for the Company to pay a fixed rate of interest of (0.03)% on the aggregate notional value of €15.0 million (approximately $17.5 million) and receive a variable interest rate based on EURIBOR on the aggregate notional value.</w:t>
      </w:r>
    </w:p>
    <w:p>
      <w:pPr>
        <w:spacing w:after="0" w:line="186" w:lineRule="exact"/>
        <w:rPr>
          <w:rFonts w:ascii="Arial" w:cs="Arial" w:eastAsia="Arial" w:hAnsi="Arial"/>
          <w:sz w:val="18"/>
          <w:szCs w:val="18"/>
          <w:color w:val="auto"/>
        </w:rPr>
      </w:pPr>
    </w:p>
    <w:p>
      <w:pPr>
        <w:jc w:val="both"/>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2"/>
          <w:szCs w:val="22"/>
          <w:color w:val="auto"/>
        </w:rPr>
        <w:t>MexMar had five interest rate swap agreements with maturities in 2023 that call for MexMar to pay a fixed rate of interest ranging from 1.71% to 2.10% on the aggregate amortized notional value of $104.0 million and receive a variable interest rate based on LIBOR on the aggregate amortized notional value.</w:t>
      </w:r>
    </w:p>
    <w:p>
      <w:pPr>
        <w:spacing w:after="0" w:line="186" w:lineRule="exact"/>
        <w:rPr>
          <w:rFonts w:ascii="Arial" w:cs="Arial" w:eastAsia="Arial" w:hAnsi="Arial"/>
          <w:sz w:val="18"/>
          <w:szCs w:val="18"/>
          <w:color w:val="auto"/>
        </w:rPr>
      </w:pPr>
    </w:p>
    <w:p>
      <w:pPr>
        <w:jc w:val="both"/>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2"/>
          <w:szCs w:val="22"/>
          <w:color w:val="auto"/>
        </w:rPr>
        <w:t>Sea-Cat Crewzer II had an interest rate swap agreement maturing in 2019 that calls for Sea-Cat Crewzer II to pay a fixed rate of interest of 1.52% on the amortized notional value of $19.7 million and receive a variable interest rate based on LIBOR on the amortized notional value.</w:t>
      </w:r>
    </w:p>
    <w:p>
      <w:pPr>
        <w:spacing w:after="0" w:line="186" w:lineRule="exact"/>
        <w:rPr>
          <w:rFonts w:ascii="Arial" w:cs="Arial" w:eastAsia="Arial" w:hAnsi="Arial"/>
          <w:sz w:val="18"/>
          <w:szCs w:val="18"/>
          <w:color w:val="auto"/>
        </w:rPr>
      </w:pPr>
    </w:p>
    <w:p>
      <w:pPr>
        <w:jc w:val="both"/>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2"/>
          <w:szCs w:val="22"/>
          <w:color w:val="auto"/>
        </w:rPr>
        <w:t>Sea-Cat Crewzer had an interest rate swap agreement maturing in 2019 that calls for Sea-Cat Crewzer to pay a fixed rate of interest of 1.52% on the amortized notional value of $17.4 million and receive a variable interest rate based on LIBOR on the amortized notional value.</w:t>
      </w:r>
    </w:p>
    <w:p>
      <w:pPr>
        <w:spacing w:after="0" w:line="186"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b w:val="1"/>
          <w:bCs w:val="1"/>
          <w:i w:val="1"/>
          <w:iCs w:val="1"/>
          <w:color w:val="auto"/>
        </w:rPr>
        <w:t xml:space="preserve">Other Derivative Instruments. </w:t>
      </w:r>
      <w:r>
        <w:rPr>
          <w:rFonts w:ascii="Arial" w:cs="Arial" w:eastAsia="Arial" w:hAnsi="Arial"/>
          <w:sz w:val="22"/>
          <w:szCs w:val="22"/>
          <w:color w:val="auto"/>
        </w:rPr>
        <w:t>The Company recognized (losses) gains on derivative instruments not designated as hedging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instruments for the six months ended June 30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(15,054)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Forward currency exchange, option and future contracts</w:t>
            </w: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w:t>
            </w:r>
          </w:p>
        </w:tc>
      </w:tr>
      <w:tr>
        <w:trPr>
          <w:trHeight w:val="20"/>
        </w:trPr>
        <w:tc>
          <w:tcPr>
            <w:tcW w:w="81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12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(14,184)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r>
      <w:tr>
        <w:trPr>
          <w:trHeight w:val="20"/>
        </w:trPr>
        <w:tc>
          <w:tcPr>
            <w:tcW w:w="8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conversion option liability relates to the bifurcated embedded conversion option in the Convertible Senior Notes (see Note 4 in this Quarterly Report on Form 10-Q and Note 7 in the Company's Annual Report on Form 10-K for the year ended December 31, 2017).</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Company and certain of its 50% or less owned companies have entered into interest rate swap agreements for the general purpose of providing protection against increases in interest rates, which might lead to higher interest costs. As of June 30, 2018, the interest rate swaps held by the Company or its 50% or less owned companies were as follows:</w:t>
      </w:r>
    </w:p>
    <w:p>
      <w:pPr>
        <w:spacing w:after="0" w:line="167" w:lineRule="exact"/>
        <w:rPr>
          <w:sz w:val="20"/>
          <w:szCs w:val="20"/>
          <w:color w:val="auto"/>
        </w:rPr>
      </w:pPr>
    </w:p>
    <w:p>
      <w:pPr>
        <w:jc w:val="both"/>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22"/>
          <w:szCs w:val="22"/>
          <w:color w:val="auto"/>
        </w:rPr>
        <w:t>Falcon Global International had an interest rate swap agreement maturing in 2022 that calls for the Company to pay a fixed interest rate of 2.06% on the amortized notional value of $53.1 million and receive a variable interest rate based on LIBOR on the amortized notional value.</w:t>
      </w:r>
    </w:p>
    <w:p>
      <w:pPr>
        <w:spacing w:after="0" w:line="186" w:lineRule="exact"/>
        <w:rPr>
          <w:rFonts w:ascii="Arial" w:cs="Arial" w:eastAsia="Arial" w:hAnsi="Arial"/>
          <w:sz w:val="18"/>
          <w:szCs w:val="18"/>
          <w:color w:val="auto"/>
        </w:rPr>
      </w:pPr>
    </w:p>
    <w:p>
      <w:pPr>
        <w:jc w:val="both"/>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22"/>
          <w:szCs w:val="22"/>
          <w:color w:val="auto"/>
        </w:rPr>
        <w:t>OSV Partners had two interest rate swap agreements with maturities in 2020 that call for OSV Partners to pay a fixed rate of interest ranging from 1.89% to 2.27% on the aggregate amortized notional value of $30.4 million and receive a variable interest rate based on LIBOR on the aggregate amortized notional value.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MEASUREMENTS</w:t>
      </w:r>
    </w:p>
    <w:p>
      <w:pPr>
        <w:spacing w:after="0" w:line="23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20"/>
          <w:szCs w:val="20"/>
          <w:i w:val="1"/>
          <w:iCs w:val="1"/>
          <w:color w:val="auto"/>
        </w:rPr>
        <w:t>Level</w:t>
      </w:r>
      <w:r>
        <w:rPr>
          <w:rFonts w:ascii="Arial" w:cs="Arial" w:eastAsia="Arial" w:hAnsi="Arial"/>
          <w:sz w:val="20"/>
          <w:szCs w:val="20"/>
          <w:color w:val="auto"/>
        </w:rPr>
        <w:t xml:space="preserve"> 1 inputs are quoted prices in active markets for identical assets or liabilities. </w:t>
      </w:r>
      <w:r>
        <w:rPr>
          <w:rFonts w:ascii="Arial" w:cs="Arial" w:eastAsia="Arial" w:hAnsi="Arial"/>
          <w:sz w:val="20"/>
          <w:szCs w:val="20"/>
          <w:i w:val="1"/>
          <w:iCs w:val="1"/>
          <w:color w:val="auto"/>
        </w:rPr>
        <w:t>Level</w:t>
      </w:r>
      <w:r>
        <w:rPr>
          <w:rFonts w:ascii="Arial" w:cs="Arial" w:eastAsia="Arial" w:hAnsi="Arial"/>
          <w:sz w:val="20"/>
          <w:szCs w:val="20"/>
          <w:color w:val="auto"/>
        </w:rPr>
        <w:t xml:space="preserve"> 2 inputs are observable inputs other than quoted prices included in </w:t>
      </w:r>
      <w:r>
        <w:rPr>
          <w:rFonts w:ascii="Arial" w:cs="Arial" w:eastAsia="Arial" w:hAnsi="Arial"/>
          <w:sz w:val="20"/>
          <w:szCs w:val="20"/>
          <w:i w:val="1"/>
          <w:iCs w:val="1"/>
          <w:color w:val="auto"/>
        </w:rPr>
        <w:t>Level</w:t>
      </w:r>
      <w:r>
        <w:rPr>
          <w:rFonts w:ascii="Arial" w:cs="Arial" w:eastAsia="Arial" w:hAnsi="Arial"/>
          <w:sz w:val="20"/>
          <w:szCs w:val="20"/>
          <w:color w:val="auto"/>
        </w:rPr>
        <w:t xml:space="preserve"> 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20"/>
          <w:szCs w:val="20"/>
          <w:i w:val="1"/>
          <w:iCs w:val="1"/>
          <w:color w:val="auto"/>
        </w:rPr>
        <w:t xml:space="preserve">Level </w:t>
      </w:r>
      <w:r>
        <w:rPr>
          <w:rFonts w:ascii="Arial" w:cs="Arial" w:eastAsia="Arial" w:hAnsi="Arial"/>
          <w:sz w:val="20"/>
          <w:szCs w:val="20"/>
          <w:color w:val="auto"/>
        </w:rPr>
        <w:t>3 inputs are unobservable inputs that are supported by little or no market activity and are significant to the fair value of the assets or</w:t>
      </w:r>
      <w:r>
        <w:rPr>
          <w:rFonts w:ascii="Arial" w:cs="Arial" w:eastAsia="Arial" w:hAnsi="Arial"/>
          <w:sz w:val="20"/>
          <w:szCs w:val="20"/>
          <w:i w:val="1"/>
          <w:iCs w:val="1"/>
          <w:color w:val="auto"/>
        </w:rPr>
        <w:t xml:space="preserve"> </w:t>
      </w:r>
      <w:r>
        <w:rPr>
          <w:rFonts w:ascii="Arial" w:cs="Arial" w:eastAsia="Arial" w:hAnsi="Arial"/>
          <w:sz w:val="20"/>
          <w:szCs w:val="20"/>
          <w:color w:val="auto"/>
        </w:rPr>
        <w:t>liabilities.</w:t>
      </w:r>
    </w:p>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Company’s financial assets and liabilities as of June 30, 2018 that are measured at fair value on a recurring basis were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gridSpan w:val="3"/>
          </w:tcPr>
          <w:p>
            <w:pPr>
              <w:ind w:left="180"/>
              <w:spacing w:after="0"/>
              <w:rPr>
                <w:sz w:val="20"/>
                <w:szCs w:val="20"/>
                <w:color w:val="auto"/>
              </w:rPr>
            </w:pPr>
            <w:r>
              <w:rPr>
                <w:rFonts w:ascii="Arial" w:cs="Arial" w:eastAsia="Arial" w:hAnsi="Arial"/>
                <w:sz w:val="20"/>
                <w:szCs w:val="20"/>
                <w:b w:val="1"/>
                <w:bCs w:val="1"/>
                <w:color w:val="auto"/>
              </w:rPr>
              <w:t>Level 1</w:t>
            </w:r>
          </w:p>
        </w:tc>
        <w:tc>
          <w:tcPr>
            <w:tcW w:w="1320" w:type="dxa"/>
            <w:vAlign w:val="bottom"/>
            <w:gridSpan w:val="2"/>
          </w:tcPr>
          <w:p>
            <w:pPr>
              <w:jc w:val="right"/>
              <w:ind w:right="540"/>
              <w:spacing w:after="0"/>
              <w:rPr>
                <w:sz w:val="20"/>
                <w:szCs w:val="20"/>
                <w:color w:val="auto"/>
              </w:rPr>
            </w:pPr>
            <w:r>
              <w:rPr>
                <w:rFonts w:ascii="Arial" w:cs="Arial" w:eastAsia="Arial" w:hAnsi="Arial"/>
                <w:sz w:val="20"/>
                <w:szCs w:val="20"/>
                <w:b w:val="1"/>
                <w:bCs w:val="1"/>
                <w:color w:val="auto"/>
              </w:rPr>
              <w:t>Level 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ind w:left="200"/>
              <w:spacing w:after="0"/>
              <w:rPr>
                <w:sz w:val="20"/>
                <w:szCs w:val="20"/>
                <w:color w:val="auto"/>
              </w:rPr>
            </w:pPr>
            <w:r>
              <w:rPr>
                <w:rFonts w:ascii="Arial" w:cs="Arial" w:eastAsia="Arial" w:hAnsi="Arial"/>
                <w:sz w:val="20"/>
                <w:szCs w:val="20"/>
                <w:b w:val="1"/>
                <w:bCs w:val="1"/>
                <w:color w:val="auto"/>
              </w:rPr>
              <w:t>Level 3</w:t>
            </w:r>
          </w:p>
        </w:tc>
      </w:tr>
      <w:tr>
        <w:trPr>
          <w:trHeight w:val="223"/>
        </w:trPr>
        <w:tc>
          <w:tcPr>
            <w:tcW w:w="6380" w:type="dxa"/>
            <w:vAlign w:val="bottom"/>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ASSETS</w:t>
            </w: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20"/>
                <w:szCs w:val="20"/>
                <w:color w:val="auto"/>
              </w:rPr>
              <w:t>Derivative instruments (included in other receivables)</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1700" w:type="dxa"/>
            <w:vAlign w:val="bottom"/>
            <w:gridSpan w:val="3"/>
          </w:tcPr>
          <w:p>
            <w:pPr>
              <w:ind w:left="1020"/>
              <w:spacing w:after="0"/>
              <w:rPr>
                <w:sz w:val="20"/>
                <w:szCs w:val="20"/>
                <w:color w:val="auto"/>
              </w:rPr>
            </w:pPr>
            <w:r>
              <w:rPr>
                <w:rFonts w:ascii="Arial" w:cs="Arial" w:eastAsia="Arial" w:hAnsi="Arial"/>
                <w:sz w:val="20"/>
                <w:szCs w:val="20"/>
                <w:color w:val="auto"/>
              </w:rPr>
              <w:t>—  $</w:t>
            </w:r>
          </w:p>
        </w:tc>
        <w:tc>
          <w:tcPr>
            <w:tcW w:w="1320" w:type="dxa"/>
            <w:vAlign w:val="bottom"/>
            <w:gridSpan w:val="2"/>
          </w:tcPr>
          <w:p>
            <w:pPr>
              <w:jc w:val="right"/>
              <w:ind w:right="120"/>
              <w:spacing w:after="0"/>
              <w:rPr>
                <w:sz w:val="20"/>
                <w:szCs w:val="20"/>
                <w:color w:val="auto"/>
              </w:rPr>
            </w:pPr>
            <w:r>
              <w:rPr>
                <w:rFonts w:ascii="Arial" w:cs="Arial" w:eastAsia="Arial" w:hAnsi="Arial"/>
                <w:sz w:val="20"/>
                <w:szCs w:val="20"/>
                <w:color w:val="auto"/>
              </w:rPr>
              <w:t>1,541</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360" w:type="dxa"/>
            <w:vAlign w:val="bottom"/>
            <w:gridSpan w:val="2"/>
          </w:tcPr>
          <w:p>
            <w:pPr>
              <w:ind w:left="1100"/>
              <w:spacing w:after="0"/>
              <w:rPr>
                <w:sz w:val="20"/>
                <w:szCs w:val="20"/>
                <w:color w:val="auto"/>
              </w:rPr>
            </w:pPr>
            <w:r>
              <w:rPr>
                <w:rFonts w:ascii="Arial" w:cs="Arial" w:eastAsia="Arial" w:hAnsi="Arial"/>
                <w:sz w:val="20"/>
                <w:szCs w:val="20"/>
                <w:color w:val="auto"/>
              </w:rPr>
              <w:t>—</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Construction reserve funds</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38,152</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20"/>
                <w:szCs w:val="20"/>
                <w:color w:val="auto"/>
              </w:rPr>
              <w:t>—</w:t>
            </w:r>
          </w:p>
        </w:tc>
      </w:tr>
      <w:tr>
        <w:trPr>
          <w:trHeight w:val="230"/>
        </w:trPr>
        <w:tc>
          <w:tcPr>
            <w:tcW w:w="638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51"/>
        </w:trPr>
        <w:tc>
          <w:tcPr>
            <w:tcW w:w="6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bl>
    <w:p>
      <w:pPr>
        <w:sectPr>
          <w:pgSz w:w="11900" w:h="16900" w:orient="portrait"/>
          <w:cols w:equalWidth="0" w:num="1">
            <w:col w:w="11420"/>
          </w:cols>
          <w:pgMar w:left="240" w:top="118" w:right="239" w:bottom="0" w:gutter="0" w:footer="0" w:header="0"/>
        </w:sectPr>
      </w:pPr>
    </w:p>
    <w:bookmarkStart w:id="15" w:name="page16"/>
    <w:bookmarkEnd w:id="15"/>
    <w:p>
      <w:pPr>
        <w:spacing w:after="0"/>
        <w:tabs>
          <w:tab w:leader="none" w:pos="7640" w:val="left"/>
          <w:tab w:leader="none" w:pos="9320" w:val="left"/>
          <w:tab w:leader="none" w:pos="10800" w:val="left"/>
        </w:tabs>
        <w:rPr>
          <w:sz w:val="20"/>
          <w:szCs w:val="20"/>
          <w:color w:val="auto"/>
        </w:rPr>
      </w:pPr>
      <w:r>
        <w:rPr>
          <w:rFonts w:ascii="Arial" w:cs="Arial" w:eastAsia="Arial" w:hAnsi="Arial"/>
          <w:sz w:val="20"/>
          <w:szCs w:val="20"/>
          <w:color w:val="auto"/>
        </w:rPr>
        <w:t>Derivative instruments</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44</w:t>
      </w:r>
      <w:r>
        <w:rPr>
          <w:sz w:val="20"/>
          <w:szCs w:val="20"/>
          <w:color w:val="auto"/>
        </w:rPr>
        <w:tab/>
      </w:r>
      <w:r>
        <w:rPr>
          <w:rFonts w:ascii="Arial" w:cs="Arial" w:eastAsia="Arial" w:hAnsi="Arial"/>
          <w:sz w:val="16"/>
          <w:szCs w:val="16"/>
          <w:color w:val="auto"/>
        </w:rPr>
        <w:t>21,886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i w:val="1"/>
          <w:iCs w:val="1"/>
          <w:color w:val="auto"/>
        </w:rPr>
        <w:t xml:space="preserve">Level </w:t>
      </w:r>
      <w:r>
        <w:rPr>
          <w:rFonts w:ascii="Arial" w:cs="Arial" w:eastAsia="Arial" w:hAnsi="Arial"/>
          <w:sz w:val="19"/>
          <w:szCs w:val="19"/>
          <w:b w:val="1"/>
          <w:bCs w:val="1"/>
          <w:color w:val="auto"/>
        </w:rPr>
        <w:t>3</w:t>
      </w:r>
      <w:r>
        <w:rPr>
          <w:rFonts w:ascii="Arial" w:cs="Arial" w:eastAsia="Arial" w:hAnsi="Arial"/>
          <w:sz w:val="19"/>
          <w:szCs w:val="19"/>
          <w:b w:val="1"/>
          <w:bCs w:val="1"/>
          <w:i w:val="1"/>
          <w:iCs w:val="1"/>
          <w:color w:val="auto"/>
        </w:rPr>
        <w:t xml:space="preserve"> Measurement</w:t>
      </w:r>
      <w:r>
        <w:rPr>
          <w:rFonts w:ascii="Arial" w:cs="Arial" w:eastAsia="Arial" w:hAnsi="Arial"/>
          <w:sz w:val="19"/>
          <w:szCs w:val="19"/>
          <w:color w:val="auto"/>
        </w:rPr>
        <w:t>. The fair value of the conversion option liability on the Convertible Senior Notes is estimated with significant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inputs that are both observable and unobservable in the market and therefore is considered a </w:t>
      </w:r>
      <w:r>
        <w:rPr>
          <w:rFonts w:ascii="Arial" w:cs="Arial" w:eastAsia="Arial" w:hAnsi="Arial"/>
          <w:sz w:val="19"/>
          <w:szCs w:val="19"/>
          <w:i w:val="1"/>
          <w:iCs w:val="1"/>
          <w:color w:val="auto"/>
        </w:rPr>
        <w:t>Level</w:t>
      </w:r>
      <w:r>
        <w:rPr>
          <w:rFonts w:ascii="Arial" w:cs="Arial" w:eastAsia="Arial" w:hAnsi="Arial"/>
          <w:sz w:val="19"/>
          <w:szCs w:val="19"/>
          <w:color w:val="auto"/>
        </w:rPr>
        <w:t xml:space="preserve"> 3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 free interest rate. The significant unobservable inputs are the estimated Company credit spread and Common Stock volatility, which were based on comparable companies in the transportation and energy industries.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other financial assets and liabilities as of June 30, 2018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20"/>
                <w:szCs w:val="20"/>
                <w:b w:val="1"/>
                <w:bCs w:val="1"/>
                <w:color w:val="auto"/>
                <w:w w:val="94"/>
              </w:rPr>
              <w:t>Carrying</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20"/>
                <w:szCs w:val="20"/>
                <w:b w:val="1"/>
                <w:bCs w:val="1"/>
                <w:color w:val="auto"/>
                <w:w w:val="91"/>
              </w:rPr>
              <w:t>Estimated Fair Value</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92"/>
              </w:rPr>
              <w:t>Amount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Arial" w:cs="Arial" w:eastAsia="Arial" w:hAnsi="Arial"/>
                <w:sz w:val="20"/>
                <w:szCs w:val="20"/>
                <w:b w:val="1"/>
                <w:bCs w:val="1"/>
                <w:color w:val="auto"/>
              </w:rPr>
              <w:t>Level 1</w:t>
            </w:r>
          </w:p>
        </w:tc>
        <w:tc>
          <w:tcPr>
            <w:tcW w:w="180" w:type="dxa"/>
            <w:vAlign w:val="bottom"/>
          </w:tcPr>
          <w:p>
            <w:pPr>
              <w:spacing w:after="0"/>
              <w:rPr>
                <w:sz w:val="21"/>
                <w:szCs w:val="21"/>
                <w:color w:val="auto"/>
              </w:rPr>
            </w:pPr>
          </w:p>
        </w:tc>
        <w:tc>
          <w:tcPr>
            <w:tcW w:w="1360" w:type="dxa"/>
            <w:vAlign w:val="bottom"/>
            <w:gridSpan w:val="3"/>
          </w:tcPr>
          <w:p>
            <w:pPr>
              <w:jc w:val="center"/>
              <w:ind w:right="580"/>
              <w:spacing w:after="0"/>
              <w:rPr>
                <w:sz w:val="20"/>
                <w:szCs w:val="20"/>
                <w:color w:val="auto"/>
              </w:rPr>
            </w:pPr>
            <w:r>
              <w:rPr>
                <w:rFonts w:ascii="Arial" w:cs="Arial" w:eastAsia="Arial" w:hAnsi="Arial"/>
                <w:sz w:val="20"/>
                <w:szCs w:val="20"/>
                <w:b w:val="1"/>
                <w:bCs w:val="1"/>
                <w:color w:val="auto"/>
                <w:w w:val="91"/>
              </w:rPr>
              <w:t>Level 2</w:t>
            </w:r>
          </w:p>
        </w:tc>
        <w:tc>
          <w:tcPr>
            <w:tcW w:w="1060" w:type="dxa"/>
            <w:vAlign w:val="bottom"/>
            <w:gridSpan w:val="2"/>
          </w:tcPr>
          <w:p>
            <w:pPr>
              <w:ind w:left="80"/>
              <w:spacing w:after="0"/>
              <w:rPr>
                <w:sz w:val="20"/>
                <w:szCs w:val="20"/>
                <w:color w:val="auto"/>
              </w:rPr>
            </w:pPr>
            <w:r>
              <w:rPr>
                <w:rFonts w:ascii="Arial" w:cs="Arial" w:eastAsia="Arial" w:hAnsi="Arial"/>
                <w:sz w:val="20"/>
                <w:szCs w:val="20"/>
                <w:b w:val="1"/>
                <w:bCs w:val="1"/>
                <w:color w:val="auto"/>
              </w:rPr>
              <w:t>Level 3</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ASSETS</w:t>
            </w:r>
          </w:p>
        </w:tc>
        <w:tc>
          <w:tcPr>
            <w:tcW w:w="18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20"/>
                <w:szCs w:val="20"/>
                <w:color w:val="auto"/>
              </w:rPr>
              <w:t>Cash, cash equivalents and restricted cash</w:t>
            </w:r>
          </w:p>
        </w:tc>
        <w:tc>
          <w:tcPr>
            <w:tcW w:w="3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88,190</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88,190</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3"/>
          </w:tcPr>
          <w:p>
            <w:pPr>
              <w:ind w:left="760"/>
              <w:spacing w:after="0"/>
              <w:rPr>
                <w:sz w:val="20"/>
                <w:szCs w:val="20"/>
                <w:color w:val="auto"/>
              </w:rPr>
            </w:pPr>
            <w:r>
              <w:rPr>
                <w:rFonts w:ascii="Arial" w:cs="Arial" w:eastAsia="Arial" w:hAnsi="Arial"/>
                <w:sz w:val="20"/>
                <w:szCs w:val="20"/>
                <w:color w:val="auto"/>
              </w:rPr>
              <w:t>—  $</w:t>
            </w:r>
          </w:p>
        </w:tc>
        <w:tc>
          <w:tcPr>
            <w:tcW w:w="1060" w:type="dxa"/>
            <w:vAlign w:val="bottom"/>
            <w:gridSpan w:val="2"/>
          </w:tcPr>
          <w:p>
            <w:pPr>
              <w:ind w:left="7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3"/>
        </w:trPr>
        <w:tc>
          <w:tcPr>
            <w:tcW w:w="5900" w:type="dxa"/>
            <w:vAlign w:val="bottom"/>
            <w:shd w:val="clear" w:color="auto" w:fill="CCEEFF"/>
          </w:tcPr>
          <w:p>
            <w:pPr>
              <w:spacing w:after="0" w:line="213" w:lineRule="exact"/>
              <w:rPr>
                <w:sz w:val="20"/>
                <w:szCs w:val="20"/>
                <w:color w:val="auto"/>
              </w:rPr>
            </w:pPr>
            <w:r>
              <w:rPr>
                <w:rFonts w:ascii="Arial" w:cs="Arial" w:eastAsia="Arial" w:hAnsi="Arial"/>
                <w:sz w:val="20"/>
                <w:szCs w:val="20"/>
                <w:color w:val="auto"/>
                <w:w w:val="91"/>
              </w:rPr>
              <w:t>Investments, at cost, in 50% or less owned companies (included in other</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900" w:type="dxa"/>
            <w:vAlign w:val="bottom"/>
            <w:shd w:val="clear" w:color="auto" w:fill="CCEEFF"/>
          </w:tcPr>
          <w:p>
            <w:pPr>
              <w:spacing w:after="0"/>
              <w:rPr>
                <w:sz w:val="20"/>
                <w:szCs w:val="20"/>
                <w:color w:val="auto"/>
              </w:rPr>
            </w:pPr>
            <w:r>
              <w:rPr>
                <w:rFonts w:ascii="Arial" w:cs="Arial" w:eastAsia="Arial" w:hAnsi="Arial"/>
                <w:sz w:val="20"/>
                <w:szCs w:val="20"/>
                <w:color w:val="auto"/>
              </w:rPr>
              <w:t>assets)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132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i w:val="1"/>
                <w:iCs w:val="1"/>
                <w:color w:val="auto"/>
              </w:rPr>
              <w:t>see below</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spacing w:after="0"/>
              <w:rPr>
                <w:sz w:val="20"/>
                <w:szCs w:val="20"/>
                <w:color w:val="auto"/>
              </w:rPr>
            </w:pPr>
            <w:r>
              <w:rPr>
                <w:rFonts w:ascii="Arial" w:cs="Arial" w:eastAsia="Arial" w:hAnsi="Arial"/>
                <w:sz w:val="20"/>
                <w:szCs w:val="20"/>
                <w:color w:val="auto"/>
              </w:rPr>
              <w:t>Long-term debt, including current portion</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371,770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357,742</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The long-term debt balance includes $121.6 million, net, assumed from FGUSA. It was not practicable to estimate the fair value of certain of the Company’s investments, at cost, in 50% or less owned companies because of the lack of quoted market prices and the inability to estimate fair value without incurring excessive costs. Considerable judgment was required in developing certain of the estimates of fair value and, accordingly, the estimates presented herein are not necessarily indicative of the amounts that the Company could realize in a current market exchange.</w:t>
      </w:r>
    </w:p>
    <w:p>
      <w:pPr>
        <w:spacing w:after="0" w:line="2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Company’s other assets and liabilities that were measured at fair value during the six months ended June 30, 2018 were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40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b w:val="1"/>
                <w:bCs w:val="1"/>
                <w:color w:val="auto"/>
              </w:rPr>
              <w:t>Level 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20"/>
                <w:szCs w:val="20"/>
                <w:b w:val="1"/>
                <w:bCs w:val="1"/>
                <w:color w:val="auto"/>
              </w:rPr>
              <w:t>Level 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180"/>
              <w:spacing w:after="0"/>
              <w:rPr>
                <w:sz w:val="20"/>
                <w:szCs w:val="20"/>
                <w:color w:val="auto"/>
              </w:rPr>
            </w:pPr>
            <w:r>
              <w:rPr>
                <w:rFonts w:ascii="Arial" w:cs="Arial" w:eastAsia="Arial" w:hAnsi="Arial"/>
                <w:sz w:val="20"/>
                <w:szCs w:val="20"/>
                <w:b w:val="1"/>
                <w:bCs w:val="1"/>
                <w:color w:val="auto"/>
              </w:rPr>
              <w:t>Level 3</w:t>
            </w:r>
          </w:p>
        </w:tc>
      </w:tr>
      <w:tr>
        <w:trPr>
          <w:trHeight w:val="223"/>
        </w:trPr>
        <w:tc>
          <w:tcPr>
            <w:tcW w:w="6400" w:type="dxa"/>
            <w:vAlign w:val="bottom"/>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ASSETS</w:t>
            </w:r>
          </w:p>
        </w:tc>
        <w:tc>
          <w:tcPr>
            <w:tcW w:w="11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Property and equipment:</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400" w:type="dxa"/>
            <w:vAlign w:val="bottom"/>
            <w:shd w:val="clear" w:color="auto" w:fill="CCEEFF"/>
          </w:tcPr>
          <w:p>
            <w:pPr>
              <w:ind w:left="500"/>
              <w:spacing w:after="0"/>
              <w:rPr>
                <w:sz w:val="20"/>
                <w:szCs w:val="20"/>
                <w:color w:val="auto"/>
              </w:rPr>
            </w:pPr>
            <w:r>
              <w:rPr>
                <w:rFonts w:ascii="Arial" w:cs="Arial" w:eastAsia="Arial" w:hAnsi="Arial"/>
                <w:sz w:val="20"/>
                <w:szCs w:val="20"/>
                <w:color w:val="auto"/>
              </w:rPr>
              <w:t>Anchor handling towing supply</w:t>
            </w:r>
          </w:p>
        </w:tc>
        <w:tc>
          <w:tcPr>
            <w:tcW w:w="1180" w:type="dxa"/>
            <w:vAlign w:val="bottom"/>
            <w:shd w:val="clear" w:color="auto" w:fill="CCEEFF"/>
          </w:tcPr>
          <w:p>
            <w:pPr>
              <w:jc w:val="right"/>
              <w:ind w:right="981"/>
              <w:spacing w:after="0"/>
              <w:rPr>
                <w:sz w:val="20"/>
                <w:szCs w:val="20"/>
                <w:color w:val="auto"/>
              </w:rPr>
            </w:pPr>
            <w:r>
              <w:rPr>
                <w:rFonts w:ascii="Arial" w:cs="Arial" w:eastAsia="Arial" w:hAnsi="Arial"/>
                <w:sz w:val="20"/>
                <w:szCs w:val="20"/>
                <w:color w:val="auto"/>
                <w:w w:val="71"/>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2,000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r>
      <w:tr>
        <w:trPr>
          <w:trHeight w:val="250"/>
        </w:trPr>
        <w:tc>
          <w:tcPr>
            <w:tcW w:w="6400" w:type="dxa"/>
            <w:vAlign w:val="bottom"/>
          </w:tcPr>
          <w:p>
            <w:pPr>
              <w:ind w:left="500"/>
              <w:spacing w:after="0"/>
              <w:rPr>
                <w:sz w:val="20"/>
                <w:szCs w:val="20"/>
                <w:color w:val="auto"/>
              </w:rPr>
            </w:pPr>
            <w:r>
              <w:rPr>
                <w:rFonts w:ascii="Arial" w:cs="Arial" w:eastAsia="Arial" w:hAnsi="Arial"/>
                <w:sz w:val="20"/>
                <w:szCs w:val="20"/>
                <w:color w:val="auto"/>
              </w:rPr>
              <w:t>Liftboats</w:t>
            </w:r>
          </w:p>
        </w:tc>
        <w:tc>
          <w:tcPr>
            <w:tcW w:w="118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0"/>
                <w:szCs w:val="20"/>
                <w:color w:val="auto"/>
              </w:rPr>
              <w:t>134,775</w:t>
            </w:r>
          </w:p>
        </w:tc>
      </w:tr>
    </w:tbl>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i w:val="1"/>
          <w:iCs w:val="1"/>
          <w:color w:val="auto"/>
        </w:rPr>
        <w:t>Property and equipment</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During the six months ended June 30, 2018, the Company recognized impairment charges of $3.0 million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primarily associated with certain vessels (see Note 1). The </w:t>
      </w:r>
      <w:r>
        <w:rPr>
          <w:rFonts w:ascii="Arial" w:cs="Arial" w:eastAsia="Arial" w:hAnsi="Arial"/>
          <w:sz w:val="20"/>
          <w:szCs w:val="20"/>
          <w:i w:val="1"/>
          <w:iCs w:val="1"/>
          <w:color w:val="auto"/>
        </w:rPr>
        <w:t>Level</w:t>
      </w:r>
      <w:r>
        <w:rPr>
          <w:rFonts w:ascii="Arial" w:cs="Arial" w:eastAsia="Arial" w:hAnsi="Arial"/>
          <w:sz w:val="20"/>
          <w:szCs w:val="20"/>
          <w:color w:val="auto"/>
        </w:rPr>
        <w:t xml:space="preserve"> 2 fair values were determined based on the sales prices of similar property and equipment at scrap value.</w:t>
      </w:r>
    </w:p>
    <w:p>
      <w:pPr>
        <w:spacing w:after="0" w:line="19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Level</w:t>
      </w:r>
      <w:r>
        <w:rPr>
          <w:rFonts w:ascii="Arial" w:cs="Arial" w:eastAsia="Arial" w:hAnsi="Arial"/>
          <w:sz w:val="18"/>
          <w:szCs w:val="18"/>
          <w:color w:val="auto"/>
        </w:rPr>
        <w:t xml:space="preserve"> 3 vessels listed above were contributed by MOI to wholly-owned subsidiaries of FGH and recorded at fair value. The </w:t>
      </w:r>
      <w:r>
        <w:rPr>
          <w:rFonts w:ascii="Arial" w:cs="Arial" w:eastAsia="Arial" w:hAnsi="Arial"/>
          <w:sz w:val="18"/>
          <w:szCs w:val="18"/>
          <w:i w:val="1"/>
          <w:iCs w:val="1"/>
          <w:color w:val="auto"/>
        </w:rPr>
        <w:t>Level</w:t>
      </w:r>
      <w:r>
        <w:rPr>
          <w:rFonts w:ascii="Arial" w:cs="Arial" w:eastAsia="Arial" w:hAnsi="Arial"/>
          <w:sz w:val="18"/>
          <w:szCs w:val="18"/>
          <w:color w:val="auto"/>
        </w:rPr>
        <w:t xml:space="preserve"> 3 fair values were determined based on two separate third-party valuations using significant inputs that are unobservable in the market. Due to limited market transactions, the primary valuation methodology applied by both appraisers was an estimated cost approach less economic depreciation for comparable aged vessels. The </w:t>
      </w:r>
      <w:r>
        <w:rPr>
          <w:rFonts w:ascii="Arial" w:cs="Arial" w:eastAsia="Arial" w:hAnsi="Arial"/>
          <w:sz w:val="18"/>
          <w:szCs w:val="18"/>
          <w:i w:val="1"/>
          <w:iCs w:val="1"/>
          <w:color w:val="auto"/>
        </w:rPr>
        <w:t>Level</w:t>
      </w:r>
      <w:r>
        <w:rPr>
          <w:rFonts w:ascii="Arial" w:cs="Arial" w:eastAsia="Arial" w:hAnsi="Arial"/>
          <w:sz w:val="18"/>
          <w:szCs w:val="18"/>
          <w:color w:val="auto"/>
        </w:rPr>
        <w:t xml:space="preserve"> 3 fair value of the vessels was based on a simple average between the two appraisals.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significant unobservable inputs used in the fair value measurement for the liftboats provided by the appraisers were based on i) quotes from local shipyards, ii) economic life ranging from 25 to 40 years and iii) economic obsolescence factor ranging from 45% to 50%. The calculated yearly physical depreciation was multiplied by the remaining useful life of each vessel, based on the date of build, and the residual value was added back to arrive at a base cost approach value for each vessel.</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WARRANTS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April 26, 2018, the Company closed a private placement of its Common Stock and Warrants to purchase its Common Stock (to facilitate compliance with Jones Act restrictions) for aggregate gross proceeds of $56,855,000 (the “PIPE Private Placement”) with certain qualified institutional buyers and other accredited investors. The PIPE Private Placement included the issuance of 2,168,586 shares of Common Stock (the “PIPE Shares”) and Warrants to purchase 674,164 shares of the Common Stock at an exercise price of $0.01 per share (the “PIPE Warrants”). The PIPE Warrants were issued to Proyectos Globales de Energia y Servicios CME, S.A. de C.V. a variable capital corporation (sociedad anónima de capital variable) incorporated and existing under the laws of the United Mexican States (“CME”) and have a 25-year term, which commenced April 26, 2018.</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As indicated in Note 4, on May 2, 2018, the Company and Carlyle entered into the Exchange pursuant to which Carlyle exchanged $50.0 million in principal amount of the Convertible Senior Notes for the Carlyle Warrants. The Carlyle Warrants have a 25-year term, which commenced May 2, 2018.</w:t>
      </w:r>
    </w:p>
    <w:p>
      <w:pPr>
        <w:sectPr>
          <w:pgSz w:w="11900" w:h="16838" w:orient="portrait"/>
          <w:cols w:equalWidth="0" w:num="1">
            <w:col w:w="11420"/>
          </w:cols>
          <w:pgMar w:left="240" w:top="118" w:right="239" w:bottom="96"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96"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On May 31, 2018, Carlyle exercised Carlyle Warrants to purchase a total of 250,585 shares of Common Stock (after giving effect to the withholding of 108 shares of Common Stock as payment for the exercise price of the Warrants - see Note 14) (the “Carlyle Warrant Exercise”). Following the Carlyle Warrant Exercise, Carlyle holds Warrants to purchase 1,636,099 shares of Common Stock at an exercise price of $0.01 per share.</w:t>
      </w:r>
    </w:p>
    <w:p>
      <w:pPr>
        <w:spacing w:after="0" w:line="21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On June 8, 2018, CME exercised PIPE Warrants and paid an aggregate cash exercise price of $0.01 per share to purchase a total of 38,857 shares of Common Stock (the “CME Warrant Exercise”). Following the CME Warrant Exercise, CME holds Warrants to purchase 635,307 shares of Common Stock at an exercise price of $0.01 per share.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5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Exercise Price</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20"/>
                <w:szCs w:val="20"/>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Warrants issued - January 1 - June 30, 2018</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480" w:type="dxa"/>
            <w:vAlign w:val="bottom"/>
          </w:tcPr>
          <w:p>
            <w:pPr>
              <w:jc w:val="right"/>
              <w:spacing w:after="0"/>
              <w:rPr>
                <w:sz w:val="20"/>
                <w:szCs w:val="20"/>
                <w:color w:val="auto"/>
              </w:rPr>
            </w:pPr>
            <w:r>
              <w:rPr>
                <w:rFonts w:ascii="Arial" w:cs="Arial" w:eastAsia="Arial" w:hAnsi="Arial"/>
                <w:sz w:val="18"/>
                <w:szCs w:val="18"/>
                <w:color w:val="auto"/>
              </w:rPr>
              <w:t>2,560,956</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exercised - January 1 - June 30, 2018</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(289,550)</w:t>
            </w:r>
          </w:p>
        </w:tc>
      </w:tr>
      <w:tr>
        <w:trPr>
          <w:trHeight w:val="210"/>
        </w:trPr>
        <w:tc>
          <w:tcPr>
            <w:tcW w:w="57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as of June 30, 2018</w:t>
            </w:r>
          </w:p>
        </w:tc>
        <w:tc>
          <w:tcPr>
            <w:tcW w:w="25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0.01</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2,271,406</w:t>
            </w:r>
          </w:p>
        </w:tc>
        <w:tc>
          <w:tcPr>
            <w:tcW w:w="100" w:type="dxa"/>
            <w:vAlign w:val="bottom"/>
            <w:tcBorders>
              <w:top w:val="single" w:sz="8" w:color="CCEEFF"/>
            </w:tcBorders>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tab/>
        <w:t>STOCKHOLDERS' EQUITY</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On January 1, 2018, the Company adopted a new accounting standard issued by the FASB on October 24, 2016, which requires companies to account for the income tax effects of intercompany sales and transfers of assets other than inventory. The impact of the adoption of the new standard resulted in a reduction of $12.1 million to the Company’s opening retained earnings.</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On February 8, 2018, the Company formed FGH, a joint venture between the Company and MOI. In accordance with the terms of the Joint Venture Contribution and Formation Agreement, the Company and MOI contributed certain liftboat vessels and other related assets to the joint venture and assumed certain operating liabilities and indebtedness associated with the liftboat vessels and related assets. The transaction consolidates the fifteen liftboat vessels operated by the Company and six liftboat vessels previously operated by MOI. FGUSA, a wholly-owned subsidiary of FGH, paid $15.0 million of MOI's debtor-in-possession obligations and entered into a $131.1 million credit agreement comprised of the FGUSA Term Loan and the FGUSA Revolving Loan Facility. The Company performed a fair market valuation of the debt reflecting a debt discount of $10.0 million, which will be amortized over the life of the FGUSA Credit Facility.</w:t>
      </w:r>
    </w:p>
    <w:p>
      <w:pPr>
        <w:spacing w:after="0" w:line="20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March 26, 2018, the Company issued 103,213 shares of Common Stock to an accredited investor for a total of $1.8 million in gross proceeds pursuant to a private placement in reliance on the exemption from registration set forth in Section 4(a)(2) of the Securities Act.</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As indicated in Note 8, on April 26, 2018, the Company closed the PIPE Private Placement for aggregate gross proceeds of $56,855,000 with certain qualified institutional buyers and other accredited investors. The PIPE Private Placement included the issuance of the PIPE Shares and the PIPE Warrants. The PIPE Shares and PIPE Warrants were issued in reliance upon the exemption from registration provided by Section 4(a)(2) of the Securities Act.</w:t>
      </w:r>
    </w:p>
    <w:p>
      <w:pPr>
        <w:spacing w:after="0" w:line="201" w:lineRule="exact"/>
        <w:rPr>
          <w:sz w:val="20"/>
          <w:szCs w:val="20"/>
          <w:color w:val="auto"/>
        </w:rPr>
      </w:pPr>
    </w:p>
    <w:p>
      <w:pPr>
        <w:ind w:right="500" w:firstLine="648"/>
        <w:spacing w:after="0" w:line="297" w:lineRule="auto"/>
        <w:rPr>
          <w:sz w:val="20"/>
          <w:szCs w:val="20"/>
          <w:color w:val="auto"/>
        </w:rPr>
      </w:pPr>
      <w:r>
        <w:rPr>
          <w:rFonts w:ascii="Arial" w:cs="Arial" w:eastAsia="Arial" w:hAnsi="Arial"/>
          <w:sz w:val="19"/>
          <w:szCs w:val="19"/>
          <w:color w:val="auto"/>
        </w:rPr>
        <w:t>As indicated in Notes 4 and 8, on May 2, 2018, the Company and Carlyle entered into the Exchange pursuant to which Carlyle exchanged $50.0 million in principal amount of the Convertible Senior Notes for the Carlyle Warrants. The Carlyle Warrants were issued in reliance upon the exemption from registration provided by Section 4(a)(2) of the Securities Act.</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NONCONTROLLING INTERESTS IN SUBSIDIARIES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Noncontrolling interests in the Company’s consolidated subsidiaries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Noncontrolling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Interests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June 30, 2018</w:t>
            </w:r>
          </w:p>
        </w:tc>
        <w:tc>
          <w:tcPr>
            <w:tcW w:w="22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Falcon Global Holdings</w:t>
            </w:r>
          </w:p>
        </w:tc>
        <w:tc>
          <w:tcPr>
            <w:tcW w:w="15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28.0%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26,967</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Windcat Workboats</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3"/>
              </w:rPr>
              <w:t>12.5%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2,201</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r>
      <w:tr>
        <w:trPr>
          <w:trHeight w:val="216"/>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7"/>
              </w:rPr>
              <w:t>1.8%</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29,455</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14,975</w:t>
            </w: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i w:val="1"/>
          <w:iCs w:val="1"/>
          <w:color w:val="auto"/>
        </w:rPr>
        <w:t xml:space="preserve">Falcon Global Holdings. </w:t>
      </w:r>
      <w:r>
        <w:rPr>
          <w:rFonts w:ascii="Arial" w:cs="Arial" w:eastAsia="Arial" w:hAnsi="Arial"/>
          <w:sz w:val="21"/>
          <w:szCs w:val="21"/>
          <w:color w:val="auto"/>
        </w:rPr>
        <w:t>The Company formed FGH, a joint venture between the Company and MOI. The Company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MOI contributed certain liftboat vessels and other related assets to FGH and its designated subsidiaries and assumed certain operating liabilities and indebtedness associated with the liftboat vessels and related assets, including a previous joint venture (“Falcon Global International” or “FGI”) that owned and operated two liftboats. The transaction consolidates the 15 liftboat vessels operated by the Company and six liftboat vessels previously operated by MOI. The total capital contributed to FGH was approximately $112.5 million of which, $43.3 million was transferred from FGI and $18.8 million was contributed by MOI and recorded at fair value, with the remaining capital contributed by the Company. As a result of the transaction, the noncontrolling interest in the joint venture held by MOI is 28.0%.</w:t>
      </w:r>
    </w:p>
    <w:p>
      <w:pPr>
        <w:sectPr>
          <w:pgSz w:w="11900" w:h="16838" w:orient="portrait"/>
          <w:cols w:equalWidth="0" w:num="1">
            <w:col w:w="11420"/>
          </w:cols>
          <w:pgMar w:left="240" w:top="118" w:right="239" w:bottom="130" w:gutter="0" w:footer="0" w:header="0"/>
        </w:sectPr>
      </w:pPr>
    </w:p>
    <w:bookmarkStart w:id="18" w:name="page19"/>
    <w:bookmarkEnd w:id="18"/>
    <w:p>
      <w:pPr>
        <w:ind w:firstLine="648"/>
        <w:spacing w:after="0" w:line="241" w:lineRule="auto"/>
        <w:rPr>
          <w:sz w:val="20"/>
          <w:szCs w:val="20"/>
          <w:color w:val="auto"/>
        </w:rPr>
      </w:pPr>
      <w:r>
        <w:rPr>
          <w:rFonts w:ascii="Arial" w:cs="Arial" w:eastAsia="Arial" w:hAnsi="Arial"/>
          <w:sz w:val="22"/>
          <w:szCs w:val="22"/>
          <w:color w:val="auto"/>
        </w:rPr>
        <w:t>During the six months ended June 30, 2018, the net loss of Falcon Global Holdings was $14.4 million, of which $4.0 million was attributable to noncontrolling interests.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jc w:val="both"/>
        <w:ind w:firstLine="716"/>
        <w:spacing w:after="0" w:line="238" w:lineRule="auto"/>
        <w:rPr>
          <w:sz w:val="20"/>
          <w:szCs w:val="20"/>
          <w:color w:val="auto"/>
        </w:rPr>
      </w:pPr>
      <w:r>
        <w:rPr>
          <w:rFonts w:ascii="Arial" w:cs="Arial" w:eastAsia="Arial" w:hAnsi="Arial"/>
          <w:sz w:val="22"/>
          <w:szCs w:val="22"/>
          <w:b w:val="1"/>
          <w:bCs w:val="1"/>
          <w:i w:val="1"/>
          <w:iCs w:val="1"/>
          <w:color w:val="auto"/>
        </w:rPr>
        <w:t xml:space="preserve">Windcat Workboats. </w:t>
      </w:r>
      <w:r>
        <w:rPr>
          <w:rFonts w:ascii="Arial" w:cs="Arial" w:eastAsia="Arial" w:hAnsi="Arial"/>
          <w:sz w:val="22"/>
          <w:szCs w:val="22"/>
          <w:color w:val="auto"/>
        </w:rPr>
        <w:t>Windcat Workboats owns and operates the Company’s wind farm utility vessels that are primarily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used to move personnel and supplies in the major offshore wind markets of Europe. As of June 30, 2018, the net assets of Windcat Workboats were $17.6 million. During the six months ended June 30, 2018, the net loss of Windcat Workboats was $3.3 million, of which $0.4 million was attributable to noncontrolling interests.</w:t>
      </w:r>
    </w:p>
    <w:p>
      <w:pPr>
        <w:spacing w:after="0" w:line="200" w:lineRule="exact"/>
        <w:rPr>
          <w:sz w:val="20"/>
          <w:szCs w:val="20"/>
          <w:color w:val="auto"/>
        </w:rPr>
      </w:pPr>
    </w:p>
    <w:p>
      <w:pPr>
        <w:spacing w:after="0" w:line="22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11.</w:t>
        <w:tab/>
        <w:t>COMMITMENTS AND CONTINGENCIES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As of June 30, 2018, the Company’s unfunded capital commitments were $43.3 million for two fast support vessels, three supply vessels, three wind farm utility vessels, and a conversion of one supply vessel to standby safety vessel. Of the amount of unfunded capital commitments, $12.7 million is payable during the remainder of 2018, $21.6 million is payable during 2019 and $9.0 million is payable during 2020. The Company has indefinitely deferred an additional $20.8 million of orders with respect to two fast support vessels for which the Company had previously reported unfunded capital commitments. The delivery dates and payment of certain costs (originally scheduled for payment in 2018, 2019 and 2020) for such vessels are uncertain as the Company, at its option, may defer their construction for an indefinite period of time.</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As of June 30, 2018 the Company has guaranteed certain performance contracts of one of its subsidiaries by setting aside £0.9 million from its available borrowing under an unsecured line of credit. If the contract were not fulfilled, the line of credit would be drawn to fund the guarantee.</w:t>
      </w:r>
    </w:p>
    <w:p>
      <w:pPr>
        <w:spacing w:after="0" w:line="21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As of June 30, 2018, SEACOR Holdings has guaranteed $51.6 million on behalf of the Company for various obligations including: letter of credit obligations, performance obligations under sale-leaseback arrangements and invoiced amounts for funding deficits under the MNOPF. Pursuant to a Distribution Agreement with SEACOR Holdings, SEACOR Holdings charges the Company a fee of 0.5% on outstanding guaranteed amounts, which declines as the obligations are settled by the Company.</w:t>
      </w:r>
    </w:p>
    <w:p>
      <w:pPr>
        <w:spacing w:after="0" w:line="1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200" w:lineRule="exact"/>
        <w:rPr>
          <w:sz w:val="20"/>
          <w:szCs w:val="20"/>
          <w:color w:val="auto"/>
        </w:rPr>
      </w:pPr>
    </w:p>
    <w:p>
      <w:pPr>
        <w:spacing w:after="0" w:line="24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21"/>
          <w:szCs w:val="21"/>
          <w:b w:val="1"/>
          <w:bCs w:val="1"/>
          <w:color w:val="auto"/>
        </w:rPr>
        <w:t>MULTI-EMPLOYER PENSION PLANS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i w:val="1"/>
          <w:iCs w:val="1"/>
          <w:color w:val="auto"/>
        </w:rPr>
        <w:t xml:space="preserve">Merchant Navy Ratings Pension Fund (“MNRPF”). </w:t>
      </w:r>
      <w:r>
        <w:rPr>
          <w:rFonts w:ascii="Arial" w:cs="Arial" w:eastAsia="Arial" w:hAnsi="Arial"/>
          <w:sz w:val="19"/>
          <w:szCs w:val="19"/>
          <w:color w:val="auto"/>
        </w:rPr>
        <w:t>The cumulative funding deficits of the MNRPF are being recovered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by additional annual contributions from current employers that are subject to adjustment following the results of tri-annual actuarial valuations. Based on an actuarial valuation as of March 2017, the cumulative funding deficit of the MNRPF was $291.9 million (£221.0 million). On July 20, 2018, the Company was notified of additional contributions due and recognized in the second quarter of 2018 payroll related expenses of $1.19 million (£0.9 million) for its allocated share of the cumulative funding deficit including portions deemed uncollectible due to the non-existence or liquidation of certain former employers. These additional contributions will be invoiced in September 2018 and are payable in four annual installments beginning in October 2018. Depending upon the results of future actuarial valuations, it is possible that the plan could experience further funding deficits that will require the Company to recognize payroll related operating expenses for those periods.</w:t>
      </w:r>
    </w:p>
    <w:p>
      <w:pPr>
        <w:spacing w:after="0" w:line="200" w:lineRule="exact"/>
        <w:rPr>
          <w:sz w:val="20"/>
          <w:szCs w:val="20"/>
          <w:color w:val="auto"/>
        </w:rPr>
      </w:pPr>
    </w:p>
    <w:p>
      <w:pPr>
        <w:spacing w:after="0" w:line="223"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SHARE BASED COMPENSATION</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Transactions in connection with the Company's 2017 Equity Incentive Plan during the six months ended June 30, 2018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stock awards granted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9840" w:type="dxa"/>
            <w:vAlign w:val="bottom"/>
            <w:gridSpan w:val="2"/>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 granted</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8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Outstanding as of December 31, 2017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613,700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June 30, 2018</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694,691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9840" w:type="dxa"/>
            <w:vAlign w:val="bottom"/>
            <w:gridSpan w:val="2"/>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Available for future grants as of June 30, 2018</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1,270,424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STOCK REPURCHASES</w:t>
      </w:r>
    </w:p>
    <w:p>
      <w:pPr>
        <w:sectPr>
          <w:pgSz w:w="11900" w:h="16838" w:orient="portrait"/>
          <w:cols w:equalWidth="0" w:num="1">
            <w:col w:w="11420"/>
          </w:cols>
          <w:pgMar w:left="240" w:top="118" w:right="239" w:bottom="121" w:gutter="0" w:footer="0" w:header="0"/>
        </w:sectPr>
      </w:pPr>
    </w:p>
    <w:bookmarkStart w:id="20" w:name="page21"/>
    <w:bookmarkEnd w:id="20"/>
    <w:p>
      <w:pPr>
        <w:jc w:val="both"/>
        <w:ind w:firstLine="648"/>
        <w:spacing w:after="0" w:line="271" w:lineRule="auto"/>
        <w:rPr>
          <w:sz w:val="20"/>
          <w:szCs w:val="20"/>
          <w:color w:val="auto"/>
        </w:rPr>
      </w:pPr>
      <w:r>
        <w:rPr>
          <w:rFonts w:ascii="Arial" w:cs="Arial" w:eastAsia="Arial" w:hAnsi="Arial"/>
          <w:sz w:val="19"/>
          <w:szCs w:val="19"/>
          <w:color w:val="auto"/>
        </w:rPr>
        <w:t>On May 14, 2018, the Company acquired for treasury 2,242 shares of Common Stock for an aggregate purchase price of $51,454 from its employees to cover their tax withholding obligations upon the lapsing of restrictions on share awards. These shares were purchased in accordance with the terms of the Company's 2017 Equity Incentive Plan and not pursuant to the repurchase authorizations granted by the Company's Board of Directors. On May 24, 2018, in connection with the net settlement of the Carlyle Warrant Exercise, the Company acquired for treasury 108 shares of Common Stock for an aggregate purchase price of $2,562 from Carlyle to cover the $0.01 exercise price of the Carlyle Warrants. (See Note 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15.</w:t>
        <w:tab/>
        <w:t>SEGMENT INFORMATION</w:t>
      </w:r>
    </w:p>
    <w:p>
      <w:pPr>
        <w:spacing w:after="0" w:line="21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Company’s segment presentation and basis of measurement of segment profit or loss are as previously described in the Company’s Annual Report on Form 10-K for the year ended December 31, 2017. The following tables summarize the operating results, capital expenditures and assets of the Company’s reportable segments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Brazil,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United States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Mexico,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(primarily</w:t>
            </w: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Africa</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Central and</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Europe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Gulf of</w:t>
            </w:r>
          </w:p>
        </w:tc>
        <w:tc>
          <w:tcPr>
            <w:tcW w:w="14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(primarily</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9"/>
              </w:rPr>
              <w:t>Middle East</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South</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Mexico)</w:t>
            </w: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West Africa)</w:t>
            </w: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and Asia</w:t>
            </w:r>
          </w:p>
        </w:tc>
        <w:tc>
          <w:tcPr>
            <w:tcW w:w="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North Sea)</w:t>
            </w:r>
          </w:p>
        </w:tc>
        <w:tc>
          <w:tcPr>
            <w:tcW w:w="22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0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4"/>
              </w:rPr>
              <w:t>For the Three Months Ended June 30,</w:t>
            </w: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Time Charter Statistics: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Rates Per Day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9,509</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16"/>
        </w:trPr>
        <w:tc>
          <w:tcPr>
            <w:tcW w:w="3060" w:type="dxa"/>
            <w:vAlign w:val="bottom"/>
          </w:tcPr>
          <w:p>
            <w:pPr>
              <w:ind w:left="340"/>
              <w:spacing w:after="0"/>
              <w:rPr>
                <w:sz w:val="20"/>
                <w:szCs w:val="20"/>
                <w:color w:val="auto"/>
              </w:rPr>
            </w:pPr>
            <w:r>
              <w:rPr>
                <w:rFonts w:ascii="Arial" w:cs="Arial" w:eastAsia="Arial" w:hAnsi="Arial"/>
                <w:sz w:val="18"/>
                <w:szCs w:val="18"/>
                <w:color w:val="auto"/>
              </w:rPr>
              <w:t>Fleet Utilization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Fleet Available Days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1,331</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12,528</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Time charter</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18,505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56,826</w:t>
            </w:r>
          </w:p>
        </w:tc>
        <w:tc>
          <w:tcPr>
            <w:tcW w:w="0" w:type="dxa"/>
            <w:vAlign w:val="bottom"/>
          </w:tcPr>
          <w:p>
            <w:pPr>
              <w:spacing w:after="0"/>
              <w:rPr>
                <w:sz w:val="1"/>
                <w:szCs w:val="1"/>
                <w:color w:val="auto"/>
              </w:rPr>
            </w:pPr>
          </w:p>
        </w:tc>
      </w:tr>
      <w:tr>
        <w:trPr>
          <w:trHeight w:val="216"/>
        </w:trPr>
        <w:tc>
          <w:tcPr>
            <w:tcW w:w="3060" w:type="dxa"/>
            <w:vAlign w:val="bottom"/>
          </w:tcPr>
          <w:p>
            <w:pPr>
              <w:ind w:left="340"/>
              <w:spacing w:after="0"/>
              <w:rPr>
                <w:sz w:val="20"/>
                <w:szCs w:val="20"/>
                <w:color w:val="auto"/>
              </w:rPr>
            </w:pPr>
            <w:r>
              <w:rPr>
                <w:rFonts w:ascii="Arial" w:cs="Arial" w:eastAsia="Arial" w:hAnsi="Arial"/>
                <w:sz w:val="18"/>
                <w:szCs w:val="18"/>
                <w:color w:val="auto"/>
              </w:rPr>
              <w:t>Bareboat charter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marine services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12,799</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19,145</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60,701</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Personnel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4,314</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10,495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24,733</w:t>
            </w:r>
          </w:p>
        </w:tc>
        <w:tc>
          <w:tcPr>
            <w:tcW w:w="0" w:type="dxa"/>
            <w:vAlign w:val="bottom"/>
          </w:tcPr>
          <w:p>
            <w:pPr>
              <w:spacing w:after="0"/>
              <w:rPr>
                <w:sz w:val="1"/>
                <w:szCs w:val="1"/>
                <w:color w:val="auto"/>
              </w:rPr>
            </w:pPr>
          </w:p>
        </w:tc>
      </w:tr>
      <w:tr>
        <w:trPr>
          <w:trHeight w:val="216"/>
        </w:trPr>
        <w:tc>
          <w:tcPr>
            <w:tcW w:w="3060" w:type="dxa"/>
            <w:vAlign w:val="bottom"/>
          </w:tcPr>
          <w:p>
            <w:pPr>
              <w:ind w:left="660"/>
              <w:spacing w:after="0"/>
              <w:rPr>
                <w:sz w:val="20"/>
                <w:szCs w:val="20"/>
                <w:color w:val="auto"/>
              </w:rPr>
            </w:pPr>
            <w:r>
              <w:rPr>
                <w:rFonts w:ascii="Arial" w:cs="Arial" w:eastAsia="Arial" w:hAnsi="Arial"/>
                <w:sz w:val="18"/>
                <w:szCs w:val="18"/>
                <w:color w:val="auto"/>
              </w:rPr>
              <w:t>Repairs and maintenance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1,663</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3,576</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2,270</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9,070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Drydocking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910</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6"/>
        </w:trPr>
        <w:tc>
          <w:tcPr>
            <w:tcW w:w="3060" w:type="dxa"/>
            <w:vAlign w:val="bottom"/>
          </w:tcPr>
          <w:p>
            <w:pPr>
              <w:ind w:left="660"/>
              <w:spacing w:after="0"/>
              <w:rPr>
                <w:sz w:val="20"/>
                <w:szCs w:val="20"/>
                <w:color w:val="auto"/>
              </w:rPr>
            </w:pPr>
            <w:r>
              <w:rPr>
                <w:rFonts w:ascii="Arial" w:cs="Arial" w:eastAsia="Arial" w:hAnsi="Arial"/>
                <w:sz w:val="18"/>
                <w:szCs w:val="18"/>
                <w:color w:val="auto"/>
              </w:rPr>
              <w:t>Insurance and loss reserves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902</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Fuel, lubes and supplies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16"/>
        </w:trPr>
        <w:tc>
          <w:tcPr>
            <w:tcW w:w="3060" w:type="dxa"/>
            <w:vAlign w:val="bottom"/>
          </w:tcPr>
          <w:p>
            <w:pPr>
              <w:ind w:left="6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1,402</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836</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9,437</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9,836</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15,533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45,980</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8"/>
                <w:szCs w:val="18"/>
                <w:b w:val="1"/>
                <w:bCs w:val="1"/>
                <w:color w:val="auto"/>
              </w:rPr>
              <w:t>Direct Vessel Profit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1,822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2,035</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2,963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4,289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3,612</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14,721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Leased-in equipment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962</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197"/>
        </w:trPr>
        <w:tc>
          <w:tcPr>
            <w:tcW w:w="3060" w:type="dxa"/>
            <w:vAlign w:val="bottom"/>
            <w:tcBorders>
              <w:top w:val="single" w:sz="8" w:color="CCEEFF"/>
            </w:tcBorders>
          </w:tcPr>
          <w:p>
            <w:pPr>
              <w:ind w:left="660"/>
              <w:spacing w:after="0" w:line="196" w:lineRule="exact"/>
              <w:rPr>
                <w:sz w:val="20"/>
                <w:szCs w:val="20"/>
                <w:color w:val="auto"/>
              </w:rPr>
            </w:pPr>
            <w:r>
              <w:rPr>
                <w:rFonts w:ascii="Arial" w:cs="Arial" w:eastAsia="Arial" w:hAnsi="Arial"/>
                <w:sz w:val="18"/>
                <w:szCs w:val="18"/>
                <w:color w:val="auto"/>
              </w:rPr>
              <w:t>Administrative and general</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jc w:val="right"/>
              <w:ind w:right="160"/>
              <w:spacing w:after="0" w:line="196" w:lineRule="exact"/>
              <w:rPr>
                <w:sz w:val="20"/>
                <w:szCs w:val="20"/>
                <w:color w:val="auto"/>
              </w:rPr>
            </w:pPr>
            <w:r>
              <w:rPr>
                <w:rFonts w:ascii="Arial" w:cs="Arial" w:eastAsia="Arial" w:hAnsi="Arial"/>
                <w:sz w:val="18"/>
                <w:szCs w:val="18"/>
                <w:color w:val="auto"/>
              </w:rPr>
              <w:t>15,532</w:t>
            </w:r>
          </w:p>
        </w:tc>
        <w:tc>
          <w:tcPr>
            <w:tcW w:w="0" w:type="dxa"/>
            <w:vAlign w:val="bottom"/>
          </w:tcPr>
          <w:p>
            <w:pPr>
              <w:spacing w:after="0"/>
              <w:rPr>
                <w:sz w:val="1"/>
                <w:szCs w:val="1"/>
                <w:color w:val="auto"/>
              </w:rPr>
            </w:pPr>
          </w:p>
        </w:tc>
      </w:tr>
      <w:tr>
        <w:trPr>
          <w:trHeight w:val="256"/>
        </w:trPr>
        <w:tc>
          <w:tcPr>
            <w:tcW w:w="30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9"/>
              </w:rPr>
              <w:t>Depreciation and amortization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2,924</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2,976</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18,406</w:t>
            </w:r>
          </w:p>
        </w:tc>
        <w:tc>
          <w:tcPr>
            <w:tcW w:w="0" w:type="dxa"/>
            <w:vAlign w:val="bottom"/>
          </w:tcPr>
          <w:p>
            <w:pPr>
              <w:spacing w:after="0"/>
              <w:rPr>
                <w:sz w:val="1"/>
                <w:szCs w:val="1"/>
                <w:color w:val="auto"/>
              </w:rPr>
            </w:pPr>
          </w:p>
        </w:tc>
      </w:tr>
      <w:tr>
        <w:trPr>
          <w:trHeight w:val="197"/>
        </w:trPr>
        <w:tc>
          <w:tcPr>
            <w:tcW w:w="30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36,778</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Gains on Asset Dispositions and</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60" w:type="dxa"/>
            <w:vAlign w:val="bottom"/>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(21,002)</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Brazil,</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United States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Mexico,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Africa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Central and</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Europe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Gulf of</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Middle East</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South</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Mexico)</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West Africa)</w:t>
            </w:r>
          </w:p>
        </w:tc>
        <w:tc>
          <w:tcPr>
            <w:tcW w:w="10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and Asia</w:t>
            </w:r>
          </w:p>
        </w:tc>
        <w:tc>
          <w:tcPr>
            <w:tcW w:w="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North Sea)</w:t>
            </w:r>
          </w:p>
        </w:tc>
        <w:tc>
          <w:tcPr>
            <w:tcW w:w="22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For the Six Months Ended June 30,</w:t>
            </w: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Time Charter Statistics: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Fleet Utilization</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Fleet Available Days</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7,760</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2,591</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36,123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Bareboat charter</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marine services</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3,331</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18,365</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23,553</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24,043</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37,277</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112,422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8,628</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8,387</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8,091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19,708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640"/>
              <w:spacing w:after="0"/>
              <w:rPr>
                <w:sz w:val="20"/>
                <w:szCs w:val="20"/>
                <w:color w:val="auto"/>
              </w:rPr>
            </w:pPr>
            <w:r>
              <w:rPr>
                <w:rFonts w:ascii="Arial" w:cs="Arial" w:eastAsia="Arial" w:hAnsi="Arial"/>
                <w:sz w:val="18"/>
                <w:szCs w:val="18"/>
                <w:color w:val="auto"/>
              </w:rPr>
              <w:t>Repairs and maintenance</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2,223</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6,004</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4,560</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Drydocking</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640"/>
              <w:spacing w:after="0"/>
              <w:rPr>
                <w:sz w:val="20"/>
                <w:szCs w:val="20"/>
                <w:color w:val="auto"/>
              </w:rPr>
            </w:pPr>
            <w:r>
              <w:rPr>
                <w:rFonts w:ascii="Arial" w:cs="Arial" w:eastAsia="Arial" w:hAnsi="Arial"/>
                <w:sz w:val="18"/>
                <w:szCs w:val="18"/>
                <w:color w:val="auto"/>
              </w:rPr>
              <w:t>Insurance and loss reserves</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Fuel, lubes and supplies</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6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2,044</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15,069</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16,791</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18,753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30,574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3,296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6,762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5,290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6,043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6,703</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tcBorders>
              <w:top w:val="single" w:sz="8" w:color="CCEEFF"/>
            </w:tcBorders>
          </w:tcPr>
          <w:p>
            <w:pPr>
              <w:ind w:left="320"/>
              <w:spacing w:after="0" w:line="196" w:lineRule="exact"/>
              <w:rPr>
                <w:sz w:val="20"/>
                <w:szCs w:val="20"/>
                <w:color w:val="auto"/>
              </w:rPr>
            </w:pPr>
            <w:r>
              <w:rPr>
                <w:rFonts w:ascii="Arial" w:cs="Arial" w:eastAsia="Arial" w:hAnsi="Arial"/>
                <w:sz w:val="18"/>
                <w:szCs w:val="18"/>
                <w:color w:val="auto"/>
              </w:rPr>
              <w:t>Administrative and general</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jc w:val="right"/>
              <w:ind w:right="160"/>
              <w:spacing w:after="0" w:line="196" w:lineRule="exact"/>
              <w:rPr>
                <w:sz w:val="20"/>
                <w:szCs w:val="20"/>
                <w:color w:val="auto"/>
              </w:rPr>
            </w:pPr>
            <w:r>
              <w:rPr>
                <w:rFonts w:ascii="Arial" w:cs="Arial" w:eastAsia="Arial" w:hAnsi="Arial"/>
                <w:sz w:val="18"/>
                <w:szCs w:val="18"/>
                <w:color w:val="auto"/>
              </w:rPr>
              <w:t>28,339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5,837</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71,922</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Losses on Asset Dispositions and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As of June 30, 2018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Historical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439,026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184,037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317,536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165,145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182,111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1,287,855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(225,116)</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(57,909)</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(86,239)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(58,078)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(137,135)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213,910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126,128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231,297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107,067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44,976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723,378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Brazil,</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United States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Mexico,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(primarily</w:t>
            </w: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Africa</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Central and</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Europe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Gulf of</w:t>
            </w:r>
          </w:p>
        </w:tc>
        <w:tc>
          <w:tcPr>
            <w:tcW w:w="14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(primarily</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9"/>
              </w:rPr>
              <w:t>Middle East</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South</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Mexico)</w:t>
            </w: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West Africa)</w:t>
            </w: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and Asia</w:t>
            </w:r>
          </w:p>
        </w:tc>
        <w:tc>
          <w:tcPr>
            <w:tcW w:w="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North Sea)</w:t>
            </w:r>
          </w:p>
        </w:tc>
        <w:tc>
          <w:tcPr>
            <w:tcW w:w="22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0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4"/>
              </w:rPr>
              <w:t>For the Three Months Ended June 30,</w:t>
            </w: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Time Charter Statistics: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Rates Per Day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10,348</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5,649</w:t>
            </w:r>
          </w:p>
        </w:tc>
        <w:tc>
          <w:tcPr>
            <w:tcW w:w="0" w:type="dxa"/>
            <w:vAlign w:val="bottom"/>
          </w:tcPr>
          <w:p>
            <w:pPr>
              <w:spacing w:after="0"/>
              <w:rPr>
                <w:sz w:val="1"/>
                <w:szCs w:val="1"/>
                <w:color w:val="auto"/>
              </w:rPr>
            </w:pPr>
          </w:p>
        </w:tc>
      </w:tr>
      <w:tr>
        <w:trPr>
          <w:trHeight w:val="216"/>
        </w:trPr>
        <w:tc>
          <w:tcPr>
            <w:tcW w:w="3060" w:type="dxa"/>
            <w:vAlign w:val="bottom"/>
          </w:tcPr>
          <w:p>
            <w:pPr>
              <w:ind w:left="340"/>
              <w:spacing w:after="0"/>
              <w:rPr>
                <w:sz w:val="20"/>
                <w:szCs w:val="20"/>
                <w:color w:val="auto"/>
              </w:rPr>
            </w:pPr>
            <w:r>
              <w:rPr>
                <w:rFonts w:ascii="Arial" w:cs="Arial" w:eastAsia="Arial" w:hAnsi="Arial"/>
                <w:sz w:val="18"/>
                <w:szCs w:val="18"/>
                <w:color w:val="auto"/>
              </w:rPr>
              <w:t>Fleet Utilization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Fleet Available Days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1,123</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12,363</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Time charter</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7,786</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18,713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38,803</w:t>
            </w:r>
          </w:p>
        </w:tc>
        <w:tc>
          <w:tcPr>
            <w:tcW w:w="0" w:type="dxa"/>
            <w:vAlign w:val="bottom"/>
          </w:tcPr>
          <w:p>
            <w:pPr>
              <w:spacing w:after="0"/>
              <w:rPr>
                <w:sz w:val="1"/>
                <w:szCs w:val="1"/>
                <w:color w:val="auto"/>
              </w:rPr>
            </w:pPr>
          </w:p>
        </w:tc>
      </w:tr>
      <w:tr>
        <w:trPr>
          <w:trHeight w:val="216"/>
        </w:trPr>
        <w:tc>
          <w:tcPr>
            <w:tcW w:w="3060" w:type="dxa"/>
            <w:vAlign w:val="bottom"/>
          </w:tcPr>
          <w:p>
            <w:pPr>
              <w:ind w:left="340"/>
              <w:spacing w:after="0"/>
              <w:rPr>
                <w:sz w:val="20"/>
                <w:szCs w:val="20"/>
                <w:color w:val="auto"/>
              </w:rPr>
            </w:pPr>
            <w:r>
              <w:rPr>
                <w:rFonts w:ascii="Arial" w:cs="Arial" w:eastAsia="Arial" w:hAnsi="Arial"/>
                <w:sz w:val="18"/>
                <w:szCs w:val="18"/>
                <w:color w:val="auto"/>
              </w:rPr>
              <w:t>Bareboat charter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marine services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6,087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8,001</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7,524</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19,393</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42,323</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Personnel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3,428</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8,671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20,577</w:t>
            </w:r>
          </w:p>
        </w:tc>
        <w:tc>
          <w:tcPr>
            <w:tcW w:w="0" w:type="dxa"/>
            <w:vAlign w:val="bottom"/>
          </w:tcPr>
          <w:p>
            <w:pPr>
              <w:spacing w:after="0"/>
              <w:rPr>
                <w:sz w:val="1"/>
                <w:szCs w:val="1"/>
                <w:color w:val="auto"/>
              </w:rPr>
            </w:pPr>
          </w:p>
        </w:tc>
      </w:tr>
      <w:tr>
        <w:trPr>
          <w:trHeight w:val="216"/>
        </w:trPr>
        <w:tc>
          <w:tcPr>
            <w:tcW w:w="3060" w:type="dxa"/>
            <w:vAlign w:val="bottom"/>
          </w:tcPr>
          <w:p>
            <w:pPr>
              <w:ind w:left="660"/>
              <w:spacing w:after="0"/>
              <w:rPr>
                <w:sz w:val="20"/>
                <w:szCs w:val="20"/>
                <w:color w:val="auto"/>
              </w:rPr>
            </w:pPr>
            <w:r>
              <w:rPr>
                <w:rFonts w:ascii="Arial" w:cs="Arial" w:eastAsia="Arial" w:hAnsi="Arial"/>
                <w:sz w:val="18"/>
                <w:szCs w:val="18"/>
                <w:color w:val="auto"/>
              </w:rPr>
              <w:t>Repairs and maintenance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937</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3,234</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3,947</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2,191</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Drydocking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3060" w:type="dxa"/>
            <w:vAlign w:val="bottom"/>
          </w:tcPr>
          <w:p>
            <w:pPr>
              <w:ind w:left="660"/>
              <w:spacing w:after="0"/>
              <w:rPr>
                <w:sz w:val="20"/>
                <w:szCs w:val="20"/>
                <w:color w:val="auto"/>
              </w:rPr>
            </w:pPr>
            <w:r>
              <w:rPr>
                <w:rFonts w:ascii="Arial" w:cs="Arial" w:eastAsia="Arial" w:hAnsi="Arial"/>
                <w:sz w:val="18"/>
                <w:szCs w:val="18"/>
                <w:color w:val="auto"/>
              </w:rPr>
              <w:t>Insurance and loss reserves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Fuel, lubes and supplies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16"/>
        </w:trPr>
        <w:tc>
          <w:tcPr>
            <w:tcW w:w="3060" w:type="dxa"/>
            <w:vAlign w:val="bottom"/>
          </w:tcPr>
          <w:p>
            <w:pPr>
              <w:ind w:left="6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9,277</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10,774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13,212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40,792</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8"/>
                <w:szCs w:val="18"/>
                <w:b w:val="1"/>
                <w:bCs w:val="1"/>
                <w:color w:val="auto"/>
              </w:rPr>
              <w:t>Direct Vessel (Loss) Profit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(1,276)</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6,181</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Leased-in equipment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969</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197"/>
        </w:trPr>
        <w:tc>
          <w:tcPr>
            <w:tcW w:w="3060" w:type="dxa"/>
            <w:vAlign w:val="bottom"/>
            <w:tcBorders>
              <w:top w:val="single" w:sz="8" w:color="CCEEFF"/>
            </w:tcBorders>
          </w:tcPr>
          <w:p>
            <w:pPr>
              <w:ind w:left="340"/>
              <w:spacing w:after="0" w:line="196" w:lineRule="exact"/>
              <w:rPr>
                <w:sz w:val="20"/>
                <w:szCs w:val="20"/>
                <w:color w:val="auto"/>
              </w:rPr>
            </w:pPr>
            <w:r>
              <w:rPr>
                <w:rFonts w:ascii="Arial" w:cs="Arial" w:eastAsia="Arial" w:hAnsi="Arial"/>
                <w:sz w:val="18"/>
                <w:szCs w:val="18"/>
                <w:color w:val="auto"/>
              </w:rPr>
              <w:t>Administrative and general</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jc w:val="right"/>
              <w:ind w:right="160"/>
              <w:spacing w:after="0" w:line="196" w:lineRule="exact"/>
              <w:rPr>
                <w:sz w:val="20"/>
                <w:szCs w:val="20"/>
                <w:color w:val="auto"/>
              </w:rPr>
            </w:pPr>
            <w:r>
              <w:rPr>
                <w:rFonts w:ascii="Arial" w:cs="Arial" w:eastAsia="Arial" w:hAnsi="Arial"/>
                <w:sz w:val="18"/>
                <w:szCs w:val="18"/>
                <w:color w:val="auto"/>
              </w:rPr>
              <w:t>21,705</w:t>
            </w:r>
          </w:p>
        </w:tc>
        <w:tc>
          <w:tcPr>
            <w:tcW w:w="0" w:type="dxa"/>
            <w:vAlign w:val="bottom"/>
          </w:tcPr>
          <w:p>
            <w:pPr>
              <w:spacing w:after="0"/>
              <w:rPr>
                <w:sz w:val="1"/>
                <w:szCs w:val="1"/>
                <w:color w:val="auto"/>
              </w:rPr>
            </w:pPr>
          </w:p>
        </w:tc>
      </w:tr>
      <w:tr>
        <w:trPr>
          <w:trHeight w:val="256"/>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2,059</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2,062</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14,633</w:t>
            </w:r>
          </w:p>
        </w:tc>
        <w:tc>
          <w:tcPr>
            <w:tcW w:w="0" w:type="dxa"/>
            <w:vAlign w:val="bottom"/>
          </w:tcPr>
          <w:p>
            <w:pPr>
              <w:spacing w:after="0"/>
              <w:rPr>
                <w:sz w:val="1"/>
                <w:szCs w:val="1"/>
                <w:color w:val="auto"/>
              </w:rPr>
            </w:pPr>
          </w:p>
        </w:tc>
      </w:tr>
      <w:tr>
        <w:trPr>
          <w:trHeight w:val="197"/>
        </w:trPr>
        <w:tc>
          <w:tcPr>
            <w:tcW w:w="30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40,028</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Losses on Asset Dispositions and</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(44,815)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Brazil,</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United States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Mexico,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Africa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Central and</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Europe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Gulf of</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Middle East</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South</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Mexico)</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West Africa)</w:t>
            </w:r>
          </w:p>
        </w:tc>
        <w:tc>
          <w:tcPr>
            <w:tcW w:w="10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and Asia</w:t>
            </w:r>
          </w:p>
        </w:tc>
        <w:tc>
          <w:tcPr>
            <w:tcW w:w="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North Sea)</w:t>
            </w:r>
          </w:p>
        </w:tc>
        <w:tc>
          <w:tcPr>
            <w:tcW w:w="22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For the Six Months Ended June 30,</w:t>
            </w: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Time Charter Statistics: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Fleet Utilization</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Fleet Available Days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34,778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Bareboat charter</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marine services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9,908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14,224</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35,919</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76,627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6,036</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16,588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640"/>
              <w:spacing w:after="0"/>
              <w:rPr>
                <w:sz w:val="20"/>
                <w:szCs w:val="20"/>
                <w:color w:val="auto"/>
              </w:rPr>
            </w:pPr>
            <w:r>
              <w:rPr>
                <w:rFonts w:ascii="Arial" w:cs="Arial" w:eastAsia="Arial" w:hAnsi="Arial"/>
                <w:sz w:val="18"/>
                <w:szCs w:val="18"/>
                <w:color w:val="auto"/>
              </w:rPr>
              <w:t>Repairs and maintenance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4,523</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3,925</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Drydocking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640"/>
              <w:spacing w:after="0"/>
              <w:rPr>
                <w:sz w:val="20"/>
                <w:szCs w:val="20"/>
                <w:color w:val="auto"/>
              </w:rPr>
            </w:pPr>
            <w:r>
              <w:rPr>
                <w:rFonts w:ascii="Arial" w:cs="Arial" w:eastAsia="Arial" w:hAnsi="Arial"/>
                <w:sz w:val="18"/>
                <w:szCs w:val="18"/>
                <w:color w:val="auto"/>
              </w:rPr>
              <w:t>Insurance and loss reserves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Fuel, lubes and supplies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6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2,526</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14,873</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16,966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25,560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Direct Vessel (Loss)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(2,950)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2,213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10,359</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2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tcBorders>
              <w:top w:val="single" w:sz="8" w:color="CCEEFF"/>
            </w:tcBorders>
          </w:tcPr>
          <w:p>
            <w:pPr>
              <w:ind w:left="320"/>
              <w:spacing w:after="0" w:line="196" w:lineRule="exact"/>
              <w:rPr>
                <w:sz w:val="20"/>
                <w:szCs w:val="20"/>
                <w:color w:val="auto"/>
              </w:rPr>
            </w:pPr>
            <w:r>
              <w:rPr>
                <w:rFonts w:ascii="Arial" w:cs="Arial" w:eastAsia="Arial" w:hAnsi="Arial"/>
                <w:sz w:val="18"/>
                <w:szCs w:val="18"/>
                <w:color w:val="auto"/>
              </w:rPr>
              <w:t>Administrative and general</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jc w:val="right"/>
              <w:ind w:right="160"/>
              <w:spacing w:after="0" w:line="196" w:lineRule="exact"/>
              <w:rPr>
                <w:sz w:val="20"/>
                <w:szCs w:val="20"/>
                <w:color w:val="auto"/>
              </w:rPr>
            </w:pPr>
            <w:r>
              <w:rPr>
                <w:rFonts w:ascii="Arial" w:cs="Arial" w:eastAsia="Arial" w:hAnsi="Arial"/>
                <w:sz w:val="18"/>
                <w:szCs w:val="18"/>
                <w:color w:val="auto"/>
              </w:rPr>
              <w:t>33,531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11,349</w:t>
            </w:r>
          </w:p>
        </w:tc>
        <w:tc>
          <w:tcPr>
            <w:tcW w:w="2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4,183</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27,136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67,948</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Losses on Asset Dispositions and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As of June 30, 2017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Historical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417,675</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183,661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302,892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78,976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171,951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1,155,155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(233,758)</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(59,300)</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(83,880)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(41,565)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(125,319)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183,917</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124,361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219,012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37,411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46,632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611,333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left="140" w:right="140" w:firstLine="648"/>
        <w:spacing w:after="0" w:line="236" w:lineRule="auto"/>
        <w:rPr>
          <w:sz w:val="20"/>
          <w:szCs w:val="20"/>
          <w:color w:val="auto"/>
        </w:rPr>
      </w:pPr>
      <w:r>
        <w:rPr>
          <w:rFonts w:ascii="Arial" w:cs="Arial" w:eastAsia="Arial" w:hAnsi="Arial"/>
          <w:sz w:val="22"/>
          <w:szCs w:val="22"/>
          <w:color w:val="auto"/>
        </w:rPr>
        <w:t>The Company’s investments in 50% or less owned companies, which are accounted for under the equity method, also contribute to its consolidated results of operations. As of June 30, 2018, the Company’s investments, at equity, and advances to 50% or less owned companies in MexMar and its other 50% or less owned companies were $63.7 million and $51.7 million, respectively. Equity in (losses) earnings of 50% or less owned companies, net of tax for the six months ended June 30 were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0"/>
                <w:szCs w:val="20"/>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MexMar</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Other</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(580)</w:t>
            </w:r>
          </w:p>
        </w:tc>
      </w:tr>
      <w:tr>
        <w:trPr>
          <w:trHeight w:val="20"/>
        </w:trPr>
        <w:tc>
          <w:tcPr>
            <w:tcW w:w="3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36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w:t>
            </w:r>
          </w:p>
        </w:tc>
      </w:tr>
      <w:tr>
        <w:trPr>
          <w:trHeight w:val="20"/>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21"/>
          <w:szCs w:val="21"/>
          <w:b w:val="1"/>
          <w:bCs w:val="1"/>
          <w:color w:val="auto"/>
        </w:rPr>
        <w:t>SUBSEQUENT EVENT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On July 5, 2018, the Company acquired 100% of the membership interests in two Marshall Islands limited liability companies in exchange for assumed debt of $11.0 million. Each Marshall Islands company owns one 2013-built AHTS vessel which was previously managed by the Company. The vessels are currently operating under contract in the Middle East and West Africa regions.</w:t>
      </w:r>
    </w:p>
    <w:p>
      <w:pPr>
        <w:sectPr>
          <w:pgSz w:w="11900" w:h="16838" w:orient="portrait"/>
          <w:cols w:equalWidth="0" w:num="1">
            <w:col w:w="11420"/>
          </w:cols>
          <w:pgMar w:left="240" w:top="118" w:right="239" w:bottom="1136"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136" w:gutter="0" w:footer="0" w:header="0"/>
          <w:type w:val="continuous"/>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ind w:left="880" w:right="840" w:hanging="877"/>
        <w:spacing w:after="0" w:line="256"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i w:val="1"/>
          <w:iCs w:val="1"/>
          <w:color w:val="auto"/>
        </w:rPr>
        <w:t>This Form 10-Q includes “forward-looking statements” within the meaning of the Private Securities Litigation Reform Act of 1995. Certain statements discussed in this Form 10-Q as well as in other reports, materials and oral statements that the Company releases from time to time to the public constitute “forward-looking statements” within the meaning of the Private Securities Litigation Reform Act of 1995. Generally, words such as “anticipate,” “estimate,” “expect,” “project,” “intend,” “believe,” “plan,” “target,” “forecast” and similar expressions are intended to identify forward-looking statements. Such forward-looking statements concern management’s expectations, strategic objectives, business prospects, anticipated economic performance and financial condition and other similar matters. These statements are not guarantees of future performance and actual events or results may differ significantly from these statements. Actual events or results are subject to significant known and unknown risks, uncertainties and other important factors, including decreased demand and loss of revenues as a result of a decline in the price of oil and resulting decrease in capital spending by oil and gas companies, an oversupply of newly built offshore support vessels, additional safety and certification requirements for drilling activities in the U.S. Gulf of Mexico and delayed approval of applications for such activities, the possibility of U.S. government implemented moratoriums directing operators to cease certain drilling activities in the U.S. Gulf of Mexico and any extension of such moratoriums, weakening demand for the Company’s services as a result of unplanned customer suspensions, cancellations, rate reductions or non-renewals of vessel charters or failures to finalize commitments to charter vessels in response to a decline in the price of oil, increased government legislation and regulation of the Company’s businesses could increase cost of operations, increased competition if the Jones Act and related regulations are repealed, liability, legal fees and costs in connection with the provision of emergency response services, such as the response to the oil spill as a result of the sinking of the Deepwater Horizon in April 2010, decreased demand for the Company’s services as a result of declines in the global economy, declines in valuations in the global financial markets and a lack of liquidity in the credit sectors, including, interest rate fluctuations, availability of credit, inflation rates, change in laws, trade barriers, commodity prices and currency exchange fluctuations, the cyclical nature of the oil and gas industry, activity in foreign countries and changes in foreign political, military and economic conditions, changes to the status of applicable trade treaties including as a result of the U.K.'s impending exit from the European Union, changes in foreign and domestic oil and gas exploration and production activity, safety record requirements, compliance with U.S. and foreign government laws and regulations, including environmental laws and regulations and economic sanctions, the dependence on several key customers, consolidation of the Company’s customer base, the ongoing need to replace aging vessels, industry fleet capacity, restrictions imposed by the Jones Act and related regulations on the amount of foreign ownership of the Company’s Common Stock, operational risks, effects of adverse weather conditions and seasonality, adequacy of insurance coverage, the ability of the Company to maintain effective internal controls over financial reporting, in accordance with Section 404 of the Sarbanes-Oxley Act, the attraction and retention of qualified personnel by the Company, and various other matters and factors, many of which are beyond the Company’s control as well as those discussed in Item 1A (Risk Factors) of the Company's Annual Report on Form 10-K and other reports filed by the Company with the Securities and Exchange Commission (“SEC”). It should be understood that it is not possible to predict or identify all such factors. Consequently, the preceding should not be considered to be a complete discussion of all potential risks or uncertainties and investors and analysts should not place undue reliance on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except as required by law. It is advisable, however, to consult any further disclosures the Company makes on related subjects in its filings with the SEC, including Annual Reports on Form 10-K, Quarterly Reports on Form 10-Q and Current Reports on Form 8-K (if any). These statements constitute the Company’s cautionary statements under the Private Securities Litigation Reform Act of 1995.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Company provides global marine and support transportation services to offshore oil and gas exploration, development and production facilities worldwide. The Company currently operates a diverse fleet of 179 support and specialty vessels, of which 139 are owned or leased-in, 31 are joint ventured, and nine are managed on behalf of unaffiliated third parties. The primary users of the Company’s services are major integrated oil companies, large independent oil and gas exploration and production companies and emerging independent companies.</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Company operates its fleet in five principal geographic regions: the United States, primarily in the Gulf of Mexico; Africa, primarily in West Africa; the Middle East and Asia; Brazil, Mexico, Central and South America; and Europe, primarily in the North Sea. The Company’s vessels are highly mobile and regularly and routinely move between countries within a geographic region. In addition, the Company’s vessels are redeployed among its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and, consequently, operating margins are most sensitive to changes in rates per day worked and utilization. The Company manages its fleet utilizing a global network of shore side support, administrative and finance personnel.</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Offshore oil and gas market conditions deteriorated beginning in 2014 and continued to deteriorate when oil prices hit a thirteen-year low of less than $27 per barrel (on the New York Mercantile Exchange) in February 2016. As of June 30, 2018, oil prices had increased from the February 2016 lows to a price of approximately $74 per barrel. While the Company has experienced</w:t>
      </w:r>
    </w:p>
    <w:p>
      <w:pPr>
        <w:sectPr>
          <w:pgSz w:w="11900" w:h="16838" w:orient="portrait"/>
          <w:cols w:equalWidth="0" w:num="1">
            <w:col w:w="11420"/>
          </w:cols>
          <w:pgMar w:left="240" w:top="118" w:right="239" w:bottom="0" w:gutter="0" w:footer="0" w:header="0"/>
        </w:sectPr>
      </w:pPr>
    </w:p>
    <w:bookmarkStart w:id="26" w:name="page27"/>
    <w:bookmarkEnd w:id="26"/>
    <w:p>
      <w:pPr>
        <w:spacing w:after="0" w:line="251" w:lineRule="auto"/>
        <w:rPr>
          <w:sz w:val="20"/>
          <w:szCs w:val="20"/>
          <w:color w:val="auto"/>
        </w:rPr>
      </w:pPr>
      <w:r>
        <w:rPr>
          <w:rFonts w:ascii="Arial" w:cs="Arial" w:eastAsia="Arial" w:hAnsi="Arial"/>
          <w:sz w:val="22"/>
          <w:szCs w:val="22"/>
          <w:color w:val="auto"/>
        </w:rPr>
        <w:t>what it believes is a beginning of a recovery, it continued to experience difficult market conditions through the second quarter of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Low oil prices and the subsequent decline in offshore exploration have forced many operators in the industry to restructure or liquidate assets. The Company continues to closely monitor the reactivation of existing offshore support vessels as well as the delivery of newly built offshore support vessels to the industry-wide fleet, which is creating situations of oversupply, further lowering the demand for the Company’s existing offshore support vessel fleet. A continuation of (i) low customer exploration and drilling activity levels, and (ii) the increasing size of the global offshore support vessel fleet as vessels are reactivated and newly built vessels are placed into service could, in isolation or together, have a material adverse effect on the Company’s results of operations, financial position and cash flows.</w:t>
      </w:r>
    </w:p>
    <w:p>
      <w:pPr>
        <w:spacing w:after="0" w:line="20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As shipyards, finance parties and industry operators have been forced to restructure or liquidate assets, the Company has reviewed discreet opportunities to acquire or takeover the management of certain assets. In this industry context, the Company may from time to time deploy capital in connection with transactions that it determines enhance market coverage and/or represent a substantial discount to replacement value.</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b w:val="1"/>
          <w:bCs w:val="1"/>
          <w:i w:val="1"/>
          <w:iCs w:val="1"/>
          <w:color w:val="auto"/>
        </w:rPr>
        <w:t xml:space="preserve">Recent Events. </w:t>
      </w:r>
      <w:r>
        <w:rPr>
          <w:rFonts w:ascii="Arial" w:cs="Arial" w:eastAsia="Arial" w:hAnsi="Arial"/>
          <w:sz w:val="22"/>
          <w:szCs w:val="22"/>
          <w:color w:val="auto"/>
        </w:rPr>
        <w:t>On July 5, 2018, the Company acquired 100% of the membership interests in two Marshall Islands limited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liability companies in exchange for assumed debt of $11.0 million. Each Marshall Islands company owns one 2013-built AHTS vessel which was previously managed by the Company. The vessels are currently operating under contract in the Middle East and West Africa regions.</w:t>
      </w:r>
    </w:p>
    <w:p>
      <w:pPr>
        <w:spacing w:after="0" w:line="2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i w:val="1"/>
          <w:iCs w:val="1"/>
          <w:color w:val="auto"/>
        </w:rPr>
        <w:t xml:space="preserve">The Spin-off. </w:t>
      </w:r>
      <w:r>
        <w:rPr>
          <w:rFonts w:ascii="Arial" w:cs="Arial" w:eastAsia="Arial" w:hAnsi="Arial"/>
          <w:sz w:val="22"/>
          <w:szCs w:val="22"/>
          <w:color w:val="auto"/>
        </w:rPr>
        <w:t>SEACOR Marine was previously a subsidiary of SEACOR Holdings. On June 1, 2017, SEACOR Holdings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completed a spin-off of SEACOR Marine by way of a pro rata dividend of SEACOR Marine’s Common Stock, all of which was then held by SEACOR Holdings, to SEACOR Holdings shareholders of record as of May 22, 2017. SEACOR Marine entered into certain agreements with SEACOR Holdings to govern SEACOR Marine’s relationship with SEACOR Holdings following the Spin-off, including a Distribution Agreement, two Transition Services Agreements, an Employee Matters Agreement and a Tax Matters Agreement. Immediately following the Spin-off, SEACOR Marine began to operate as an independent, publicly traded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 of Operations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sections below provide an analysis of the Company's results of operations for the three months (“Current Year Quarter”) and six months (“Current Six Months”) ended June 30, 2018 compared with the three months (“Prior Year Quarter”) and six months (“Prior Six Months”) ended June 30, 2017. For the periods indicated, the Company’s consolidated results of operations were as follows (in thousands, except statistics):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8"/>
                <w:szCs w:val="18"/>
                <w:b w:val="1"/>
                <w:bCs w:val="1"/>
                <w:color w:val="auto"/>
              </w:rPr>
              <w:t>Six Months Ended June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CFF"/>
          </w:tcPr>
          <w:p>
            <w:pPr>
              <w:spacing w:after="0"/>
              <w:rPr>
                <w:sz w:val="20"/>
                <w:szCs w:val="20"/>
                <w:color w:val="auto"/>
              </w:rPr>
            </w:pPr>
            <w:r>
              <w:rPr>
                <w:rFonts w:ascii="Arial" w:cs="Arial" w:eastAsia="Arial" w:hAnsi="Arial"/>
                <w:sz w:val="18"/>
                <w:szCs w:val="18"/>
                <w:color w:val="auto"/>
              </w:rPr>
              <w:t>Time Charter Statistics:</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280" w:type="dxa"/>
            <w:vAlign w:val="bottom"/>
            <w:tcBorders>
              <w:left w:val="single" w:sz="8" w:color="CCECFF"/>
            </w:tcBorders>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32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32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Average Rates Per Day Worked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(excluding wind farm)</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9,742</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8,431</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9,425</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8,359</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CFF"/>
          </w:tcPr>
          <w:p>
            <w:pPr>
              <w:ind w:left="320"/>
              <w:spacing w:after="0"/>
              <w:rPr>
                <w:sz w:val="20"/>
                <w:szCs w:val="20"/>
                <w:color w:val="auto"/>
              </w:rPr>
            </w:pPr>
            <w:r>
              <w:rPr>
                <w:rFonts w:ascii="Arial" w:cs="Arial" w:eastAsia="Arial" w:hAnsi="Arial"/>
                <w:sz w:val="18"/>
                <w:szCs w:val="18"/>
                <w:color w:val="auto"/>
              </w:rPr>
              <w:t>Average Rates Per Day</w:t>
            </w:r>
          </w:p>
        </w:tc>
        <w:tc>
          <w:tcPr>
            <w:tcW w:w="3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7,324</w:t>
            </w:r>
          </w:p>
        </w:tc>
        <w:tc>
          <w:tcPr>
            <w:tcW w:w="280" w:type="dxa"/>
            <w:vAlign w:val="bottom"/>
            <w:tcBorders>
              <w:left w:val="single" w:sz="8" w:color="CCECFF"/>
            </w:tcBorders>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5,649</w:t>
            </w:r>
          </w:p>
        </w:tc>
        <w:tc>
          <w:tcPr>
            <w:tcW w:w="460" w:type="dxa"/>
            <w:vAlign w:val="bottom"/>
            <w:shd w:val="clear" w:color="auto" w:fill="CCECFF"/>
          </w:tcPr>
          <w:p>
            <w:pPr>
              <w:spacing w:after="0"/>
              <w:rPr>
                <w:sz w:val="18"/>
                <w:szCs w:val="18"/>
                <w:color w:val="auto"/>
              </w:rPr>
            </w:pPr>
          </w:p>
        </w:tc>
        <w:tc>
          <w:tcPr>
            <w:tcW w:w="32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7,174</w:t>
            </w:r>
          </w:p>
        </w:tc>
        <w:tc>
          <w:tcPr>
            <w:tcW w:w="440" w:type="dxa"/>
            <w:vAlign w:val="bottom"/>
            <w:shd w:val="clear" w:color="auto" w:fill="CCECFF"/>
          </w:tcPr>
          <w:p>
            <w:pPr>
              <w:spacing w:after="0"/>
              <w:rPr>
                <w:sz w:val="18"/>
                <w:szCs w:val="18"/>
                <w:color w:val="auto"/>
              </w:rPr>
            </w:pPr>
          </w:p>
        </w:tc>
        <w:tc>
          <w:tcPr>
            <w:tcW w:w="32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5,683</w:t>
            </w:r>
          </w:p>
        </w:tc>
        <w:tc>
          <w:tcPr>
            <w:tcW w:w="4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w w:val="99"/>
              </w:rPr>
              <w:t>Fleet Utilization (excluding wind farm)</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CFF"/>
          </w:tcPr>
          <w:p>
            <w:pPr>
              <w:ind w:left="320"/>
              <w:spacing w:after="0"/>
              <w:rPr>
                <w:sz w:val="20"/>
                <w:szCs w:val="20"/>
                <w:color w:val="auto"/>
              </w:rPr>
            </w:pPr>
            <w:r>
              <w:rPr>
                <w:rFonts w:ascii="Arial" w:cs="Arial" w:eastAsia="Arial" w:hAnsi="Arial"/>
                <w:sz w:val="18"/>
                <w:szCs w:val="18"/>
                <w:color w:val="auto"/>
              </w:rPr>
              <w:t>Fleet Utilization</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56%</w:t>
            </w:r>
          </w:p>
        </w:tc>
        <w:tc>
          <w:tcPr>
            <w:tcW w:w="460" w:type="dxa"/>
            <w:vAlign w:val="bottom"/>
            <w:shd w:val="clear" w:color="auto" w:fill="CCECFF"/>
          </w:tcPr>
          <w:p>
            <w:pPr>
              <w:spacing w:after="0"/>
              <w:rPr>
                <w:sz w:val="18"/>
                <w:szCs w:val="18"/>
                <w:color w:val="auto"/>
              </w:rPr>
            </w:pPr>
          </w:p>
        </w:tc>
        <w:tc>
          <w:tcPr>
            <w:tcW w:w="32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58%</w:t>
            </w:r>
          </w:p>
        </w:tc>
        <w:tc>
          <w:tcPr>
            <w:tcW w:w="440" w:type="dxa"/>
            <w:vAlign w:val="bottom"/>
            <w:shd w:val="clear" w:color="auto" w:fill="CCECFF"/>
          </w:tcPr>
          <w:p>
            <w:pPr>
              <w:spacing w:after="0"/>
              <w:rPr>
                <w:sz w:val="18"/>
                <w:szCs w:val="18"/>
                <w:color w:val="auto"/>
              </w:rPr>
            </w:pPr>
          </w:p>
        </w:tc>
        <w:tc>
          <w:tcPr>
            <w:tcW w:w="32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Fleet Available Days (excluding wind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farm)</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9,071</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8,996</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18,342</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17,433</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CFF"/>
          </w:tcPr>
          <w:p>
            <w:pPr>
              <w:ind w:left="320"/>
              <w:spacing w:after="0"/>
              <w:rPr>
                <w:sz w:val="20"/>
                <w:szCs w:val="20"/>
                <w:color w:val="auto"/>
              </w:rPr>
            </w:pPr>
            <w:r>
              <w:rPr>
                <w:rFonts w:ascii="Arial" w:cs="Arial" w:eastAsia="Arial" w:hAnsi="Arial"/>
                <w:sz w:val="18"/>
                <w:szCs w:val="18"/>
                <w:color w:val="auto"/>
              </w:rPr>
              <w:t>Fleet Available Days</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12,528</w:t>
            </w:r>
          </w:p>
        </w:tc>
        <w:tc>
          <w:tcPr>
            <w:tcW w:w="280" w:type="dxa"/>
            <w:vAlign w:val="bottom"/>
            <w:tcBorders>
              <w:left w:val="single" w:sz="8" w:color="CCECFF"/>
            </w:tcBorders>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12,363</w:t>
            </w:r>
          </w:p>
        </w:tc>
        <w:tc>
          <w:tcPr>
            <w:tcW w:w="460" w:type="dxa"/>
            <w:vAlign w:val="bottom"/>
            <w:shd w:val="clear" w:color="auto" w:fill="CCECFF"/>
          </w:tcPr>
          <w:p>
            <w:pPr>
              <w:spacing w:after="0"/>
              <w:rPr>
                <w:sz w:val="18"/>
                <w:szCs w:val="18"/>
                <w:color w:val="auto"/>
              </w:rPr>
            </w:pPr>
          </w:p>
        </w:tc>
        <w:tc>
          <w:tcPr>
            <w:tcW w:w="32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25,129</w:t>
            </w:r>
          </w:p>
        </w:tc>
        <w:tc>
          <w:tcPr>
            <w:tcW w:w="440" w:type="dxa"/>
            <w:vAlign w:val="bottom"/>
            <w:shd w:val="clear" w:color="auto" w:fill="CCECFF"/>
          </w:tcPr>
          <w:p>
            <w:pPr>
              <w:spacing w:after="0"/>
              <w:rPr>
                <w:sz w:val="18"/>
                <w:szCs w:val="18"/>
                <w:color w:val="auto"/>
              </w:rPr>
            </w:pPr>
          </w:p>
        </w:tc>
        <w:tc>
          <w:tcPr>
            <w:tcW w:w="32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24,130</w:t>
            </w:r>
          </w:p>
        </w:tc>
        <w:tc>
          <w:tcPr>
            <w:tcW w:w="4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CFF"/>
          </w:tcPr>
          <w:p>
            <w:pPr>
              <w:ind w:left="320"/>
              <w:spacing w:after="0"/>
              <w:rPr>
                <w:sz w:val="20"/>
                <w:szCs w:val="20"/>
                <w:color w:val="auto"/>
              </w:rPr>
            </w:pPr>
            <w:r>
              <w:rPr>
                <w:rFonts w:ascii="Arial" w:cs="Arial" w:eastAsia="Arial" w:hAnsi="Arial"/>
                <w:sz w:val="18"/>
                <w:szCs w:val="18"/>
                <w:color w:val="auto"/>
              </w:rPr>
              <w:t>Time charter</w:t>
            </w:r>
          </w:p>
        </w:tc>
        <w:tc>
          <w:tcPr>
            <w:tcW w:w="3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56,826</w:t>
            </w:r>
          </w:p>
        </w:tc>
        <w:tc>
          <w:tcPr>
            <w:tcW w:w="280" w:type="dxa"/>
            <w:vAlign w:val="bottom"/>
            <w:tcBorders>
              <w:left w:val="single" w:sz="8" w:color="CCECFF"/>
            </w:tcBorders>
            <w:shd w:val="clear" w:color="auto" w:fill="CCECFF"/>
          </w:tcPr>
          <w:p>
            <w:pPr>
              <w:spacing w:after="0"/>
              <w:rPr>
                <w:sz w:val="18"/>
                <w:szCs w:val="18"/>
                <w:color w:val="auto"/>
              </w:rPr>
            </w:pPr>
          </w:p>
        </w:tc>
        <w:tc>
          <w:tcPr>
            <w:tcW w:w="7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38,803</w:t>
            </w:r>
          </w:p>
        </w:tc>
        <w:tc>
          <w:tcPr>
            <w:tcW w:w="780" w:type="dxa"/>
            <w:vAlign w:val="bottom"/>
            <w:tcBorders>
              <w:right w:val="single" w:sz="8" w:color="CCECFF"/>
            </w:tcBorders>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103,968</w:t>
            </w:r>
          </w:p>
        </w:tc>
        <w:tc>
          <w:tcPr>
            <w:tcW w:w="760" w:type="dxa"/>
            <w:vAlign w:val="bottom"/>
            <w:tcBorders>
              <w:right w:val="single" w:sz="8" w:color="CCECFF"/>
            </w:tcBorders>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69,533</w:t>
            </w: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Bareboat charter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1,156</w:t>
            </w:r>
          </w:p>
        </w:tc>
        <w:tc>
          <w:tcPr>
            <w:tcW w:w="28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1,156</w:t>
            </w: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2,299</w:t>
            </w: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2,299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CFF"/>
          </w:tcPr>
          <w:p>
            <w:pPr>
              <w:ind w:left="320"/>
              <w:spacing w:after="0"/>
              <w:rPr>
                <w:sz w:val="20"/>
                <w:szCs w:val="20"/>
                <w:color w:val="auto"/>
              </w:rPr>
            </w:pPr>
            <w:r>
              <w:rPr>
                <w:rFonts w:ascii="Arial" w:cs="Arial" w:eastAsia="Arial" w:hAnsi="Arial"/>
                <w:sz w:val="18"/>
                <w:szCs w:val="18"/>
                <w:color w:val="auto"/>
              </w:rPr>
              <w:t>Other marine services</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2,719</w:t>
            </w:r>
          </w:p>
        </w:tc>
        <w:tc>
          <w:tcPr>
            <w:tcW w:w="280" w:type="dxa"/>
            <w:vAlign w:val="bottom"/>
            <w:tcBorders>
              <w:left w:val="single" w:sz="8" w:color="CCECFF"/>
            </w:tcBorders>
            <w:shd w:val="clear" w:color="auto" w:fill="CCECFF"/>
          </w:tcPr>
          <w:p>
            <w:pPr>
              <w:spacing w:after="0"/>
              <w:rPr>
                <w:sz w:val="18"/>
                <w:szCs w:val="18"/>
                <w:color w:val="auto"/>
              </w:rPr>
            </w:pPr>
          </w:p>
        </w:tc>
        <w:tc>
          <w:tcPr>
            <w:tcW w:w="7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2,364</w:t>
            </w:r>
          </w:p>
        </w:tc>
        <w:tc>
          <w:tcPr>
            <w:tcW w:w="780" w:type="dxa"/>
            <w:vAlign w:val="bottom"/>
            <w:tcBorders>
              <w:right w:val="single" w:sz="8" w:color="CCECFF"/>
            </w:tcBorders>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6,155</w:t>
            </w:r>
          </w:p>
        </w:tc>
        <w:tc>
          <w:tcPr>
            <w:tcW w:w="760" w:type="dxa"/>
            <w:vAlign w:val="bottom"/>
            <w:tcBorders>
              <w:right w:val="single" w:sz="8" w:color="CCECFF"/>
            </w:tcBorders>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4,795</w:t>
            </w: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left w:val="single" w:sz="8" w:color="CCECFF"/>
            </w:tcBorders>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Borders>
              <w:right w:val="single" w:sz="8" w:color="CCECFF"/>
            </w:tcBorders>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CFF"/>
            </w:tcBorders>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60,701</w:t>
            </w:r>
          </w:p>
        </w:tc>
        <w:tc>
          <w:tcPr>
            <w:tcW w:w="28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42,323</w:t>
            </w: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112,422</w:t>
            </w: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76,627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CFF"/>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720" w:type="dxa"/>
            <w:vAlign w:val="bottom"/>
            <w:tcBorders>
              <w:top w:val="single" w:sz="8" w:color="auto"/>
            </w:tcBorders>
            <w:shd w:val="clear" w:color="auto" w:fill="CCECFF"/>
          </w:tcPr>
          <w:p>
            <w:pPr>
              <w:spacing w:after="0"/>
              <w:rPr>
                <w:sz w:val="18"/>
                <w:szCs w:val="18"/>
                <w:color w:val="auto"/>
              </w:rPr>
            </w:pPr>
          </w:p>
        </w:tc>
        <w:tc>
          <w:tcPr>
            <w:tcW w:w="280" w:type="dxa"/>
            <w:vAlign w:val="bottom"/>
            <w:tcBorders>
              <w:left w:val="single" w:sz="8" w:color="CCECFF"/>
            </w:tcBorders>
            <w:shd w:val="clear" w:color="auto" w:fill="CCECFF"/>
          </w:tcPr>
          <w:p>
            <w:pPr>
              <w:spacing w:after="0"/>
              <w:rPr>
                <w:sz w:val="18"/>
                <w:szCs w:val="18"/>
                <w:color w:val="auto"/>
              </w:rPr>
            </w:pPr>
          </w:p>
        </w:tc>
        <w:tc>
          <w:tcPr>
            <w:tcW w:w="440" w:type="dxa"/>
            <w:vAlign w:val="bottom"/>
            <w:tcBorders>
              <w:top w:val="single" w:sz="8" w:color="auto"/>
            </w:tcBorders>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260" w:type="dxa"/>
            <w:vAlign w:val="bottom"/>
            <w:tcBorders>
              <w:top w:val="single" w:sz="8" w:color="auto"/>
            </w:tcBorders>
            <w:shd w:val="clear" w:color="auto" w:fill="CCECFF"/>
          </w:tcPr>
          <w:p>
            <w:pPr>
              <w:spacing w:after="0"/>
              <w:rPr>
                <w:sz w:val="18"/>
                <w:szCs w:val="18"/>
                <w:color w:val="auto"/>
              </w:rPr>
            </w:pPr>
          </w:p>
        </w:tc>
        <w:tc>
          <w:tcPr>
            <w:tcW w:w="720" w:type="dxa"/>
            <w:vAlign w:val="bottom"/>
            <w:tcBorders>
              <w:top w:val="single" w:sz="8" w:color="auto"/>
            </w:tcBorders>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460" w:type="dxa"/>
            <w:vAlign w:val="bottom"/>
            <w:tcBorders>
              <w:top w:val="single" w:sz="8" w:color="auto"/>
            </w:tcBorders>
            <w:shd w:val="clear" w:color="auto" w:fill="CCECFF"/>
          </w:tcPr>
          <w:p>
            <w:pPr>
              <w:spacing w:after="0"/>
              <w:rPr>
                <w:sz w:val="18"/>
                <w:szCs w:val="18"/>
                <w:color w:val="auto"/>
              </w:rPr>
            </w:pPr>
          </w:p>
        </w:tc>
        <w:tc>
          <w:tcPr>
            <w:tcW w:w="320" w:type="dxa"/>
            <w:vAlign w:val="bottom"/>
            <w:tcBorders>
              <w:right w:val="single" w:sz="8" w:color="CCECFF"/>
            </w:tcBorders>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740" w:type="dxa"/>
            <w:vAlign w:val="bottom"/>
            <w:tcBorders>
              <w:top w:val="single" w:sz="8" w:color="auto"/>
            </w:tcBorders>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440" w:type="dxa"/>
            <w:vAlign w:val="bottom"/>
            <w:tcBorders>
              <w:top w:val="single" w:sz="8" w:color="auto"/>
            </w:tcBorders>
            <w:shd w:val="clear" w:color="auto" w:fill="CCECFF"/>
          </w:tcPr>
          <w:p>
            <w:pPr>
              <w:spacing w:after="0"/>
              <w:rPr>
                <w:sz w:val="18"/>
                <w:szCs w:val="18"/>
                <w:color w:val="auto"/>
              </w:rPr>
            </w:pPr>
          </w:p>
        </w:tc>
        <w:tc>
          <w:tcPr>
            <w:tcW w:w="320" w:type="dxa"/>
            <w:vAlign w:val="bottom"/>
            <w:tcBorders>
              <w:right w:val="single" w:sz="8" w:color="CCECFF"/>
            </w:tcBorders>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740" w:type="dxa"/>
            <w:vAlign w:val="bottom"/>
            <w:tcBorders>
              <w:top w:val="single" w:sz="8" w:color="auto"/>
            </w:tcBorders>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440" w:type="dxa"/>
            <w:vAlign w:val="bottom"/>
            <w:tcBorders>
              <w:top w:val="single" w:sz="8" w:color="auto"/>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CFF"/>
          </w:tcPr>
          <w:p>
            <w:pPr>
              <w:ind w:left="640"/>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24,733</w:t>
            </w:r>
          </w:p>
        </w:tc>
        <w:tc>
          <w:tcPr>
            <w:tcW w:w="280" w:type="dxa"/>
            <w:vAlign w:val="bottom"/>
            <w:tcBorders>
              <w:left w:val="single" w:sz="8" w:color="CCECFF"/>
            </w:tcBorders>
            <w:shd w:val="clear" w:color="auto" w:fill="CCECFF"/>
          </w:tcPr>
          <w:p>
            <w:pPr>
              <w:spacing w:after="0"/>
              <w:rPr>
                <w:sz w:val="18"/>
                <w:szCs w:val="18"/>
                <w:color w:val="auto"/>
              </w:rPr>
            </w:pPr>
          </w:p>
        </w:tc>
        <w:tc>
          <w:tcPr>
            <w:tcW w:w="7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20,577</w:t>
            </w:r>
          </w:p>
        </w:tc>
        <w:tc>
          <w:tcPr>
            <w:tcW w:w="780" w:type="dxa"/>
            <w:vAlign w:val="bottom"/>
            <w:tcBorders>
              <w:right w:val="single" w:sz="8" w:color="CCECFF"/>
            </w:tcBorders>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46,409</w:t>
            </w:r>
          </w:p>
        </w:tc>
        <w:tc>
          <w:tcPr>
            <w:tcW w:w="760" w:type="dxa"/>
            <w:vAlign w:val="bottom"/>
            <w:tcBorders>
              <w:right w:val="single" w:sz="8" w:color="CCECFF"/>
            </w:tcBorders>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37,368</w:t>
            </w: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640"/>
              <w:spacing w:after="0"/>
              <w:rPr>
                <w:sz w:val="20"/>
                <w:szCs w:val="20"/>
                <w:color w:val="auto"/>
              </w:rPr>
            </w:pPr>
            <w:r>
              <w:rPr>
                <w:rFonts w:ascii="Arial" w:cs="Arial" w:eastAsia="Arial" w:hAnsi="Arial"/>
                <w:sz w:val="18"/>
                <w:szCs w:val="18"/>
                <w:color w:val="auto"/>
              </w:rPr>
              <w:t>Repairs and maintenance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9,070</w:t>
            </w:r>
          </w:p>
        </w:tc>
        <w:tc>
          <w:tcPr>
            <w:tcW w:w="28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10,425</w:t>
            </w: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16,143</w:t>
            </w: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14,020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CFF"/>
          </w:tcPr>
          <w:p>
            <w:pPr>
              <w:ind w:left="640"/>
              <w:spacing w:after="0"/>
              <w:rPr>
                <w:sz w:val="20"/>
                <w:szCs w:val="20"/>
                <w:color w:val="auto"/>
              </w:rPr>
            </w:pPr>
            <w:r>
              <w:rPr>
                <w:rFonts w:ascii="Arial" w:cs="Arial" w:eastAsia="Arial" w:hAnsi="Arial"/>
                <w:sz w:val="18"/>
                <w:szCs w:val="18"/>
                <w:color w:val="auto"/>
              </w:rPr>
              <w:t>Drydocking</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3,112</w:t>
            </w:r>
          </w:p>
        </w:tc>
        <w:tc>
          <w:tcPr>
            <w:tcW w:w="280" w:type="dxa"/>
            <w:vAlign w:val="bottom"/>
            <w:tcBorders>
              <w:left w:val="single" w:sz="8" w:color="CCECFF"/>
            </w:tcBorders>
            <w:shd w:val="clear" w:color="auto" w:fill="CCECFF"/>
          </w:tcPr>
          <w:p>
            <w:pPr>
              <w:spacing w:after="0"/>
              <w:rPr>
                <w:sz w:val="18"/>
                <w:szCs w:val="18"/>
                <w:color w:val="auto"/>
              </w:rPr>
            </w:pPr>
          </w:p>
        </w:tc>
        <w:tc>
          <w:tcPr>
            <w:tcW w:w="7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2,251</w:t>
            </w:r>
          </w:p>
        </w:tc>
        <w:tc>
          <w:tcPr>
            <w:tcW w:w="780" w:type="dxa"/>
            <w:vAlign w:val="bottom"/>
            <w:tcBorders>
              <w:right w:val="single" w:sz="8" w:color="CCECFF"/>
            </w:tcBorders>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5,369</w:t>
            </w:r>
          </w:p>
        </w:tc>
        <w:tc>
          <w:tcPr>
            <w:tcW w:w="760" w:type="dxa"/>
            <w:vAlign w:val="bottom"/>
            <w:tcBorders>
              <w:right w:val="single" w:sz="8" w:color="CCECFF"/>
            </w:tcBorders>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5,318</w:t>
            </w: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640"/>
              <w:spacing w:after="0"/>
              <w:rPr>
                <w:sz w:val="20"/>
                <w:szCs w:val="20"/>
                <w:color w:val="auto"/>
              </w:rPr>
            </w:pPr>
            <w:r>
              <w:rPr>
                <w:rFonts w:ascii="Arial" w:cs="Arial" w:eastAsia="Arial" w:hAnsi="Arial"/>
                <w:sz w:val="18"/>
                <w:szCs w:val="18"/>
                <w:color w:val="auto"/>
              </w:rPr>
              <w:t>Insurance and loss reserves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1,934</w:t>
            </w:r>
          </w:p>
        </w:tc>
        <w:tc>
          <w:tcPr>
            <w:tcW w:w="28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2,126</w:t>
            </w: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3,124</w:t>
            </w: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3,685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CFF"/>
          </w:tcPr>
          <w:p>
            <w:pPr>
              <w:ind w:left="640"/>
              <w:spacing w:after="0"/>
              <w:rPr>
                <w:sz w:val="20"/>
                <w:szCs w:val="20"/>
                <w:color w:val="auto"/>
              </w:rPr>
            </w:pPr>
            <w:r>
              <w:rPr>
                <w:rFonts w:ascii="Arial" w:cs="Arial" w:eastAsia="Arial" w:hAnsi="Arial"/>
                <w:sz w:val="18"/>
                <w:szCs w:val="18"/>
                <w:color w:val="auto"/>
              </w:rPr>
              <w:t>Fuel, lubes and supplies</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4,122</w:t>
            </w:r>
          </w:p>
        </w:tc>
        <w:tc>
          <w:tcPr>
            <w:tcW w:w="280" w:type="dxa"/>
            <w:vAlign w:val="bottom"/>
            <w:tcBorders>
              <w:left w:val="single" w:sz="8" w:color="CCECFF"/>
            </w:tcBorders>
            <w:shd w:val="clear" w:color="auto" w:fill="CCECFF"/>
          </w:tcPr>
          <w:p>
            <w:pPr>
              <w:spacing w:after="0"/>
              <w:rPr>
                <w:sz w:val="18"/>
                <w:szCs w:val="18"/>
                <w:color w:val="auto"/>
              </w:rPr>
            </w:pPr>
          </w:p>
        </w:tc>
        <w:tc>
          <w:tcPr>
            <w:tcW w:w="7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3,190</w:t>
            </w:r>
          </w:p>
        </w:tc>
        <w:tc>
          <w:tcPr>
            <w:tcW w:w="780" w:type="dxa"/>
            <w:vAlign w:val="bottom"/>
            <w:tcBorders>
              <w:right w:val="single" w:sz="8" w:color="CCECFF"/>
            </w:tcBorders>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7,667</w:t>
            </w:r>
          </w:p>
        </w:tc>
        <w:tc>
          <w:tcPr>
            <w:tcW w:w="760" w:type="dxa"/>
            <w:vAlign w:val="bottom"/>
            <w:tcBorders>
              <w:right w:val="single" w:sz="8" w:color="CCECFF"/>
            </w:tcBorders>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5,532</w:t>
            </w: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6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3,009</w:t>
            </w:r>
          </w:p>
        </w:tc>
        <w:tc>
          <w:tcPr>
            <w:tcW w:w="28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2,223</w:t>
            </w: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5,616</w:t>
            </w: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4,657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CFF"/>
          </w:tcPr>
          <w:p>
            <w:pPr>
              <w:ind w:left="640"/>
              <w:spacing w:after="0"/>
              <w:rPr>
                <w:sz w:val="20"/>
                <w:szCs w:val="20"/>
                <w:color w:val="auto"/>
              </w:rPr>
            </w:pPr>
            <w:r>
              <w:rPr>
                <w:rFonts w:ascii="Arial" w:cs="Arial" w:eastAsia="Arial" w:hAnsi="Arial"/>
                <w:sz w:val="18"/>
                <w:szCs w:val="18"/>
                <w:color w:val="auto"/>
              </w:rPr>
              <w:t>Leased-in equipment</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2,840</w:t>
            </w:r>
          </w:p>
        </w:tc>
        <w:tc>
          <w:tcPr>
            <w:tcW w:w="280" w:type="dxa"/>
            <w:vAlign w:val="bottom"/>
            <w:tcBorders>
              <w:left w:val="single" w:sz="8" w:color="CCECFF"/>
            </w:tcBorders>
            <w:shd w:val="clear" w:color="auto" w:fill="CCECFF"/>
          </w:tcPr>
          <w:p>
            <w:pPr>
              <w:spacing w:after="0"/>
              <w:rPr>
                <w:sz w:val="18"/>
                <w:szCs w:val="18"/>
                <w:color w:val="auto"/>
              </w:rPr>
            </w:pPr>
          </w:p>
        </w:tc>
        <w:tc>
          <w:tcPr>
            <w:tcW w:w="7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3,690</w:t>
            </w:r>
          </w:p>
        </w:tc>
        <w:tc>
          <w:tcPr>
            <w:tcW w:w="780" w:type="dxa"/>
            <w:vAlign w:val="bottom"/>
            <w:tcBorders>
              <w:right w:val="single" w:sz="8" w:color="CCECFF"/>
            </w:tcBorders>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5,665</w:t>
            </w:r>
          </w:p>
        </w:tc>
        <w:tc>
          <w:tcPr>
            <w:tcW w:w="760" w:type="dxa"/>
            <w:vAlign w:val="bottom"/>
            <w:tcBorders>
              <w:right w:val="single" w:sz="8" w:color="CCECFF"/>
            </w:tcBorders>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7,281</w:t>
            </w: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left w:val="single" w:sz="8" w:color="CCECFF"/>
            </w:tcBorders>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Borders>
              <w:right w:val="single" w:sz="8" w:color="CCECFF"/>
            </w:tcBorders>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CFF"/>
            </w:tcBorders>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48,820</w:t>
            </w:r>
          </w:p>
        </w:tc>
        <w:tc>
          <w:tcPr>
            <w:tcW w:w="28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44,482</w:t>
            </w: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89,993</w:t>
            </w: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77,861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CFF"/>
          </w:tcPr>
          <w:p>
            <w:pPr>
              <w:ind w:left="320"/>
              <w:spacing w:after="0"/>
              <w:rPr>
                <w:sz w:val="20"/>
                <w:szCs w:val="20"/>
                <w:color w:val="auto"/>
              </w:rPr>
            </w:pPr>
            <w:r>
              <w:rPr>
                <w:rFonts w:ascii="Arial" w:cs="Arial" w:eastAsia="Arial" w:hAnsi="Arial"/>
                <w:sz w:val="18"/>
                <w:szCs w:val="18"/>
                <w:color w:val="auto"/>
              </w:rPr>
              <w:t>Administrative and general</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15,532</w:t>
            </w:r>
          </w:p>
        </w:tc>
        <w:tc>
          <w:tcPr>
            <w:tcW w:w="280" w:type="dxa"/>
            <w:vAlign w:val="bottom"/>
            <w:tcBorders>
              <w:left w:val="single" w:sz="8" w:color="CCECFF"/>
            </w:tcBorders>
            <w:shd w:val="clear" w:color="auto" w:fill="CCECFF"/>
          </w:tcPr>
          <w:p>
            <w:pPr>
              <w:spacing w:after="0"/>
              <w:rPr>
                <w:sz w:val="18"/>
                <w:szCs w:val="18"/>
                <w:color w:val="auto"/>
              </w:rPr>
            </w:pPr>
          </w:p>
        </w:tc>
        <w:tc>
          <w:tcPr>
            <w:tcW w:w="7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21,705</w:t>
            </w:r>
          </w:p>
        </w:tc>
        <w:tc>
          <w:tcPr>
            <w:tcW w:w="780" w:type="dxa"/>
            <w:vAlign w:val="bottom"/>
            <w:tcBorders>
              <w:right w:val="single" w:sz="8" w:color="CCECFF"/>
            </w:tcBorders>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28,339</w:t>
            </w:r>
          </w:p>
        </w:tc>
        <w:tc>
          <w:tcPr>
            <w:tcW w:w="760" w:type="dxa"/>
            <w:vAlign w:val="bottom"/>
            <w:tcBorders>
              <w:right w:val="single" w:sz="8" w:color="CCECFF"/>
            </w:tcBorders>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33,531</w:t>
            </w: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18,406</w:t>
            </w:r>
          </w:p>
        </w:tc>
        <w:tc>
          <w:tcPr>
            <w:tcW w:w="28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14,633</w:t>
            </w: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37,918</w:t>
            </w: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27,136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82,758</w:t>
            </w:r>
          </w:p>
        </w:tc>
        <w:tc>
          <w:tcPr>
            <w:tcW w:w="280" w:type="dxa"/>
            <w:vAlign w:val="bottom"/>
            <w:tcBorders>
              <w:left w:val="single" w:sz="8" w:color="CCECFF"/>
            </w:tcBorders>
            <w:shd w:val="clear" w:color="auto" w:fill="CCECFF"/>
          </w:tcPr>
          <w:p>
            <w:pPr>
              <w:spacing w:after="0"/>
              <w:rPr>
                <w:sz w:val="18"/>
                <w:szCs w:val="18"/>
                <w:color w:val="auto"/>
              </w:rPr>
            </w:pPr>
          </w:p>
        </w:tc>
        <w:tc>
          <w:tcPr>
            <w:tcW w:w="7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80,820</w:t>
            </w:r>
          </w:p>
        </w:tc>
        <w:tc>
          <w:tcPr>
            <w:tcW w:w="260" w:type="dxa"/>
            <w:vAlign w:val="bottom"/>
            <w:shd w:val="clear" w:color="auto" w:fill="CCECFF"/>
          </w:tcPr>
          <w:p>
            <w:pPr>
              <w:spacing w:after="0"/>
              <w:rPr>
                <w:sz w:val="18"/>
                <w:szCs w:val="18"/>
                <w:color w:val="auto"/>
              </w:rPr>
            </w:pPr>
          </w:p>
        </w:tc>
        <w:tc>
          <w:tcPr>
            <w:tcW w:w="780" w:type="dxa"/>
            <w:vAlign w:val="bottom"/>
            <w:tcBorders>
              <w:right w:val="single" w:sz="8" w:color="CCECFF"/>
            </w:tcBorders>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156,250</w:t>
            </w:r>
          </w:p>
        </w:tc>
        <w:tc>
          <w:tcPr>
            <w:tcW w:w="280" w:type="dxa"/>
            <w:vAlign w:val="bottom"/>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138,528</w:t>
            </w:r>
          </w:p>
        </w:tc>
        <w:tc>
          <w:tcPr>
            <w:tcW w:w="280" w:type="dxa"/>
            <w:vAlign w:val="bottom"/>
            <w:shd w:val="clear" w:color="auto" w:fill="CCECFF"/>
          </w:tcPr>
          <w:p>
            <w:pPr>
              <w:spacing w:after="0"/>
              <w:rPr>
                <w:sz w:val="18"/>
                <w:szCs w:val="18"/>
                <w:color w:val="auto"/>
              </w:rPr>
            </w:pP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left w:val="single" w:sz="8" w:color="CCECFF"/>
            </w:tcBorders>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Borders>
              <w:right w:val="single" w:sz="8" w:color="CCECFF"/>
            </w:tcBorders>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CFF"/>
            </w:tcBorders>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320" w:type="dxa"/>
            <w:vAlign w:val="bottom"/>
          </w:tcPr>
          <w:p>
            <w:pPr>
              <w:spacing w:after="0" w:line="195" w:lineRule="exact"/>
              <w:rPr>
                <w:sz w:val="20"/>
                <w:szCs w:val="20"/>
                <w:color w:val="auto"/>
              </w:rPr>
            </w:pPr>
            <w:r>
              <w:rPr>
                <w:rFonts w:ascii="Arial" w:cs="Arial" w:eastAsia="Arial" w:hAnsi="Arial"/>
                <w:sz w:val="18"/>
                <w:szCs w:val="18"/>
                <w:color w:val="auto"/>
                <w:w w:val="99"/>
              </w:rPr>
              <w:t>Gains (Losses) on Asset Dispositions and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1,055</w:t>
            </w:r>
          </w:p>
        </w:tc>
        <w:tc>
          <w:tcPr>
            <w:tcW w:w="280" w:type="dxa"/>
            <w:vAlign w:val="bottom"/>
          </w:tcPr>
          <w:p>
            <w:pPr>
              <w:spacing w:after="0"/>
              <w:rPr>
                <w:sz w:val="16"/>
                <w:szCs w:val="16"/>
                <w:color w:val="auto"/>
              </w:rPr>
            </w:pPr>
          </w:p>
        </w:tc>
        <w:tc>
          <w:tcPr>
            <w:tcW w:w="7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6"/>
                <w:szCs w:val="16"/>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(6,318)</w:t>
            </w:r>
          </w:p>
        </w:tc>
        <w:tc>
          <w:tcPr>
            <w:tcW w:w="7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(1,588)</w:t>
            </w:r>
          </w:p>
        </w:tc>
        <w:tc>
          <w:tcPr>
            <w:tcW w:w="7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(1,499)</w:t>
            </w: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3340" w:type="dxa"/>
            <w:vAlign w:val="bottom"/>
            <w:gridSpan w:val="2"/>
          </w:tcPr>
          <w:p>
            <w:pPr>
              <w:spacing w:after="0"/>
              <w:rPr>
                <w:sz w:val="20"/>
                <w:szCs w:val="20"/>
                <w:color w:val="auto"/>
              </w:rPr>
            </w:pPr>
            <w:r>
              <w:rPr>
                <w:rFonts w:ascii="Arial" w:cs="Arial" w:eastAsia="Arial" w:hAnsi="Arial"/>
                <w:sz w:val="18"/>
                <w:szCs w:val="18"/>
                <w:color w:val="auto"/>
              </w:rPr>
              <w:t>Impairments,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shd w:val="clear" w:color="auto" w:fill="CCEC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(21,002)</w:t>
            </w:r>
          </w:p>
        </w:tc>
        <w:tc>
          <w:tcPr>
            <w:tcW w:w="280" w:type="dxa"/>
            <w:vAlign w:val="bottom"/>
            <w:tcBorders>
              <w:left w:val="single" w:sz="8" w:color="CCECFF"/>
            </w:tcBorders>
            <w:shd w:val="clear" w:color="auto" w:fill="CCECFF"/>
          </w:tcPr>
          <w:p>
            <w:pPr>
              <w:spacing w:after="0"/>
              <w:rPr>
                <w:sz w:val="18"/>
                <w:szCs w:val="18"/>
                <w:color w:val="auto"/>
              </w:rPr>
            </w:pPr>
          </w:p>
        </w:tc>
        <w:tc>
          <w:tcPr>
            <w:tcW w:w="760" w:type="dxa"/>
            <w:vAlign w:val="bottom"/>
            <w:gridSpan w:val="2"/>
            <w:shd w:val="clear" w:color="auto" w:fill="CCECFF"/>
          </w:tcPr>
          <w:p>
            <w:pPr>
              <w:jc w:val="right"/>
              <w:ind w:right="1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(44,815)</w:t>
            </w:r>
          </w:p>
        </w:tc>
        <w:tc>
          <w:tcPr>
            <w:tcW w:w="260" w:type="dxa"/>
            <w:vAlign w:val="bottom"/>
            <w:shd w:val="clear" w:color="auto" w:fill="CCECFF"/>
          </w:tcPr>
          <w:p>
            <w:pPr>
              <w:spacing w:after="0"/>
              <w:rPr>
                <w:sz w:val="18"/>
                <w:szCs w:val="18"/>
                <w:color w:val="auto"/>
              </w:rPr>
            </w:pPr>
          </w:p>
        </w:tc>
        <w:tc>
          <w:tcPr>
            <w:tcW w:w="780" w:type="dxa"/>
            <w:vAlign w:val="bottom"/>
            <w:tcBorders>
              <w:right w:val="single" w:sz="8" w:color="CCECFF"/>
            </w:tcBorders>
            <w:gridSpan w:val="2"/>
            <w:shd w:val="clear" w:color="auto" w:fill="CCECFF"/>
          </w:tcPr>
          <w:p>
            <w:pPr>
              <w:jc w:val="right"/>
              <w:ind w:right="3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(45,416)</w:t>
            </w:r>
          </w:p>
        </w:tc>
        <w:tc>
          <w:tcPr>
            <w:tcW w:w="280" w:type="dxa"/>
            <w:vAlign w:val="bottom"/>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3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(63,400)</w:t>
            </w:r>
          </w:p>
        </w:tc>
        <w:tc>
          <w:tcPr>
            <w:tcW w:w="280" w:type="dxa"/>
            <w:vAlign w:val="bottom"/>
            <w:shd w:val="clear" w:color="auto" w:fill="CCECFF"/>
          </w:tcPr>
          <w:p>
            <w:pPr>
              <w:spacing w:after="0"/>
              <w:rPr>
                <w:sz w:val="18"/>
                <w:szCs w:val="18"/>
                <w:color w:val="auto"/>
              </w:rPr>
            </w:pP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(9,630)</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(7,045)</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(26,936)</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shd w:val="clear" w:color="auto" w:fill="CCECFF"/>
          </w:tcPr>
          <w:p>
            <w:pPr>
              <w:spacing w:after="0" w:line="195" w:lineRule="exact"/>
              <w:rPr>
                <w:sz w:val="20"/>
                <w:szCs w:val="20"/>
                <w:color w:val="auto"/>
              </w:rPr>
            </w:pPr>
            <w:r>
              <w:rPr>
                <w:rFonts w:ascii="Arial" w:cs="Arial" w:eastAsia="Arial" w:hAnsi="Arial"/>
                <w:sz w:val="18"/>
                <w:szCs w:val="18"/>
                <w:color w:val="auto"/>
                <w:w w:val="95"/>
              </w:rPr>
              <w:t>Loss Before Income Tax Benefit and Equity</w:t>
            </w:r>
          </w:p>
        </w:tc>
        <w:tc>
          <w:tcPr>
            <w:tcW w:w="120" w:type="dxa"/>
            <w:vAlign w:val="bottom"/>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720" w:type="dxa"/>
            <w:vAlign w:val="bottom"/>
            <w:tcBorders>
              <w:top w:val="single" w:sz="8" w:color="auto"/>
            </w:tcBorders>
            <w:shd w:val="clear" w:color="auto" w:fill="CCECFF"/>
          </w:tcPr>
          <w:p>
            <w:pPr>
              <w:spacing w:after="0"/>
              <w:rPr>
                <w:sz w:val="16"/>
                <w:szCs w:val="16"/>
                <w:color w:val="auto"/>
              </w:rPr>
            </w:pPr>
          </w:p>
        </w:tc>
        <w:tc>
          <w:tcPr>
            <w:tcW w:w="280" w:type="dxa"/>
            <w:vAlign w:val="bottom"/>
            <w:tcBorders>
              <w:left w:val="single" w:sz="8" w:color="CCECFF"/>
            </w:tcBorders>
            <w:shd w:val="clear" w:color="auto" w:fill="CCECFF"/>
          </w:tcPr>
          <w:p>
            <w:pPr>
              <w:spacing w:after="0"/>
              <w:rPr>
                <w:sz w:val="16"/>
                <w:szCs w:val="16"/>
                <w:color w:val="auto"/>
              </w:rPr>
            </w:pPr>
          </w:p>
        </w:tc>
        <w:tc>
          <w:tcPr>
            <w:tcW w:w="440" w:type="dxa"/>
            <w:vAlign w:val="bottom"/>
            <w:tcBorders>
              <w:top w:val="single" w:sz="8" w:color="auto"/>
            </w:tcBorders>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60" w:type="dxa"/>
            <w:vAlign w:val="bottom"/>
            <w:tcBorders>
              <w:top w:val="single" w:sz="8" w:color="auto"/>
            </w:tcBorders>
            <w:shd w:val="clear" w:color="auto" w:fill="CCECFF"/>
          </w:tcPr>
          <w:p>
            <w:pPr>
              <w:spacing w:after="0"/>
              <w:rPr>
                <w:sz w:val="16"/>
                <w:szCs w:val="16"/>
                <w:color w:val="auto"/>
              </w:rPr>
            </w:pPr>
          </w:p>
        </w:tc>
        <w:tc>
          <w:tcPr>
            <w:tcW w:w="720" w:type="dxa"/>
            <w:vAlign w:val="bottom"/>
            <w:tcBorders>
              <w:top w:val="single" w:sz="8" w:color="auto"/>
            </w:tcBorders>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460" w:type="dxa"/>
            <w:vAlign w:val="bottom"/>
            <w:tcBorders>
              <w:top w:val="single" w:sz="8" w:color="auto"/>
            </w:tcBorders>
            <w:shd w:val="clear" w:color="auto" w:fill="CCECFF"/>
          </w:tcPr>
          <w:p>
            <w:pPr>
              <w:spacing w:after="0"/>
              <w:rPr>
                <w:sz w:val="16"/>
                <w:szCs w:val="16"/>
                <w:color w:val="auto"/>
              </w:rPr>
            </w:pPr>
          </w:p>
        </w:tc>
        <w:tc>
          <w:tcPr>
            <w:tcW w:w="320" w:type="dxa"/>
            <w:vAlign w:val="bottom"/>
            <w:tcBorders>
              <w:right w:val="single" w:sz="8" w:color="CCECFF"/>
            </w:tcBorders>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740" w:type="dxa"/>
            <w:vAlign w:val="bottom"/>
            <w:tcBorders>
              <w:top w:val="single" w:sz="8" w:color="auto"/>
            </w:tcBorders>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440" w:type="dxa"/>
            <w:vAlign w:val="bottom"/>
            <w:tcBorders>
              <w:top w:val="single" w:sz="8" w:color="auto"/>
            </w:tcBorders>
            <w:shd w:val="clear" w:color="auto" w:fill="CCECFF"/>
          </w:tcPr>
          <w:p>
            <w:pPr>
              <w:spacing w:after="0"/>
              <w:rPr>
                <w:sz w:val="16"/>
                <w:szCs w:val="16"/>
                <w:color w:val="auto"/>
              </w:rPr>
            </w:pPr>
          </w:p>
        </w:tc>
        <w:tc>
          <w:tcPr>
            <w:tcW w:w="320" w:type="dxa"/>
            <w:vAlign w:val="bottom"/>
            <w:tcBorders>
              <w:right w:val="single" w:sz="8" w:color="CCECFF"/>
            </w:tcBorders>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740" w:type="dxa"/>
            <w:vAlign w:val="bottom"/>
            <w:tcBorders>
              <w:top w:val="single" w:sz="8" w:color="auto"/>
            </w:tcBorders>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440" w:type="dxa"/>
            <w:vAlign w:val="bottom"/>
            <w:tcBorders>
              <w:top w:val="single" w:sz="8" w:color="auto"/>
            </w:tcBorders>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CFF"/>
          </w:tcPr>
          <w:p>
            <w:pPr>
              <w:spacing w:after="0"/>
              <w:rPr>
                <w:sz w:val="20"/>
                <w:szCs w:val="20"/>
                <w:color w:val="auto"/>
              </w:rPr>
            </w:pPr>
            <w:r>
              <w:rPr>
                <w:rFonts w:ascii="Arial" w:cs="Arial" w:eastAsia="Arial" w:hAnsi="Arial"/>
                <w:sz w:val="18"/>
                <w:szCs w:val="18"/>
                <w:color w:val="auto"/>
                <w:w w:val="93"/>
              </w:rPr>
              <w:t>in Earnings (Losses) of 50% or Less Owned</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280" w:type="dxa"/>
            <w:vAlign w:val="bottom"/>
            <w:tcBorders>
              <w:left w:val="single" w:sz="8" w:color="CCECFF"/>
            </w:tcBorders>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32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320" w:type="dxa"/>
            <w:vAlign w:val="bottom"/>
            <w:tcBorders>
              <w:right w:val="single" w:sz="8" w:color="CCECFF"/>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CFF"/>
          </w:tcPr>
          <w:p>
            <w:pPr>
              <w:spacing w:after="0"/>
              <w:rPr>
                <w:sz w:val="20"/>
                <w:szCs w:val="20"/>
                <w:color w:val="auto"/>
              </w:rPr>
            </w:pPr>
            <w:r>
              <w:rPr>
                <w:rFonts w:ascii="Arial" w:cs="Arial" w:eastAsia="Arial" w:hAnsi="Arial"/>
                <w:sz w:val="18"/>
                <w:szCs w:val="18"/>
                <w:color w:val="auto"/>
              </w:rPr>
              <w:t>Companies</w:t>
            </w:r>
          </w:p>
        </w:tc>
        <w:tc>
          <w:tcPr>
            <w:tcW w:w="12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00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(30,632)</w:t>
            </w:r>
          </w:p>
        </w:tc>
        <w:tc>
          <w:tcPr>
            <w:tcW w:w="760" w:type="dxa"/>
            <w:vAlign w:val="bottom"/>
            <w:gridSpan w:val="2"/>
            <w:shd w:val="clear" w:color="auto" w:fill="CCECFF"/>
          </w:tcPr>
          <w:p>
            <w:pPr>
              <w:jc w:val="right"/>
              <w:ind w:right="1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(51,860)</w:t>
            </w:r>
          </w:p>
        </w:tc>
        <w:tc>
          <w:tcPr>
            <w:tcW w:w="780" w:type="dxa"/>
            <w:vAlign w:val="bottom"/>
            <w:tcBorders>
              <w:right w:val="single" w:sz="8" w:color="CCECFF"/>
            </w:tcBorders>
            <w:gridSpan w:val="2"/>
            <w:shd w:val="clear" w:color="auto" w:fill="CCECFF"/>
          </w:tcPr>
          <w:p>
            <w:pPr>
              <w:jc w:val="right"/>
              <w:ind w:right="30"/>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(72,352)</w:t>
            </w:r>
          </w:p>
        </w:tc>
        <w:tc>
          <w:tcPr>
            <w:tcW w:w="760" w:type="dxa"/>
            <w:vAlign w:val="bottom"/>
            <w:tcBorders>
              <w:right w:val="single" w:sz="8" w:color="CCECFF"/>
            </w:tcBorders>
            <w:gridSpan w:val="2"/>
            <w:shd w:val="clear" w:color="auto" w:fill="CCECFF"/>
          </w:tcPr>
          <w:p>
            <w:pPr>
              <w:jc w:val="right"/>
              <w:ind w:right="3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(63,319)</w:t>
            </w: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(4,724)</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(13,800)</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(14,548)</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(17,222)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shd w:val="clear" w:color="auto" w:fill="CCECFF"/>
          </w:tcPr>
          <w:p>
            <w:pPr>
              <w:spacing w:after="0" w:line="195" w:lineRule="exact"/>
              <w:rPr>
                <w:sz w:val="20"/>
                <w:szCs w:val="20"/>
                <w:color w:val="auto"/>
              </w:rPr>
            </w:pPr>
            <w:r>
              <w:rPr>
                <w:rFonts w:ascii="Arial" w:cs="Arial" w:eastAsia="Arial" w:hAnsi="Arial"/>
                <w:sz w:val="18"/>
                <w:szCs w:val="18"/>
                <w:color w:val="auto"/>
                <w:w w:val="97"/>
              </w:rPr>
              <w:t>Loss Before Equity in Earnings (Losses) of</w:t>
            </w:r>
          </w:p>
        </w:tc>
        <w:tc>
          <w:tcPr>
            <w:tcW w:w="120" w:type="dxa"/>
            <w:vAlign w:val="bottom"/>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720" w:type="dxa"/>
            <w:vAlign w:val="bottom"/>
            <w:tcBorders>
              <w:top w:val="single" w:sz="8" w:color="auto"/>
            </w:tcBorders>
            <w:shd w:val="clear" w:color="auto" w:fill="CCECFF"/>
          </w:tcPr>
          <w:p>
            <w:pPr>
              <w:spacing w:after="0"/>
              <w:rPr>
                <w:sz w:val="16"/>
                <w:szCs w:val="16"/>
                <w:color w:val="auto"/>
              </w:rPr>
            </w:pPr>
          </w:p>
        </w:tc>
        <w:tc>
          <w:tcPr>
            <w:tcW w:w="280" w:type="dxa"/>
            <w:vAlign w:val="bottom"/>
            <w:tcBorders>
              <w:left w:val="single" w:sz="8" w:color="CCECFF"/>
            </w:tcBorders>
            <w:shd w:val="clear" w:color="auto" w:fill="CCECFF"/>
          </w:tcPr>
          <w:p>
            <w:pPr>
              <w:spacing w:after="0"/>
              <w:rPr>
                <w:sz w:val="16"/>
                <w:szCs w:val="16"/>
                <w:color w:val="auto"/>
              </w:rPr>
            </w:pPr>
          </w:p>
        </w:tc>
        <w:tc>
          <w:tcPr>
            <w:tcW w:w="440" w:type="dxa"/>
            <w:vAlign w:val="bottom"/>
            <w:tcBorders>
              <w:top w:val="single" w:sz="8" w:color="auto"/>
            </w:tcBorders>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60" w:type="dxa"/>
            <w:vAlign w:val="bottom"/>
            <w:tcBorders>
              <w:top w:val="single" w:sz="8" w:color="auto"/>
            </w:tcBorders>
            <w:shd w:val="clear" w:color="auto" w:fill="CCECFF"/>
          </w:tcPr>
          <w:p>
            <w:pPr>
              <w:spacing w:after="0"/>
              <w:rPr>
                <w:sz w:val="16"/>
                <w:szCs w:val="16"/>
                <w:color w:val="auto"/>
              </w:rPr>
            </w:pPr>
          </w:p>
        </w:tc>
        <w:tc>
          <w:tcPr>
            <w:tcW w:w="720" w:type="dxa"/>
            <w:vAlign w:val="bottom"/>
            <w:tcBorders>
              <w:top w:val="single" w:sz="8" w:color="auto"/>
            </w:tcBorders>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460" w:type="dxa"/>
            <w:vAlign w:val="bottom"/>
            <w:tcBorders>
              <w:top w:val="single" w:sz="8" w:color="auto"/>
            </w:tcBorders>
            <w:shd w:val="clear" w:color="auto" w:fill="CCECFF"/>
          </w:tcPr>
          <w:p>
            <w:pPr>
              <w:spacing w:after="0"/>
              <w:rPr>
                <w:sz w:val="16"/>
                <w:szCs w:val="16"/>
                <w:color w:val="auto"/>
              </w:rPr>
            </w:pPr>
          </w:p>
        </w:tc>
        <w:tc>
          <w:tcPr>
            <w:tcW w:w="320" w:type="dxa"/>
            <w:vAlign w:val="bottom"/>
            <w:tcBorders>
              <w:right w:val="single" w:sz="8" w:color="CCECFF"/>
            </w:tcBorders>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740" w:type="dxa"/>
            <w:vAlign w:val="bottom"/>
            <w:tcBorders>
              <w:top w:val="single" w:sz="8" w:color="auto"/>
            </w:tcBorders>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440" w:type="dxa"/>
            <w:vAlign w:val="bottom"/>
            <w:tcBorders>
              <w:top w:val="single" w:sz="8" w:color="auto"/>
            </w:tcBorders>
            <w:shd w:val="clear" w:color="auto" w:fill="CCECFF"/>
          </w:tcPr>
          <w:p>
            <w:pPr>
              <w:spacing w:after="0"/>
              <w:rPr>
                <w:sz w:val="16"/>
                <w:szCs w:val="16"/>
                <w:color w:val="auto"/>
              </w:rPr>
            </w:pPr>
          </w:p>
        </w:tc>
        <w:tc>
          <w:tcPr>
            <w:tcW w:w="320" w:type="dxa"/>
            <w:vAlign w:val="bottom"/>
            <w:tcBorders>
              <w:right w:val="single" w:sz="8" w:color="CCECFF"/>
            </w:tcBorders>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740" w:type="dxa"/>
            <w:vAlign w:val="bottom"/>
            <w:tcBorders>
              <w:top w:val="single" w:sz="8" w:color="auto"/>
            </w:tcBorders>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440" w:type="dxa"/>
            <w:vAlign w:val="bottom"/>
            <w:tcBorders>
              <w:top w:val="single" w:sz="8" w:color="auto"/>
            </w:tcBorders>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CFF"/>
          </w:tcPr>
          <w:p>
            <w:pPr>
              <w:spacing w:after="0"/>
              <w:rPr>
                <w:sz w:val="20"/>
                <w:szCs w:val="20"/>
                <w:color w:val="auto"/>
              </w:rPr>
            </w:pPr>
            <w:r>
              <w:rPr>
                <w:rFonts w:ascii="Arial" w:cs="Arial" w:eastAsia="Arial" w:hAnsi="Arial"/>
                <w:sz w:val="18"/>
                <w:szCs w:val="18"/>
                <w:color w:val="auto"/>
              </w:rPr>
              <w:t>50% or Less Owned Companies</w:t>
            </w:r>
          </w:p>
        </w:tc>
        <w:tc>
          <w:tcPr>
            <w:tcW w:w="12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00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(25,908)</w:t>
            </w:r>
          </w:p>
        </w:tc>
        <w:tc>
          <w:tcPr>
            <w:tcW w:w="760" w:type="dxa"/>
            <w:vAlign w:val="bottom"/>
            <w:gridSpan w:val="2"/>
            <w:shd w:val="clear" w:color="auto" w:fill="CCECFF"/>
          </w:tcPr>
          <w:p>
            <w:pPr>
              <w:jc w:val="right"/>
              <w:ind w:right="1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(38,060)</w:t>
            </w:r>
          </w:p>
        </w:tc>
        <w:tc>
          <w:tcPr>
            <w:tcW w:w="780" w:type="dxa"/>
            <w:vAlign w:val="bottom"/>
            <w:tcBorders>
              <w:right w:val="single" w:sz="8" w:color="CCECFF"/>
            </w:tcBorders>
            <w:gridSpan w:val="2"/>
            <w:shd w:val="clear" w:color="auto" w:fill="CCECFF"/>
          </w:tcPr>
          <w:p>
            <w:pPr>
              <w:jc w:val="right"/>
              <w:ind w:right="3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(57,804)</w:t>
            </w:r>
          </w:p>
        </w:tc>
        <w:tc>
          <w:tcPr>
            <w:tcW w:w="760" w:type="dxa"/>
            <w:vAlign w:val="bottom"/>
            <w:tcBorders>
              <w:right w:val="single" w:sz="8" w:color="CCECFF"/>
            </w:tcBorders>
            <w:gridSpan w:val="2"/>
            <w:shd w:val="clear" w:color="auto" w:fill="CCECFF"/>
          </w:tcPr>
          <w:p>
            <w:pPr>
              <w:jc w:val="right"/>
              <w:ind w:right="3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(46,097)</w:t>
            </w: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5"/>
              </w:rPr>
              <w:t>Equity in (Losses) Earnings of 50% or Less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(721)</w:t>
            </w:r>
          </w:p>
        </w:tc>
        <w:tc>
          <w:tcPr>
            <w:tcW w:w="76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1,571</w:t>
            </w:r>
          </w:p>
        </w:tc>
        <w:tc>
          <w:tcPr>
            <w:tcW w:w="7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(513)</w:t>
            </w:r>
          </w:p>
        </w:tc>
        <w:tc>
          <w:tcPr>
            <w:tcW w:w="7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2,009</w:t>
            </w: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3340" w:type="dxa"/>
            <w:vAlign w:val="bottom"/>
            <w:gridSpan w:val="2"/>
          </w:tcPr>
          <w:p>
            <w:pPr>
              <w:spacing w:after="0"/>
              <w:rPr>
                <w:sz w:val="20"/>
                <w:szCs w:val="20"/>
                <w:color w:val="auto"/>
              </w:rPr>
            </w:pPr>
            <w:r>
              <w:rPr>
                <w:rFonts w:ascii="Arial" w:cs="Arial" w:eastAsia="Arial" w:hAnsi="Arial"/>
                <w:sz w:val="18"/>
                <w:szCs w:val="18"/>
                <w:color w:val="auto"/>
              </w:rPr>
              <w:t>Owned Companies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C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(26,629)</w:t>
            </w:r>
          </w:p>
        </w:tc>
        <w:tc>
          <w:tcPr>
            <w:tcW w:w="280" w:type="dxa"/>
            <w:vAlign w:val="bottom"/>
            <w:tcBorders>
              <w:left w:val="single" w:sz="8" w:color="CCECFF"/>
            </w:tcBorders>
            <w:shd w:val="clear" w:color="auto" w:fill="CCECFF"/>
          </w:tcPr>
          <w:p>
            <w:pPr>
              <w:spacing w:after="0"/>
              <w:rPr>
                <w:sz w:val="18"/>
                <w:szCs w:val="18"/>
                <w:color w:val="auto"/>
              </w:rPr>
            </w:pPr>
          </w:p>
        </w:tc>
        <w:tc>
          <w:tcPr>
            <w:tcW w:w="4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CFF"/>
          </w:tcPr>
          <w:p>
            <w:pPr>
              <w:spacing w:after="0"/>
              <w:rPr>
                <w:sz w:val="18"/>
                <w:szCs w:val="18"/>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(36,489)</w:t>
            </w:r>
          </w:p>
        </w:tc>
        <w:tc>
          <w:tcPr>
            <w:tcW w:w="260" w:type="dxa"/>
            <w:vAlign w:val="bottom"/>
            <w:shd w:val="clear" w:color="auto" w:fill="CCECFF"/>
          </w:tcPr>
          <w:p>
            <w:pPr>
              <w:spacing w:after="0"/>
              <w:rPr>
                <w:sz w:val="18"/>
                <w:szCs w:val="18"/>
                <w:color w:val="auto"/>
              </w:rPr>
            </w:pPr>
          </w:p>
        </w:tc>
        <w:tc>
          <w:tcPr>
            <w:tcW w:w="4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(86)</w:t>
            </w:r>
          </w:p>
        </w:tc>
        <w:tc>
          <w:tcPr>
            <w:tcW w:w="320" w:type="dxa"/>
            <w:vAlign w:val="bottom"/>
            <w:tcBorders>
              <w:right w:val="single" w:sz="8" w:color="CCECFF"/>
            </w:tcBorders>
            <w:shd w:val="clear" w:color="auto" w:fill="CCEC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CFF"/>
          </w:tcPr>
          <w:p>
            <w:pPr>
              <w:spacing w:after="0"/>
              <w:rPr>
                <w:sz w:val="18"/>
                <w:szCs w:val="18"/>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(58,317)</w:t>
            </w:r>
          </w:p>
        </w:tc>
        <w:tc>
          <w:tcPr>
            <w:tcW w:w="280" w:type="dxa"/>
            <w:vAlign w:val="bottom"/>
            <w:shd w:val="clear" w:color="auto" w:fill="CCECFF"/>
          </w:tcPr>
          <w:p>
            <w:pPr>
              <w:spacing w:after="0"/>
              <w:rPr>
                <w:sz w:val="18"/>
                <w:szCs w:val="18"/>
                <w:color w:val="auto"/>
              </w:rPr>
            </w:pPr>
          </w:p>
        </w:tc>
        <w:tc>
          <w:tcPr>
            <w:tcW w:w="4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(52)</w:t>
            </w:r>
          </w:p>
        </w:tc>
        <w:tc>
          <w:tcPr>
            <w:tcW w:w="320" w:type="dxa"/>
            <w:vAlign w:val="bottom"/>
            <w:tcBorders>
              <w:right w:val="single" w:sz="8" w:color="CCECFF"/>
            </w:tcBorders>
            <w:shd w:val="clear" w:color="auto" w:fill="CCEC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CFF"/>
          </w:tcPr>
          <w:p>
            <w:pPr>
              <w:spacing w:after="0"/>
              <w:rPr>
                <w:sz w:val="18"/>
                <w:szCs w:val="18"/>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(44,088)</w:t>
            </w:r>
          </w:p>
        </w:tc>
        <w:tc>
          <w:tcPr>
            <w:tcW w:w="280" w:type="dxa"/>
            <w:vAlign w:val="bottom"/>
            <w:shd w:val="clear" w:color="auto" w:fill="CCECFF"/>
          </w:tcPr>
          <w:p>
            <w:pPr>
              <w:spacing w:after="0"/>
              <w:rPr>
                <w:sz w:val="18"/>
                <w:szCs w:val="18"/>
                <w:color w:val="auto"/>
              </w:rPr>
            </w:pPr>
          </w:p>
        </w:tc>
        <w:tc>
          <w:tcPr>
            <w:tcW w:w="4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Net Loss attributable to Noncontrolling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(1,605)</w:t>
            </w:r>
          </w:p>
        </w:tc>
        <w:tc>
          <w:tcPr>
            <w:tcW w:w="76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(2,497)</w:t>
            </w:r>
          </w:p>
        </w:tc>
        <w:tc>
          <w:tcPr>
            <w:tcW w:w="7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(4,460)</w:t>
            </w:r>
          </w:p>
        </w:tc>
        <w:tc>
          <w:tcPr>
            <w:tcW w:w="7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(2,701)</w:t>
            </w: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3340" w:type="dxa"/>
            <w:vAlign w:val="bottom"/>
            <w:gridSpan w:val="2"/>
          </w:tcPr>
          <w:p>
            <w:pPr>
              <w:spacing w:after="0"/>
              <w:rPr>
                <w:sz w:val="20"/>
                <w:szCs w:val="20"/>
                <w:color w:val="auto"/>
              </w:rPr>
            </w:pPr>
            <w:r>
              <w:rPr>
                <w:rFonts w:ascii="Arial" w:cs="Arial" w:eastAsia="Arial" w:hAnsi="Arial"/>
                <w:sz w:val="18"/>
                <w:szCs w:val="18"/>
                <w:color w:val="auto"/>
              </w:rPr>
              <w:t>Interests in Subsidiaries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320" w:type="dxa"/>
            <w:vAlign w:val="bottom"/>
            <w:shd w:val="clear" w:color="auto" w:fill="CCECFF"/>
          </w:tcPr>
          <w:p>
            <w:pPr>
              <w:spacing w:after="0" w:line="195" w:lineRule="exact"/>
              <w:rPr>
                <w:sz w:val="20"/>
                <w:szCs w:val="20"/>
                <w:color w:val="auto"/>
              </w:rPr>
            </w:pPr>
            <w:r>
              <w:rPr>
                <w:rFonts w:ascii="Arial" w:cs="Arial" w:eastAsia="Arial" w:hAnsi="Arial"/>
                <w:sz w:val="18"/>
                <w:szCs w:val="18"/>
                <w:color w:val="auto"/>
              </w:rPr>
              <w:t>Net Loss attributable to SEACOR Marine</w:t>
            </w:r>
          </w:p>
        </w:tc>
        <w:tc>
          <w:tcPr>
            <w:tcW w:w="360" w:type="dxa"/>
            <w:vAlign w:val="bottom"/>
            <w:gridSpan w:val="2"/>
            <w:vMerge w:val="restart"/>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CFF"/>
          </w:tcPr>
          <w:p>
            <w:pPr>
              <w:jc w:val="right"/>
              <w:ind w:right="220"/>
              <w:spacing w:after="0"/>
              <w:rPr>
                <w:sz w:val="20"/>
                <w:szCs w:val="20"/>
                <w:color w:val="auto"/>
              </w:rPr>
            </w:pPr>
            <w:r>
              <w:rPr>
                <w:rFonts w:ascii="Arial" w:cs="Arial" w:eastAsia="Arial" w:hAnsi="Arial"/>
                <w:sz w:val="18"/>
                <w:szCs w:val="18"/>
                <w:color w:val="auto"/>
              </w:rPr>
              <w:t>(25,024)</w:t>
            </w:r>
          </w:p>
        </w:tc>
        <w:tc>
          <w:tcPr>
            <w:tcW w:w="760" w:type="dxa"/>
            <w:vAlign w:val="bottom"/>
            <w:gridSpan w:val="2"/>
            <w:vMerge w:val="restart"/>
            <w:shd w:val="clear" w:color="auto" w:fill="CCECFF"/>
          </w:tcPr>
          <w:p>
            <w:pPr>
              <w:jc w:val="right"/>
              <w:ind w:right="10"/>
              <w:spacing w:after="0"/>
              <w:rPr>
                <w:sz w:val="20"/>
                <w:szCs w:val="20"/>
                <w:color w:val="auto"/>
              </w:rPr>
            </w:pPr>
            <w:r>
              <w:rPr>
                <w:rFonts w:ascii="Arial" w:cs="Arial" w:eastAsia="Arial" w:hAnsi="Arial"/>
                <w:sz w:val="18"/>
                <w:szCs w:val="18"/>
                <w:color w:val="auto"/>
              </w:rPr>
              <w:t>(41)%</w:t>
            </w:r>
          </w:p>
        </w:tc>
        <w:tc>
          <w:tcPr>
            <w:tcW w:w="260" w:type="dxa"/>
            <w:vAlign w:val="bottom"/>
            <w:vMerge w:val="restart"/>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CFF"/>
          </w:tcPr>
          <w:p>
            <w:pPr>
              <w:jc w:val="right"/>
              <w:ind w:right="200"/>
              <w:spacing w:after="0"/>
              <w:rPr>
                <w:sz w:val="20"/>
                <w:szCs w:val="20"/>
                <w:color w:val="auto"/>
              </w:rPr>
            </w:pPr>
            <w:r>
              <w:rPr>
                <w:rFonts w:ascii="Arial" w:cs="Arial" w:eastAsia="Arial" w:hAnsi="Arial"/>
                <w:sz w:val="18"/>
                <w:szCs w:val="18"/>
                <w:color w:val="auto"/>
              </w:rPr>
              <w:t>(33,992)</w:t>
            </w:r>
          </w:p>
        </w:tc>
        <w:tc>
          <w:tcPr>
            <w:tcW w:w="780" w:type="dxa"/>
            <w:vAlign w:val="bottom"/>
            <w:tcBorders>
              <w:right w:val="single" w:sz="8" w:color="CCECFF"/>
            </w:tcBorders>
            <w:gridSpan w:val="2"/>
            <w:vMerge w:val="restart"/>
            <w:shd w:val="clear" w:color="auto" w:fill="CCECFF"/>
          </w:tcPr>
          <w:p>
            <w:pPr>
              <w:jc w:val="right"/>
              <w:ind w:right="30"/>
              <w:spacing w:after="0"/>
              <w:rPr>
                <w:sz w:val="20"/>
                <w:szCs w:val="20"/>
                <w:color w:val="auto"/>
              </w:rPr>
            </w:pPr>
            <w:r>
              <w:rPr>
                <w:rFonts w:ascii="Arial" w:cs="Arial" w:eastAsia="Arial" w:hAnsi="Arial"/>
                <w:sz w:val="18"/>
                <w:szCs w:val="18"/>
                <w:color w:val="auto"/>
              </w:rPr>
              <w:t>(80)%</w:t>
            </w:r>
          </w:p>
        </w:tc>
        <w:tc>
          <w:tcPr>
            <w:tcW w:w="240" w:type="dxa"/>
            <w:vAlign w:val="bottom"/>
            <w:vMerge w:val="restart"/>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CFF"/>
          </w:tcPr>
          <w:p>
            <w:pPr>
              <w:jc w:val="right"/>
              <w:ind w:right="220"/>
              <w:spacing w:after="0"/>
              <w:rPr>
                <w:sz w:val="20"/>
                <w:szCs w:val="20"/>
                <w:color w:val="auto"/>
              </w:rPr>
            </w:pPr>
            <w:r>
              <w:rPr>
                <w:rFonts w:ascii="Arial" w:cs="Arial" w:eastAsia="Arial" w:hAnsi="Arial"/>
                <w:sz w:val="18"/>
                <w:szCs w:val="18"/>
                <w:color w:val="auto"/>
              </w:rPr>
              <w:t>(53,857)</w:t>
            </w:r>
          </w:p>
        </w:tc>
        <w:tc>
          <w:tcPr>
            <w:tcW w:w="760" w:type="dxa"/>
            <w:vAlign w:val="bottom"/>
            <w:tcBorders>
              <w:right w:val="single" w:sz="8" w:color="CCECFF"/>
            </w:tcBorders>
            <w:gridSpan w:val="2"/>
            <w:vMerge w:val="restart"/>
            <w:shd w:val="clear" w:color="auto" w:fill="CCECFF"/>
          </w:tcPr>
          <w:p>
            <w:pPr>
              <w:jc w:val="right"/>
              <w:ind w:right="30"/>
              <w:spacing w:after="0"/>
              <w:rPr>
                <w:sz w:val="20"/>
                <w:szCs w:val="20"/>
                <w:color w:val="auto"/>
              </w:rPr>
            </w:pPr>
            <w:r>
              <w:rPr>
                <w:rFonts w:ascii="Arial" w:cs="Arial" w:eastAsia="Arial" w:hAnsi="Arial"/>
                <w:sz w:val="18"/>
                <w:szCs w:val="18"/>
                <w:color w:val="auto"/>
              </w:rPr>
              <w:t>(48)%</w:t>
            </w:r>
          </w:p>
        </w:tc>
        <w:tc>
          <w:tcPr>
            <w:tcW w:w="240" w:type="dxa"/>
            <w:vAlign w:val="bottom"/>
            <w:vMerge w:val="restart"/>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CFF"/>
          </w:tcPr>
          <w:p>
            <w:pPr>
              <w:jc w:val="right"/>
              <w:ind w:right="220"/>
              <w:spacing w:after="0"/>
              <w:rPr>
                <w:sz w:val="20"/>
                <w:szCs w:val="20"/>
                <w:color w:val="auto"/>
              </w:rPr>
            </w:pPr>
            <w:r>
              <w:rPr>
                <w:rFonts w:ascii="Arial" w:cs="Arial" w:eastAsia="Arial" w:hAnsi="Arial"/>
                <w:sz w:val="18"/>
                <w:szCs w:val="18"/>
                <w:color w:val="auto"/>
              </w:rPr>
              <w:t>(41,387)</w:t>
            </w:r>
          </w:p>
        </w:tc>
        <w:tc>
          <w:tcPr>
            <w:tcW w:w="660" w:type="dxa"/>
            <w:vAlign w:val="bottom"/>
            <w:gridSpan w:val="2"/>
            <w:vMerge w:val="restart"/>
            <w:shd w:val="clear" w:color="auto" w:fill="CCEC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CFF"/>
          </w:tcPr>
          <w:p>
            <w:pPr>
              <w:spacing w:after="0" w:line="190" w:lineRule="exact"/>
              <w:rPr>
                <w:sz w:val="20"/>
                <w:szCs w:val="20"/>
                <w:color w:val="auto"/>
              </w:rPr>
            </w:pPr>
            <w:r>
              <w:rPr>
                <w:rFonts w:ascii="Arial" w:cs="Arial" w:eastAsia="Arial" w:hAnsi="Arial"/>
                <w:sz w:val="18"/>
                <w:szCs w:val="18"/>
                <w:color w:val="auto"/>
              </w:rPr>
              <w:t>Holdings Inc.</w:t>
            </w:r>
          </w:p>
        </w:tc>
        <w:tc>
          <w:tcPr>
            <w:tcW w:w="360" w:type="dxa"/>
            <w:vAlign w:val="bottom"/>
            <w:gridSpan w:val="2"/>
            <w:vMerge w:val="continue"/>
            <w:shd w:val="clear" w:color="auto" w:fill="CCECFF"/>
          </w:tcPr>
          <w:p>
            <w:pPr>
              <w:spacing w:after="0"/>
              <w:rPr>
                <w:sz w:val="18"/>
                <w:szCs w:val="18"/>
                <w:color w:val="auto"/>
              </w:rPr>
            </w:pPr>
          </w:p>
        </w:tc>
        <w:tc>
          <w:tcPr>
            <w:tcW w:w="1000" w:type="dxa"/>
            <w:vAlign w:val="bottom"/>
            <w:gridSpan w:val="2"/>
            <w:vMerge w:val="continue"/>
            <w:shd w:val="clear" w:color="auto" w:fill="CCECFF"/>
          </w:tcPr>
          <w:p>
            <w:pPr>
              <w:spacing w:after="0"/>
              <w:rPr>
                <w:sz w:val="18"/>
                <w:szCs w:val="18"/>
                <w:color w:val="auto"/>
              </w:rPr>
            </w:pPr>
          </w:p>
        </w:tc>
        <w:tc>
          <w:tcPr>
            <w:tcW w:w="760" w:type="dxa"/>
            <w:vAlign w:val="bottom"/>
            <w:gridSpan w:val="2"/>
            <w:vMerge w:val="continue"/>
            <w:shd w:val="clear" w:color="auto" w:fill="CCECFF"/>
          </w:tcPr>
          <w:p>
            <w:pPr>
              <w:spacing w:after="0"/>
              <w:rPr>
                <w:sz w:val="18"/>
                <w:szCs w:val="18"/>
                <w:color w:val="auto"/>
              </w:rPr>
            </w:pPr>
          </w:p>
        </w:tc>
        <w:tc>
          <w:tcPr>
            <w:tcW w:w="260" w:type="dxa"/>
            <w:vAlign w:val="bottom"/>
            <w:vMerge w:val="continue"/>
            <w:shd w:val="clear" w:color="auto" w:fill="CCECFF"/>
          </w:tcPr>
          <w:p>
            <w:pPr>
              <w:spacing w:after="0"/>
              <w:rPr>
                <w:sz w:val="18"/>
                <w:szCs w:val="18"/>
                <w:color w:val="auto"/>
              </w:rPr>
            </w:pPr>
          </w:p>
        </w:tc>
        <w:tc>
          <w:tcPr>
            <w:tcW w:w="980" w:type="dxa"/>
            <w:vAlign w:val="bottom"/>
            <w:gridSpan w:val="2"/>
            <w:vMerge w:val="continue"/>
            <w:shd w:val="clear" w:color="auto" w:fill="CCECFF"/>
          </w:tcPr>
          <w:p>
            <w:pPr>
              <w:spacing w:after="0"/>
              <w:rPr>
                <w:sz w:val="18"/>
                <w:szCs w:val="18"/>
                <w:color w:val="auto"/>
              </w:rPr>
            </w:pPr>
          </w:p>
        </w:tc>
        <w:tc>
          <w:tcPr>
            <w:tcW w:w="780" w:type="dxa"/>
            <w:vAlign w:val="bottom"/>
            <w:tcBorders>
              <w:right w:val="single" w:sz="8" w:color="CCECFF"/>
            </w:tcBorders>
            <w:gridSpan w:val="2"/>
            <w:vMerge w:val="continue"/>
            <w:shd w:val="clear" w:color="auto" w:fill="CCECFF"/>
          </w:tcPr>
          <w:p>
            <w:pPr>
              <w:spacing w:after="0"/>
              <w:rPr>
                <w:sz w:val="18"/>
                <w:szCs w:val="18"/>
                <w:color w:val="auto"/>
              </w:rPr>
            </w:pPr>
          </w:p>
        </w:tc>
        <w:tc>
          <w:tcPr>
            <w:tcW w:w="240" w:type="dxa"/>
            <w:vAlign w:val="bottom"/>
            <w:vMerge w:val="continue"/>
            <w:shd w:val="clear" w:color="auto" w:fill="CCECFF"/>
          </w:tcPr>
          <w:p>
            <w:pPr>
              <w:spacing w:after="0"/>
              <w:rPr>
                <w:sz w:val="18"/>
                <w:szCs w:val="18"/>
                <w:color w:val="auto"/>
              </w:rPr>
            </w:pPr>
          </w:p>
        </w:tc>
        <w:tc>
          <w:tcPr>
            <w:tcW w:w="1020" w:type="dxa"/>
            <w:vAlign w:val="bottom"/>
            <w:gridSpan w:val="2"/>
            <w:vMerge w:val="continue"/>
            <w:shd w:val="clear" w:color="auto" w:fill="CCECFF"/>
          </w:tcPr>
          <w:p>
            <w:pPr>
              <w:spacing w:after="0"/>
              <w:rPr>
                <w:sz w:val="18"/>
                <w:szCs w:val="18"/>
                <w:color w:val="auto"/>
              </w:rPr>
            </w:pPr>
          </w:p>
        </w:tc>
        <w:tc>
          <w:tcPr>
            <w:tcW w:w="760" w:type="dxa"/>
            <w:vAlign w:val="bottom"/>
            <w:tcBorders>
              <w:right w:val="single" w:sz="8" w:color="CCECFF"/>
            </w:tcBorders>
            <w:gridSpan w:val="2"/>
            <w:vMerge w:val="continue"/>
            <w:shd w:val="clear" w:color="auto" w:fill="CCECFF"/>
          </w:tcPr>
          <w:p>
            <w:pPr>
              <w:spacing w:after="0"/>
              <w:rPr>
                <w:sz w:val="18"/>
                <w:szCs w:val="18"/>
                <w:color w:val="auto"/>
              </w:rPr>
            </w:pPr>
          </w:p>
        </w:tc>
        <w:tc>
          <w:tcPr>
            <w:tcW w:w="240" w:type="dxa"/>
            <w:vAlign w:val="bottom"/>
            <w:vMerge w:val="continue"/>
            <w:shd w:val="clear" w:color="auto" w:fill="CCECFF"/>
          </w:tcPr>
          <w:p>
            <w:pPr>
              <w:spacing w:after="0"/>
              <w:rPr>
                <w:sz w:val="18"/>
                <w:szCs w:val="18"/>
                <w:color w:val="auto"/>
              </w:rPr>
            </w:pPr>
          </w:p>
        </w:tc>
        <w:tc>
          <w:tcPr>
            <w:tcW w:w="1020" w:type="dxa"/>
            <w:vAlign w:val="bottom"/>
            <w:gridSpan w:val="2"/>
            <w:vMerge w:val="continue"/>
            <w:shd w:val="clear" w:color="auto" w:fill="CCECFF"/>
          </w:tcPr>
          <w:p>
            <w:pPr>
              <w:spacing w:after="0"/>
              <w:rPr>
                <w:sz w:val="18"/>
                <w:szCs w:val="18"/>
                <w:color w:val="auto"/>
              </w:rPr>
            </w:pPr>
          </w:p>
        </w:tc>
        <w:tc>
          <w:tcPr>
            <w:tcW w:w="660" w:type="dxa"/>
            <w:vAlign w:val="bottom"/>
            <w:gridSpan w:val="2"/>
            <w:vMerge w:val="continue"/>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left w:val="single" w:sz="8" w:color="CCECFF"/>
            </w:tcBorders>
            <w:shd w:val="clear" w:color="auto" w:fill="CCEC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i w:val="1"/>
          <w:iCs w:val="1"/>
          <w:color w:val="auto"/>
        </w:rPr>
        <w:t xml:space="preserve">Direct Vessel Profit. </w:t>
      </w:r>
      <w:r>
        <w:rPr>
          <w:rFonts w:ascii="Arial" w:cs="Arial" w:eastAsia="Arial" w:hAnsi="Arial"/>
          <w:sz w:val="22"/>
          <w:szCs w:val="22"/>
          <w:color w:val="auto"/>
        </w:rPr>
        <w:t>Direct vessel profit (defined as operating revenues less operating expenses excluding leased-in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equipment, “DVP”) is the Company's measure of segment profitability when applied to reportable segments and a non-GAAP measure when applied to individual vessels, fleet categories or the combined fleet. DVP is a critical financial measure used by the Company to analyze and compare the operating performance of its individual vessels, fleet categories, regions and combined fleet, without regard to financing decisions (depreciation for owned vessel vs. leased-in expense for leased-in vessels). DVP is also useful when comparing the Company's fleet's performance against those of its competitors who may have differing fleet financing structures.</w:t>
      </w:r>
    </w:p>
    <w:p>
      <w:pPr>
        <w:spacing w:after="0" w:line="21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DVP by region and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region and by vessel class to operating loss, its most comparable GAAP measure, is included in the tables below.</w:t>
      </w:r>
    </w:p>
    <w:p>
      <w:pPr>
        <w:sectPr>
          <w:pgSz w:w="11900" w:h="16838" w:orient="portrait"/>
          <w:cols w:equalWidth="0" w:num="1">
            <w:col w:w="11420"/>
          </w:cols>
          <w:pgMar w:left="240" w:top="118" w:right="239" w:bottom="366"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366" w:gutter="0" w:footer="0" w:header="0"/>
          <w:type w:val="continuous"/>
        </w:sectPr>
      </w:pPr>
    </w:p>
    <w:bookmarkStart w:id="29" w:name="page30"/>
    <w:bookmarkEnd w:id="29"/>
    <w:p>
      <w:pPr>
        <w:spacing w:after="0" w:line="45"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firstLine="648"/>
        <w:spacing w:after="0" w:line="237" w:lineRule="auto"/>
        <w:rPr>
          <w:sz w:val="20"/>
          <w:szCs w:val="20"/>
          <w:color w:val="auto"/>
        </w:rPr>
      </w:pPr>
      <w:r>
        <w:rPr>
          <w:rFonts w:ascii="Arial" w:cs="Arial" w:eastAsia="Arial" w:hAnsi="Arial"/>
          <w:sz w:val="22"/>
          <w:szCs w:val="22"/>
          <w:color w:val="auto"/>
        </w:rPr>
        <w:t>The following tables summarize the operating results and property and equipment for the Company’s reportable segments for the periods indicated (in thousands, except statistics):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Brazil,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United States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Mexico,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(primarily</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Africa</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Central and</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Europe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Gulf of</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Middle East</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South</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Mexico)</w:t>
            </w: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West Africa)</w:t>
            </w:r>
          </w:p>
        </w:tc>
        <w:tc>
          <w:tcPr>
            <w:tcW w:w="14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and Asia</w:t>
            </w:r>
          </w:p>
        </w:tc>
        <w:tc>
          <w:tcPr>
            <w:tcW w:w="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North Sea)</w:t>
            </w:r>
          </w:p>
        </w:tc>
        <w:tc>
          <w:tcPr>
            <w:tcW w:w="22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200" w:type="dxa"/>
            <w:vAlign w:val="bottom"/>
            <w:tcBorders>
              <w:right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8"/>
              </w:rPr>
              <w:t>For the Three Months Ended June 30,</w:t>
            </w: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Time Charter Statistics: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Fleet Utilization</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Fleet Available Days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1,331</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12,528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18,505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56,826</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Bareboat charter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marine services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0"/>
        </w:trPr>
        <w:tc>
          <w:tcPr>
            <w:tcW w:w="3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10,728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11,472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12,799</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19,145</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60,701</w:t>
            </w:r>
          </w:p>
        </w:tc>
        <w:tc>
          <w:tcPr>
            <w:tcW w:w="0" w:type="dxa"/>
            <w:vAlign w:val="bottom"/>
          </w:tcPr>
          <w:p>
            <w:pPr>
              <w:spacing w:after="0"/>
              <w:rPr>
                <w:sz w:val="1"/>
                <w:szCs w:val="1"/>
                <w:color w:val="auto"/>
              </w:rPr>
            </w:pPr>
          </w:p>
        </w:tc>
      </w:tr>
      <w:tr>
        <w:trPr>
          <w:trHeight w:val="210"/>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4,314</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10,495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24,733</w:t>
            </w:r>
          </w:p>
        </w:tc>
        <w:tc>
          <w:tcPr>
            <w:tcW w:w="0" w:type="dxa"/>
            <w:vAlign w:val="bottom"/>
          </w:tcPr>
          <w:p>
            <w:pPr>
              <w:spacing w:after="0"/>
              <w:rPr>
                <w:sz w:val="1"/>
                <w:szCs w:val="1"/>
                <w:color w:val="auto"/>
              </w:rPr>
            </w:pPr>
          </w:p>
        </w:tc>
      </w:tr>
      <w:tr>
        <w:trPr>
          <w:trHeight w:val="216"/>
        </w:trPr>
        <w:tc>
          <w:tcPr>
            <w:tcW w:w="3200" w:type="dxa"/>
            <w:vAlign w:val="bottom"/>
          </w:tcPr>
          <w:p>
            <w:pPr>
              <w:ind w:left="660"/>
              <w:spacing w:after="0"/>
              <w:rPr>
                <w:sz w:val="20"/>
                <w:szCs w:val="20"/>
                <w:color w:val="auto"/>
              </w:rPr>
            </w:pPr>
            <w:r>
              <w:rPr>
                <w:rFonts w:ascii="Arial" w:cs="Arial" w:eastAsia="Arial" w:hAnsi="Arial"/>
                <w:sz w:val="18"/>
                <w:szCs w:val="18"/>
                <w:color w:val="auto"/>
              </w:rPr>
              <w:t>Repairs and maintenance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1,663</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3,576</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2,270</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9,070</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Drydocking</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910</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6"/>
        </w:trPr>
        <w:tc>
          <w:tcPr>
            <w:tcW w:w="3200" w:type="dxa"/>
            <w:vAlign w:val="bottom"/>
          </w:tcPr>
          <w:p>
            <w:pPr>
              <w:ind w:left="660"/>
              <w:spacing w:after="0"/>
              <w:rPr>
                <w:sz w:val="20"/>
                <w:szCs w:val="20"/>
                <w:color w:val="auto"/>
              </w:rPr>
            </w:pPr>
            <w:r>
              <w:rPr>
                <w:rFonts w:ascii="Arial" w:cs="Arial" w:eastAsia="Arial" w:hAnsi="Arial"/>
                <w:sz w:val="18"/>
                <w:szCs w:val="18"/>
                <w:color w:val="auto"/>
              </w:rPr>
              <w:t>Insurance and loss reserves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Fuel, lubes and supplies</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16"/>
        </w:trPr>
        <w:tc>
          <w:tcPr>
            <w:tcW w:w="3200" w:type="dxa"/>
            <w:vAlign w:val="bottom"/>
          </w:tcPr>
          <w:p>
            <w:pPr>
              <w:ind w:left="6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1,402</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836</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9,437</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9,836</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15,533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45,980</w:t>
            </w:r>
          </w:p>
        </w:tc>
        <w:tc>
          <w:tcPr>
            <w:tcW w:w="0" w:type="dxa"/>
            <w:vAlign w:val="bottom"/>
          </w:tcPr>
          <w:p>
            <w:pPr>
              <w:spacing w:after="0"/>
              <w:rPr>
                <w:sz w:val="1"/>
                <w:szCs w:val="1"/>
                <w:color w:val="auto"/>
              </w:rPr>
            </w:pPr>
          </w:p>
        </w:tc>
      </w:tr>
      <w:tr>
        <w:trPr>
          <w:trHeight w:val="20"/>
        </w:trPr>
        <w:tc>
          <w:tcPr>
            <w:tcW w:w="3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1,822</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2,963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4,289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3,612</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14,721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tcBorders>
          </w:tcPr>
          <w:p>
            <w:pPr>
              <w:ind w:left="660"/>
              <w:spacing w:after="0" w:line="196" w:lineRule="exact"/>
              <w:rPr>
                <w:sz w:val="20"/>
                <w:szCs w:val="20"/>
                <w:color w:val="auto"/>
              </w:rPr>
            </w:pPr>
            <w:r>
              <w:rPr>
                <w:rFonts w:ascii="Arial" w:cs="Arial" w:eastAsia="Arial" w:hAnsi="Arial"/>
                <w:sz w:val="18"/>
                <w:szCs w:val="18"/>
                <w:color w:val="auto"/>
              </w:rPr>
              <w:t>Administrative and general</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jc w:val="right"/>
              <w:ind w:right="160"/>
              <w:spacing w:after="0" w:line="196" w:lineRule="exact"/>
              <w:rPr>
                <w:sz w:val="20"/>
                <w:szCs w:val="20"/>
                <w:color w:val="auto"/>
              </w:rPr>
            </w:pPr>
            <w:r>
              <w:rPr>
                <w:rFonts w:ascii="Arial" w:cs="Arial" w:eastAsia="Arial" w:hAnsi="Arial"/>
                <w:sz w:val="18"/>
                <w:szCs w:val="18"/>
                <w:color w:val="auto"/>
              </w:rPr>
              <w:t>15,532</w:t>
            </w:r>
          </w:p>
        </w:tc>
        <w:tc>
          <w:tcPr>
            <w:tcW w:w="0" w:type="dxa"/>
            <w:vAlign w:val="bottom"/>
          </w:tcPr>
          <w:p>
            <w:pPr>
              <w:spacing w:after="0"/>
              <w:rPr>
                <w:sz w:val="1"/>
                <w:szCs w:val="1"/>
                <w:color w:val="auto"/>
              </w:rPr>
            </w:pPr>
          </w:p>
        </w:tc>
      </w:tr>
      <w:tr>
        <w:trPr>
          <w:trHeight w:val="25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2,976</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18,406</w:t>
            </w: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36,778</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0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Gains on Asset Dispositions and</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60" w:type="dxa"/>
            <w:vAlign w:val="bottom"/>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Impairments</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(21,002)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6"/>
              </w:rPr>
              <w:t>Brazil,</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United States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Mexico,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(primarily</w:t>
            </w:r>
          </w:p>
        </w:tc>
        <w:tc>
          <w:tcPr>
            <w:tcW w:w="12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Africa</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Central and</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Europe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Gulf of</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Middle East</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South</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Mexico)</w:t>
            </w:r>
          </w:p>
        </w:tc>
        <w:tc>
          <w:tcPr>
            <w:tcW w:w="14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West Africa)</w:t>
            </w:r>
          </w:p>
        </w:tc>
        <w:tc>
          <w:tcPr>
            <w:tcW w:w="1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and Asia</w:t>
            </w:r>
          </w:p>
        </w:tc>
        <w:tc>
          <w:tcPr>
            <w:tcW w:w="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North Sea)</w:t>
            </w:r>
          </w:p>
        </w:tc>
        <w:tc>
          <w:tcPr>
            <w:tcW w:w="22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200" w:type="dxa"/>
            <w:vAlign w:val="bottom"/>
            <w:tcBorders>
              <w:right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For the Six Months Ended June 30,</w:t>
            </w: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Time Charter Statistics: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7,174</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Fleet Utilization</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Fleet Available Days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25,129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21,916</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36,123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103,968</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Bareboat charter</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marine services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0"/>
        </w:trPr>
        <w:tc>
          <w:tcPr>
            <w:tcW w:w="3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18,365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23,553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24,043</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37,277</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112,422</w:t>
            </w:r>
          </w:p>
        </w:tc>
        <w:tc>
          <w:tcPr>
            <w:tcW w:w="0" w:type="dxa"/>
            <w:vAlign w:val="bottom"/>
          </w:tcPr>
          <w:p>
            <w:pPr>
              <w:spacing w:after="0"/>
              <w:rPr>
                <w:sz w:val="1"/>
                <w:szCs w:val="1"/>
                <w:color w:val="auto"/>
              </w:rPr>
            </w:pPr>
          </w:p>
        </w:tc>
      </w:tr>
      <w:tr>
        <w:trPr>
          <w:trHeight w:val="210"/>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8,091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19,708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46,409</w:t>
            </w:r>
          </w:p>
        </w:tc>
        <w:tc>
          <w:tcPr>
            <w:tcW w:w="0" w:type="dxa"/>
            <w:vAlign w:val="bottom"/>
          </w:tcPr>
          <w:p>
            <w:pPr>
              <w:spacing w:after="0"/>
              <w:rPr>
                <w:sz w:val="1"/>
                <w:szCs w:val="1"/>
                <w:color w:val="auto"/>
              </w:rPr>
            </w:pPr>
          </w:p>
        </w:tc>
      </w:tr>
      <w:tr>
        <w:trPr>
          <w:trHeight w:val="216"/>
        </w:trPr>
        <w:tc>
          <w:tcPr>
            <w:tcW w:w="3200" w:type="dxa"/>
            <w:vAlign w:val="bottom"/>
          </w:tcPr>
          <w:p>
            <w:pPr>
              <w:ind w:left="660"/>
              <w:spacing w:after="0"/>
              <w:rPr>
                <w:sz w:val="20"/>
                <w:szCs w:val="20"/>
                <w:color w:val="auto"/>
              </w:rPr>
            </w:pPr>
            <w:r>
              <w:rPr>
                <w:rFonts w:ascii="Arial" w:cs="Arial" w:eastAsia="Arial" w:hAnsi="Arial"/>
                <w:sz w:val="18"/>
                <w:szCs w:val="18"/>
                <w:color w:val="auto"/>
              </w:rPr>
              <w:t>Repairs and maintenance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6,004</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4,560</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16,143</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Drydocking</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16"/>
        </w:trPr>
        <w:tc>
          <w:tcPr>
            <w:tcW w:w="3200" w:type="dxa"/>
            <w:vAlign w:val="bottom"/>
          </w:tcPr>
          <w:p>
            <w:pPr>
              <w:ind w:left="660"/>
              <w:spacing w:after="0"/>
              <w:rPr>
                <w:sz w:val="20"/>
                <w:szCs w:val="20"/>
                <w:color w:val="auto"/>
              </w:rPr>
            </w:pPr>
            <w:r>
              <w:rPr>
                <w:rFonts w:ascii="Arial" w:cs="Arial" w:eastAsia="Arial" w:hAnsi="Arial"/>
                <w:sz w:val="18"/>
                <w:szCs w:val="18"/>
                <w:color w:val="auto"/>
              </w:rPr>
              <w:t>Insurance and loss reserves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Fuel, lubes and supplies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7,667</w:t>
            </w:r>
          </w:p>
        </w:tc>
        <w:tc>
          <w:tcPr>
            <w:tcW w:w="0" w:type="dxa"/>
            <w:vAlign w:val="bottom"/>
          </w:tcPr>
          <w:p>
            <w:pPr>
              <w:spacing w:after="0"/>
              <w:rPr>
                <w:sz w:val="1"/>
                <w:szCs w:val="1"/>
                <w:color w:val="auto"/>
              </w:rPr>
            </w:pPr>
          </w:p>
        </w:tc>
      </w:tr>
      <w:tr>
        <w:trPr>
          <w:trHeight w:val="216"/>
        </w:trPr>
        <w:tc>
          <w:tcPr>
            <w:tcW w:w="3200" w:type="dxa"/>
            <w:vAlign w:val="bottom"/>
          </w:tcPr>
          <w:p>
            <w:pPr>
              <w:ind w:left="6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2,044</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0"/>
        </w:trPr>
        <w:tc>
          <w:tcPr>
            <w:tcW w:w="3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15,069</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16,791</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18,753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30,574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84,328</w:t>
            </w:r>
          </w:p>
        </w:tc>
        <w:tc>
          <w:tcPr>
            <w:tcW w:w="0" w:type="dxa"/>
            <w:vAlign w:val="bottom"/>
          </w:tcPr>
          <w:p>
            <w:pPr>
              <w:spacing w:after="0"/>
              <w:rPr>
                <w:sz w:val="1"/>
                <w:szCs w:val="1"/>
                <w:color w:val="auto"/>
              </w:rPr>
            </w:pPr>
          </w:p>
        </w:tc>
      </w:tr>
      <w:tr>
        <w:trPr>
          <w:trHeight w:val="20"/>
        </w:trPr>
        <w:tc>
          <w:tcPr>
            <w:tcW w:w="3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3,296</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6,762</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5,290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6,043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6,703</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28,094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2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tcBorders>
          </w:tcPr>
          <w:p>
            <w:pPr>
              <w:ind w:left="340"/>
              <w:spacing w:after="0" w:line="196" w:lineRule="exact"/>
              <w:rPr>
                <w:sz w:val="20"/>
                <w:szCs w:val="20"/>
                <w:color w:val="auto"/>
              </w:rPr>
            </w:pPr>
            <w:r>
              <w:rPr>
                <w:rFonts w:ascii="Arial" w:cs="Arial" w:eastAsia="Arial" w:hAnsi="Arial"/>
                <w:sz w:val="18"/>
                <w:szCs w:val="18"/>
                <w:color w:val="auto"/>
              </w:rPr>
              <w:t>Administrative and general</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jc w:val="right"/>
              <w:ind w:right="160"/>
              <w:spacing w:after="0" w:line="196" w:lineRule="exact"/>
              <w:rPr>
                <w:sz w:val="20"/>
                <w:szCs w:val="20"/>
                <w:color w:val="auto"/>
              </w:rPr>
            </w:pPr>
            <w:r>
              <w:rPr>
                <w:rFonts w:ascii="Arial" w:cs="Arial" w:eastAsia="Arial" w:hAnsi="Arial"/>
                <w:sz w:val="18"/>
                <w:szCs w:val="18"/>
                <w:color w:val="auto"/>
              </w:rPr>
              <w:t>28,339</w:t>
            </w:r>
          </w:p>
        </w:tc>
        <w:tc>
          <w:tcPr>
            <w:tcW w:w="0" w:type="dxa"/>
            <w:vAlign w:val="bottom"/>
          </w:tcPr>
          <w:p>
            <w:pPr>
              <w:spacing w:after="0"/>
              <w:rPr>
                <w:sz w:val="1"/>
                <w:szCs w:val="1"/>
                <w:color w:val="auto"/>
              </w:rPr>
            </w:pPr>
          </w:p>
        </w:tc>
      </w:tr>
      <w:tr>
        <w:trPr>
          <w:trHeight w:val="25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2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5,837</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37,918</w:t>
            </w: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71,922</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0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Losses on Asset Dispositions and</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7"/>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118" w:right="2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As of June 30, 2018</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Historical cost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439,026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184,037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317,536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165,145</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182,111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1,287,855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depreciation</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(58,078)</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(137,135)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213,910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126,128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231,297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107,067</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44,975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723,378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line="32"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Brazil,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United States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Mexico,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(primarily</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Africa</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Central and</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Europe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Gulf of</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Middle East</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South</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Mexico)</w:t>
            </w: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West Africa)</w:t>
            </w:r>
          </w:p>
        </w:tc>
        <w:tc>
          <w:tcPr>
            <w:tcW w:w="14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and Asia</w:t>
            </w:r>
          </w:p>
        </w:tc>
        <w:tc>
          <w:tcPr>
            <w:tcW w:w="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North Sea)</w:t>
            </w:r>
          </w:p>
        </w:tc>
        <w:tc>
          <w:tcPr>
            <w:tcW w:w="22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200" w:type="dxa"/>
            <w:vAlign w:val="bottom"/>
            <w:tcBorders>
              <w:right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8"/>
              </w:rPr>
              <w:t>For the Three Months Ended June 30,</w:t>
            </w: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Time Charter Statistics: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5,649</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Fleet Utilization</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Fleet Available Days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1,123</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12,363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18,713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38,803</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Bareboat charter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marine services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0"/>
        </w:trPr>
        <w:tc>
          <w:tcPr>
            <w:tcW w:w="3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6,087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8,001</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7,524</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19,393</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42,323</w:t>
            </w:r>
          </w:p>
        </w:tc>
        <w:tc>
          <w:tcPr>
            <w:tcW w:w="0" w:type="dxa"/>
            <w:vAlign w:val="bottom"/>
          </w:tcPr>
          <w:p>
            <w:pPr>
              <w:spacing w:after="0"/>
              <w:rPr>
                <w:sz w:val="1"/>
                <w:szCs w:val="1"/>
                <w:color w:val="auto"/>
              </w:rPr>
            </w:pPr>
          </w:p>
        </w:tc>
      </w:tr>
      <w:tr>
        <w:trPr>
          <w:trHeight w:val="210"/>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3,428</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8,671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20,577</w:t>
            </w:r>
          </w:p>
        </w:tc>
        <w:tc>
          <w:tcPr>
            <w:tcW w:w="0" w:type="dxa"/>
            <w:vAlign w:val="bottom"/>
          </w:tcPr>
          <w:p>
            <w:pPr>
              <w:spacing w:after="0"/>
              <w:rPr>
                <w:sz w:val="1"/>
                <w:szCs w:val="1"/>
                <w:color w:val="auto"/>
              </w:rPr>
            </w:pPr>
          </w:p>
        </w:tc>
      </w:tr>
      <w:tr>
        <w:trPr>
          <w:trHeight w:val="216"/>
        </w:trPr>
        <w:tc>
          <w:tcPr>
            <w:tcW w:w="3200" w:type="dxa"/>
            <w:vAlign w:val="bottom"/>
          </w:tcPr>
          <w:p>
            <w:pPr>
              <w:ind w:left="660"/>
              <w:spacing w:after="0"/>
              <w:rPr>
                <w:sz w:val="20"/>
                <w:szCs w:val="20"/>
                <w:color w:val="auto"/>
              </w:rPr>
            </w:pPr>
            <w:r>
              <w:rPr>
                <w:rFonts w:ascii="Arial" w:cs="Arial" w:eastAsia="Arial" w:hAnsi="Arial"/>
                <w:sz w:val="18"/>
                <w:szCs w:val="18"/>
                <w:color w:val="auto"/>
              </w:rPr>
              <w:t>Repairs and maintenance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3,234</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3,947</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2,191</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Drydocking</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3200" w:type="dxa"/>
            <w:vAlign w:val="bottom"/>
          </w:tcPr>
          <w:p>
            <w:pPr>
              <w:ind w:left="660"/>
              <w:spacing w:after="0"/>
              <w:rPr>
                <w:sz w:val="20"/>
                <w:szCs w:val="20"/>
                <w:color w:val="auto"/>
              </w:rPr>
            </w:pPr>
            <w:r>
              <w:rPr>
                <w:rFonts w:ascii="Arial" w:cs="Arial" w:eastAsia="Arial" w:hAnsi="Arial"/>
                <w:sz w:val="18"/>
                <w:szCs w:val="18"/>
                <w:color w:val="auto"/>
              </w:rPr>
              <w:t>Insurance and loss reserves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Fuel, lubes and supplies</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16"/>
        </w:trPr>
        <w:tc>
          <w:tcPr>
            <w:tcW w:w="3200" w:type="dxa"/>
            <w:vAlign w:val="bottom"/>
          </w:tcPr>
          <w:p>
            <w:pPr>
              <w:ind w:left="6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871</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9,277</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10,774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13,212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40,792</w:t>
            </w:r>
          </w:p>
        </w:tc>
        <w:tc>
          <w:tcPr>
            <w:tcW w:w="0" w:type="dxa"/>
            <w:vAlign w:val="bottom"/>
          </w:tcPr>
          <w:p>
            <w:pPr>
              <w:spacing w:after="0"/>
              <w:rPr>
                <w:sz w:val="1"/>
                <w:szCs w:val="1"/>
                <w:color w:val="auto"/>
              </w:rPr>
            </w:pPr>
          </w:p>
        </w:tc>
      </w:tr>
      <w:tr>
        <w:trPr>
          <w:trHeight w:val="20"/>
        </w:trPr>
        <w:tc>
          <w:tcPr>
            <w:tcW w:w="3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b w:val="1"/>
                <w:bCs w:val="1"/>
                <w:color w:val="auto"/>
              </w:rPr>
              <w:t>Direct Vessel (Loss)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6,181</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tcBorders>
          </w:tcPr>
          <w:p>
            <w:pPr>
              <w:ind w:left="340"/>
              <w:spacing w:after="0" w:line="196" w:lineRule="exact"/>
              <w:rPr>
                <w:sz w:val="20"/>
                <w:szCs w:val="20"/>
                <w:color w:val="auto"/>
              </w:rPr>
            </w:pPr>
            <w:r>
              <w:rPr>
                <w:rFonts w:ascii="Arial" w:cs="Arial" w:eastAsia="Arial" w:hAnsi="Arial"/>
                <w:sz w:val="18"/>
                <w:szCs w:val="18"/>
                <w:color w:val="auto"/>
              </w:rPr>
              <w:t>Administrative and general</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jc w:val="right"/>
              <w:ind w:right="160"/>
              <w:spacing w:after="0" w:line="196" w:lineRule="exact"/>
              <w:rPr>
                <w:sz w:val="20"/>
                <w:szCs w:val="20"/>
                <w:color w:val="auto"/>
              </w:rPr>
            </w:pPr>
            <w:r>
              <w:rPr>
                <w:rFonts w:ascii="Arial" w:cs="Arial" w:eastAsia="Arial" w:hAnsi="Arial"/>
                <w:sz w:val="18"/>
                <w:szCs w:val="18"/>
                <w:color w:val="auto"/>
              </w:rPr>
              <w:t>21,705</w:t>
            </w:r>
          </w:p>
        </w:tc>
        <w:tc>
          <w:tcPr>
            <w:tcW w:w="0" w:type="dxa"/>
            <w:vAlign w:val="bottom"/>
          </w:tcPr>
          <w:p>
            <w:pPr>
              <w:spacing w:after="0"/>
              <w:rPr>
                <w:sz w:val="1"/>
                <w:szCs w:val="1"/>
                <w:color w:val="auto"/>
              </w:rPr>
            </w:pPr>
          </w:p>
        </w:tc>
      </w:tr>
      <w:tr>
        <w:trPr>
          <w:trHeight w:val="25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2,062</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14,633</w:t>
            </w: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40,028</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0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Losses on Asset Dispositions and</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17"/>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(44,815)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6"/>
              </w:rPr>
              <w:t>Brazil,</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United States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Mexico,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(primarily</w:t>
            </w:r>
          </w:p>
        </w:tc>
        <w:tc>
          <w:tcPr>
            <w:tcW w:w="12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Africa</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Central and</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Europe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Gulf of</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Middle East</w:t>
            </w: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South</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(primarily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Mexico)</w:t>
            </w:r>
          </w:p>
        </w:tc>
        <w:tc>
          <w:tcPr>
            <w:tcW w:w="14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West Africa)</w:t>
            </w:r>
          </w:p>
        </w:tc>
        <w:tc>
          <w:tcPr>
            <w:tcW w:w="1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and Asia</w:t>
            </w:r>
          </w:p>
        </w:tc>
        <w:tc>
          <w:tcPr>
            <w:tcW w:w="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North Sea)</w:t>
            </w:r>
          </w:p>
        </w:tc>
        <w:tc>
          <w:tcPr>
            <w:tcW w:w="22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200" w:type="dxa"/>
            <w:vAlign w:val="bottom"/>
            <w:tcBorders>
              <w:right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For the Six Months Ended June 30,</w:t>
            </w: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Time Charter Statistics: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Average Rates Per Day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Fleet Utilization</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Fleet Available Days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24,130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13,633</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34,778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69,533</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Bareboat charter</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marine services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0"/>
        </w:trPr>
        <w:tc>
          <w:tcPr>
            <w:tcW w:w="3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9,908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14,224</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35,919</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76,627</w:t>
            </w:r>
          </w:p>
        </w:tc>
        <w:tc>
          <w:tcPr>
            <w:tcW w:w="0" w:type="dxa"/>
            <w:vAlign w:val="bottom"/>
          </w:tcPr>
          <w:p>
            <w:pPr>
              <w:spacing w:after="0"/>
              <w:rPr>
                <w:sz w:val="1"/>
                <w:szCs w:val="1"/>
                <w:color w:val="auto"/>
              </w:rPr>
            </w:pPr>
          </w:p>
        </w:tc>
      </w:tr>
      <w:tr>
        <w:trPr>
          <w:trHeight w:val="210"/>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16,588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37,368</w:t>
            </w:r>
          </w:p>
        </w:tc>
        <w:tc>
          <w:tcPr>
            <w:tcW w:w="0" w:type="dxa"/>
            <w:vAlign w:val="bottom"/>
          </w:tcPr>
          <w:p>
            <w:pPr>
              <w:spacing w:after="0"/>
              <w:rPr>
                <w:sz w:val="1"/>
                <w:szCs w:val="1"/>
                <w:color w:val="auto"/>
              </w:rPr>
            </w:pPr>
          </w:p>
        </w:tc>
      </w:tr>
      <w:tr>
        <w:trPr>
          <w:trHeight w:val="216"/>
        </w:trPr>
        <w:tc>
          <w:tcPr>
            <w:tcW w:w="3200" w:type="dxa"/>
            <w:vAlign w:val="bottom"/>
          </w:tcPr>
          <w:p>
            <w:pPr>
              <w:ind w:left="660"/>
              <w:spacing w:after="0"/>
              <w:rPr>
                <w:sz w:val="20"/>
                <w:szCs w:val="20"/>
                <w:color w:val="auto"/>
              </w:rPr>
            </w:pPr>
            <w:r>
              <w:rPr>
                <w:rFonts w:ascii="Arial" w:cs="Arial" w:eastAsia="Arial" w:hAnsi="Arial"/>
                <w:sz w:val="18"/>
                <w:szCs w:val="18"/>
                <w:color w:val="auto"/>
              </w:rPr>
              <w:t>Repairs and maintenance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4,523</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3,925</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14,020</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Drydocking</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16"/>
        </w:trPr>
        <w:tc>
          <w:tcPr>
            <w:tcW w:w="3200" w:type="dxa"/>
            <w:vAlign w:val="bottom"/>
          </w:tcPr>
          <w:p>
            <w:pPr>
              <w:ind w:left="660"/>
              <w:spacing w:after="0"/>
              <w:rPr>
                <w:sz w:val="20"/>
                <w:szCs w:val="20"/>
                <w:color w:val="auto"/>
              </w:rPr>
            </w:pPr>
            <w:r>
              <w:rPr>
                <w:rFonts w:ascii="Arial" w:cs="Arial" w:eastAsia="Arial" w:hAnsi="Arial"/>
                <w:sz w:val="18"/>
                <w:szCs w:val="18"/>
                <w:color w:val="auto"/>
              </w:rPr>
              <w:t>Insurance and loss reserves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Fuel, lubes and supplies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5,532</w:t>
            </w:r>
          </w:p>
        </w:tc>
        <w:tc>
          <w:tcPr>
            <w:tcW w:w="0" w:type="dxa"/>
            <w:vAlign w:val="bottom"/>
          </w:tcPr>
          <w:p>
            <w:pPr>
              <w:spacing w:after="0"/>
              <w:rPr>
                <w:sz w:val="1"/>
                <w:szCs w:val="1"/>
                <w:color w:val="auto"/>
              </w:rPr>
            </w:pPr>
          </w:p>
        </w:tc>
      </w:tr>
      <w:tr>
        <w:trPr>
          <w:trHeight w:val="216"/>
        </w:trPr>
        <w:tc>
          <w:tcPr>
            <w:tcW w:w="3200" w:type="dxa"/>
            <w:vAlign w:val="bottom"/>
          </w:tcPr>
          <w:p>
            <w:pPr>
              <w:ind w:left="6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2,526</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0"/>
        </w:trPr>
        <w:tc>
          <w:tcPr>
            <w:tcW w:w="3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14,873</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16,966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25,560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70,580</w:t>
            </w:r>
          </w:p>
        </w:tc>
        <w:tc>
          <w:tcPr>
            <w:tcW w:w="0" w:type="dxa"/>
            <w:vAlign w:val="bottom"/>
          </w:tcPr>
          <w:p>
            <w:pPr>
              <w:spacing w:after="0"/>
              <w:rPr>
                <w:sz w:val="1"/>
                <w:szCs w:val="1"/>
                <w:color w:val="auto"/>
              </w:rPr>
            </w:pPr>
          </w:p>
        </w:tc>
      </w:tr>
      <w:tr>
        <w:trPr>
          <w:trHeight w:val="20"/>
        </w:trPr>
        <w:tc>
          <w:tcPr>
            <w:tcW w:w="3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b w:val="1"/>
                <w:bCs w:val="1"/>
                <w:color w:val="auto"/>
              </w:rPr>
              <w:t>Direct Vessel (Loss)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2,213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10,359</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6,047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00" w:type="dxa"/>
            <w:vAlign w:val="bottom"/>
            <w:tcBorders>
              <w:right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2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7,281</w:t>
            </w: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tcBorders>
          </w:tcPr>
          <w:p>
            <w:pPr>
              <w:ind w:left="340"/>
              <w:spacing w:after="0" w:line="196" w:lineRule="exact"/>
              <w:rPr>
                <w:sz w:val="20"/>
                <w:szCs w:val="20"/>
                <w:color w:val="auto"/>
              </w:rPr>
            </w:pPr>
            <w:r>
              <w:rPr>
                <w:rFonts w:ascii="Arial" w:cs="Arial" w:eastAsia="Arial" w:hAnsi="Arial"/>
                <w:sz w:val="18"/>
                <w:szCs w:val="18"/>
                <w:color w:val="auto"/>
              </w:rPr>
              <w:t>Administrative and general</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jc w:val="right"/>
              <w:ind w:right="160"/>
              <w:spacing w:after="0" w:line="196" w:lineRule="exact"/>
              <w:rPr>
                <w:sz w:val="20"/>
                <w:szCs w:val="20"/>
                <w:color w:val="auto"/>
              </w:rPr>
            </w:pPr>
            <w:r>
              <w:rPr>
                <w:rFonts w:ascii="Arial" w:cs="Arial" w:eastAsia="Arial" w:hAnsi="Arial"/>
                <w:sz w:val="18"/>
                <w:szCs w:val="18"/>
                <w:color w:val="auto"/>
              </w:rPr>
              <w:t>33,531</w:t>
            </w:r>
          </w:p>
        </w:tc>
        <w:tc>
          <w:tcPr>
            <w:tcW w:w="0" w:type="dxa"/>
            <w:vAlign w:val="bottom"/>
          </w:tcPr>
          <w:p>
            <w:pPr>
              <w:spacing w:after="0"/>
              <w:rPr>
                <w:sz w:val="1"/>
                <w:szCs w:val="1"/>
                <w:color w:val="auto"/>
              </w:rPr>
            </w:pPr>
          </w:p>
        </w:tc>
      </w:tr>
      <w:tr>
        <w:trPr>
          <w:trHeight w:val="256"/>
        </w:trPr>
        <w:tc>
          <w:tcPr>
            <w:tcW w:w="3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11,349</w:t>
            </w: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2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4,183</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27,136</w:t>
            </w: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67,948</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0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Losses on Asset Dispositions and</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7"/>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(63,400)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118" w:right="23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Arial" w:cs="Arial" w:eastAsia="Arial" w:hAnsi="Arial"/>
                <w:sz w:val="18"/>
                <w:szCs w:val="18"/>
                <w:b w:val="1"/>
                <w:bCs w:val="1"/>
                <w:color w:val="auto"/>
              </w:rPr>
              <w:t>As of June 30, 2017</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180" w:type="dxa"/>
            <w:vAlign w:val="bottom"/>
          </w:tcPr>
          <w:p>
            <w:pPr>
              <w:ind w:left="340"/>
              <w:spacing w:after="0"/>
              <w:rPr>
                <w:sz w:val="20"/>
                <w:szCs w:val="20"/>
                <w:color w:val="auto"/>
              </w:rPr>
            </w:pPr>
            <w:r>
              <w:rPr>
                <w:rFonts w:ascii="Arial" w:cs="Arial" w:eastAsia="Arial" w:hAnsi="Arial"/>
                <w:sz w:val="18"/>
                <w:szCs w:val="18"/>
                <w:color w:val="auto"/>
              </w:rPr>
              <w:t>Historical cost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417,675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183,661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302,892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78,976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171,951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1,155,155</w:t>
            </w:r>
          </w:p>
        </w:tc>
      </w:tr>
      <w:tr>
        <w:trPr>
          <w:trHeight w:val="216"/>
        </w:trPr>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depreciation</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(41,565)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(125,319)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(543,822)</w:t>
            </w:r>
          </w:p>
        </w:tc>
      </w:tr>
      <w:tr>
        <w:trPr>
          <w:trHeight w:val="20"/>
        </w:trPr>
        <w:tc>
          <w:tcPr>
            <w:tcW w:w="3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183,917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124,361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219,012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37,411</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46,632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611,333</w:t>
            </w:r>
          </w:p>
        </w:tc>
      </w:tr>
      <w:tr>
        <w:trPr>
          <w:trHeight w:val="20"/>
        </w:trPr>
        <w:tc>
          <w:tcPr>
            <w:tcW w:w="3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3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For additional information, the following tables summarize the world-wide operating results and property and equipment for each of the Company’s vessel classes for the periods indicated (in thousands, except statistics):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Anchor</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handling</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Wind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towing</w:t>
            </w:r>
          </w:p>
        </w:tc>
        <w:tc>
          <w:tcPr>
            <w:tcW w:w="14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Fast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Standby</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farm</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supply</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support</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6"/>
              </w:rPr>
              <w:t>Supply</w:t>
            </w:r>
          </w:p>
        </w:tc>
        <w:tc>
          <w:tcPr>
            <w:tcW w:w="10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4"/>
              </w:rPr>
              <w:t>safety</w:t>
            </w: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Specialty</w:t>
            </w: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Liftboats</w:t>
            </w:r>
          </w:p>
        </w:tc>
        <w:tc>
          <w:tcPr>
            <w:tcW w:w="100" w:type="dxa"/>
            <w:vAlign w:val="bottom"/>
          </w:tcPr>
          <w:p>
            <w:pPr>
              <w:spacing w:after="0"/>
              <w:rPr>
                <w:sz w:val="20"/>
                <w:szCs w:val="20"/>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utility</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6"/>
              </w:rPr>
              <w:t>activity</w:t>
            </w:r>
          </w:p>
        </w:tc>
        <w:tc>
          <w:tcPr>
            <w:tcW w:w="10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For the Three Months Ended June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30, 2018</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Time Charter Statistics: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Average Rates Per Day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13,381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6,963</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9,157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19,225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320"/>
              <w:spacing w:after="0"/>
              <w:rPr>
                <w:sz w:val="20"/>
                <w:szCs w:val="20"/>
                <w:color w:val="auto"/>
              </w:rPr>
            </w:pPr>
            <w:r>
              <w:rPr>
                <w:rFonts w:ascii="Arial" w:cs="Arial" w:eastAsia="Arial" w:hAnsi="Arial"/>
                <w:sz w:val="18"/>
                <w:szCs w:val="18"/>
                <w:color w:val="auto"/>
              </w:rPr>
              <w:t>Fleet Utilization</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Fleet Available Days</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3,820</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16,488</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12,791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15,788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320"/>
              <w:spacing w:after="0"/>
              <w:rPr>
                <w:sz w:val="20"/>
                <w:szCs w:val="20"/>
                <w:color w:val="auto"/>
              </w:rPr>
            </w:pPr>
            <w:r>
              <w:rPr>
                <w:rFonts w:ascii="Arial" w:cs="Arial" w:eastAsia="Arial" w:hAnsi="Arial"/>
                <w:sz w:val="18"/>
                <w:szCs w:val="18"/>
                <w:color w:val="auto"/>
              </w:rPr>
              <w:t>Bareboat charter</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marine services</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2,621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15,983</w:t>
            </w: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12,830</w:t>
            </w:r>
          </w:p>
        </w:tc>
        <w:tc>
          <w:tcPr>
            <w:tcW w:w="2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17,357</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60,701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32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Personnel</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1,593</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5,258</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8,148</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4,671</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640"/>
              <w:spacing w:after="0"/>
              <w:rPr>
                <w:sz w:val="20"/>
                <w:szCs w:val="20"/>
                <w:color w:val="auto"/>
              </w:rPr>
            </w:pPr>
            <w:r>
              <w:rPr>
                <w:rFonts w:ascii="Arial" w:cs="Arial" w:eastAsia="Arial" w:hAnsi="Arial"/>
                <w:sz w:val="18"/>
                <w:szCs w:val="18"/>
                <w:color w:val="auto"/>
              </w:rPr>
              <w:t>Repairs and maintenance</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1,281</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3,406</w:t>
            </w: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1,464</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Drydocking</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945</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640"/>
              <w:spacing w:after="0"/>
              <w:rPr>
                <w:sz w:val="20"/>
                <w:szCs w:val="20"/>
                <w:color w:val="auto"/>
              </w:rPr>
            </w:pPr>
            <w:r>
              <w:rPr>
                <w:rFonts w:ascii="Arial" w:cs="Arial" w:eastAsia="Arial" w:hAnsi="Arial"/>
                <w:sz w:val="18"/>
                <w:szCs w:val="18"/>
                <w:color w:val="auto"/>
              </w:rPr>
              <w:t>Insurance and loss reserves</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Fuel, lubes and supplies</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1,015</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6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1,466</w:t>
            </w: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11,574</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4,342</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11,366</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9,444</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3,768</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Direct Vessel (Loss) Profit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4,409</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1,464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7,913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2,693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32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Leased-in equipment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tcBorders>
              <w:top w:val="single" w:sz="8" w:color="CCEEFF"/>
            </w:tcBorders>
          </w:tcPr>
          <w:p>
            <w:pPr>
              <w:ind w:left="320"/>
              <w:spacing w:after="0" w:line="196" w:lineRule="exact"/>
              <w:rPr>
                <w:sz w:val="20"/>
                <w:szCs w:val="20"/>
                <w:color w:val="auto"/>
              </w:rPr>
            </w:pPr>
            <w:r>
              <w:rPr>
                <w:rFonts w:ascii="Arial" w:cs="Arial" w:eastAsia="Arial" w:hAnsi="Arial"/>
                <w:sz w:val="18"/>
                <w:szCs w:val="18"/>
                <w:color w:val="auto"/>
              </w:rPr>
              <w:t>Administrative and general</w:t>
            </w: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gridSpan w:val="2"/>
          </w:tcPr>
          <w:p>
            <w:pPr>
              <w:jc w:val="right"/>
              <w:ind w:right="160"/>
              <w:spacing w:after="0" w:line="196" w:lineRule="exact"/>
              <w:rPr>
                <w:sz w:val="20"/>
                <w:szCs w:val="20"/>
                <w:color w:val="auto"/>
              </w:rPr>
            </w:pPr>
            <w:r>
              <w:rPr>
                <w:rFonts w:ascii="Arial" w:cs="Arial" w:eastAsia="Arial" w:hAnsi="Arial"/>
                <w:sz w:val="18"/>
                <w:szCs w:val="18"/>
                <w:color w:val="auto"/>
              </w:rPr>
              <w:t>15,532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6,585</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18,406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36,778</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Gains on Asset Dispositions and</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60" w:type="dxa"/>
            <w:vAlign w:val="bottom"/>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Impairments</w:t>
            </w: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Anchor</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handling</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Wind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towing</w:t>
            </w: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Fast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Standby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farm</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supply</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support</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Supply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4"/>
              </w:rPr>
              <w:t>safety</w:t>
            </w: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Specialty</w:t>
            </w: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Liftboats</w:t>
            </w:r>
          </w:p>
        </w:tc>
        <w:tc>
          <w:tcPr>
            <w:tcW w:w="100" w:type="dxa"/>
            <w:vAlign w:val="bottom"/>
          </w:tcPr>
          <w:p>
            <w:pPr>
              <w:spacing w:after="0"/>
              <w:rPr>
                <w:sz w:val="20"/>
                <w:szCs w:val="20"/>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utility</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9"/>
              </w:rPr>
              <w:t>activity</w:t>
            </w:r>
          </w:p>
        </w:tc>
        <w:tc>
          <w:tcPr>
            <w:tcW w:w="10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For the Six Months Ended June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30, 2018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Time Charter Statistics: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Average Rates Per Day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9,107</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320"/>
              <w:spacing w:after="0"/>
              <w:rPr>
                <w:sz w:val="20"/>
                <w:szCs w:val="20"/>
                <w:color w:val="auto"/>
              </w:rPr>
            </w:pPr>
            <w:r>
              <w:rPr>
                <w:rFonts w:ascii="Arial" w:cs="Arial" w:eastAsia="Arial" w:hAnsi="Arial"/>
                <w:sz w:val="18"/>
                <w:szCs w:val="18"/>
                <w:color w:val="auto"/>
              </w:rPr>
              <w:t>Fleet Utilization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Fleet Available Days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3,570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Operating Revenues: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320"/>
              <w:spacing w:after="0"/>
              <w:rPr>
                <w:sz w:val="20"/>
                <w:szCs w:val="20"/>
                <w:color w:val="auto"/>
              </w:rPr>
            </w:pPr>
            <w:r>
              <w:rPr>
                <w:rFonts w:ascii="Arial" w:cs="Arial" w:eastAsia="Arial" w:hAnsi="Arial"/>
                <w:sz w:val="18"/>
                <w:szCs w:val="18"/>
                <w:color w:val="auto"/>
              </w:rPr>
              <w:t>Bareboat charter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marine services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26,239</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11,639</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112,422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Direct Costs and Expenses:</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Operating: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Personnel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10,014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8,132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640"/>
              <w:spacing w:after="0"/>
              <w:rPr>
                <w:sz w:val="20"/>
                <w:szCs w:val="20"/>
                <w:color w:val="auto"/>
              </w:rPr>
            </w:pPr>
            <w:r>
              <w:rPr>
                <w:rFonts w:ascii="Arial" w:cs="Arial" w:eastAsia="Arial" w:hAnsi="Arial"/>
                <w:sz w:val="18"/>
                <w:szCs w:val="18"/>
                <w:color w:val="auto"/>
                <w:w w:val="99"/>
              </w:rPr>
              <w:t>Repairs and maintenance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Drydocking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640"/>
              <w:spacing w:after="0"/>
              <w:rPr>
                <w:sz w:val="20"/>
                <w:szCs w:val="20"/>
                <w:color w:val="auto"/>
              </w:rPr>
            </w:pPr>
            <w:r>
              <w:rPr>
                <w:rFonts w:ascii="Arial" w:cs="Arial" w:eastAsia="Arial" w:hAnsi="Arial"/>
                <w:sz w:val="18"/>
                <w:szCs w:val="18"/>
                <w:color w:val="auto"/>
                <w:w w:val="90"/>
              </w:rPr>
              <w:t>Insurance and loss reserves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Fuel, lubes and supplies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6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22,889</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15,826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Direct Vessel Profit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9,310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3,032</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10,413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4,481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320"/>
              <w:spacing w:after="0"/>
              <w:rPr>
                <w:sz w:val="20"/>
                <w:szCs w:val="20"/>
                <w:color w:val="auto"/>
              </w:rPr>
            </w:pPr>
            <w:r>
              <w:rPr>
                <w:rFonts w:ascii="Arial" w:cs="Arial" w:eastAsia="Arial" w:hAnsi="Arial"/>
                <w:sz w:val="18"/>
                <w:szCs w:val="18"/>
                <w:color w:val="auto"/>
              </w:rPr>
              <w:t>Operating: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Leased-in equipment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00" w:type="dxa"/>
            <w:vAlign w:val="bottom"/>
            <w:tcBorders>
              <w:top w:val="single" w:sz="8" w:color="CCEEFF"/>
            </w:tcBorders>
          </w:tcPr>
          <w:p>
            <w:pPr>
              <w:ind w:left="320"/>
              <w:spacing w:after="0" w:line="196" w:lineRule="exact"/>
              <w:rPr>
                <w:sz w:val="20"/>
                <w:szCs w:val="20"/>
                <w:color w:val="auto"/>
              </w:rPr>
            </w:pPr>
            <w:r>
              <w:rPr>
                <w:rFonts w:ascii="Arial" w:cs="Arial" w:eastAsia="Arial" w:hAnsi="Arial"/>
                <w:sz w:val="18"/>
                <w:szCs w:val="18"/>
                <w:color w:val="auto"/>
              </w:rPr>
              <w:t>Administrative and general</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gridSpan w:val="2"/>
          </w:tcPr>
          <w:p>
            <w:pPr>
              <w:jc w:val="right"/>
              <w:ind w:right="160"/>
              <w:spacing w:after="0" w:line="196" w:lineRule="exact"/>
              <w:rPr>
                <w:sz w:val="20"/>
                <w:szCs w:val="20"/>
                <w:color w:val="auto"/>
              </w:rPr>
            </w:pPr>
            <w:r>
              <w:rPr>
                <w:rFonts w:ascii="Arial" w:cs="Arial" w:eastAsia="Arial" w:hAnsi="Arial"/>
                <w:sz w:val="18"/>
                <w:szCs w:val="18"/>
                <w:color w:val="auto"/>
              </w:rPr>
              <w:t>28,339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Depreciation and amortization</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13,170</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71,922</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Losses on Asset Dispositions and</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As of June 30, 2018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320"/>
              <w:spacing w:after="0"/>
              <w:rPr>
                <w:sz w:val="20"/>
                <w:szCs w:val="20"/>
                <w:color w:val="auto"/>
              </w:rPr>
            </w:pPr>
            <w:r>
              <w:rPr>
                <w:rFonts w:ascii="Arial" w:cs="Arial" w:eastAsia="Arial" w:hAnsi="Arial"/>
                <w:sz w:val="18"/>
                <w:szCs w:val="18"/>
                <w:color w:val="auto"/>
              </w:rPr>
              <w:t>Historical cost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188,507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420,776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95,088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112,869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30,529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337,239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71,575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31,272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1,287,855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depreciation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(168,841)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(99,020)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(45,759)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(93,736)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(19,869)</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(65,900)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(44,483)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(26,869)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19,666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321,756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49,329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19,133</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10,660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271,339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27,092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4,402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723,378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79"/>
              </w:rPr>
              <w:t>25</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Anchor</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handling</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Wind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towing</w:t>
            </w:r>
          </w:p>
        </w:tc>
        <w:tc>
          <w:tcPr>
            <w:tcW w:w="14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Fast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Standby</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farm</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supply</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support</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6"/>
              </w:rPr>
              <w:t>Supply</w:t>
            </w:r>
          </w:p>
        </w:tc>
        <w:tc>
          <w:tcPr>
            <w:tcW w:w="10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4"/>
              </w:rPr>
              <w:t>safety</w:t>
            </w: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Specialty</w:t>
            </w: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Liftboats</w:t>
            </w:r>
          </w:p>
        </w:tc>
        <w:tc>
          <w:tcPr>
            <w:tcW w:w="100" w:type="dxa"/>
            <w:vAlign w:val="bottom"/>
          </w:tcPr>
          <w:p>
            <w:pPr>
              <w:spacing w:after="0"/>
              <w:rPr>
                <w:sz w:val="20"/>
                <w:szCs w:val="20"/>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utility</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6"/>
              </w:rPr>
              <w:t>activity</w:t>
            </w:r>
          </w:p>
        </w:tc>
        <w:tc>
          <w:tcPr>
            <w:tcW w:w="10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00" w:type="dxa"/>
            <w:vAlign w:val="bottom"/>
            <w:gridSpan w:val="2"/>
            <w:shd w:val="clear" w:color="auto" w:fill="CCECFF"/>
          </w:tcPr>
          <w:p>
            <w:pPr>
              <w:spacing w:after="0" w:line="198" w:lineRule="exact"/>
              <w:rPr>
                <w:sz w:val="20"/>
                <w:szCs w:val="20"/>
                <w:color w:val="auto"/>
              </w:rPr>
            </w:pPr>
            <w:r>
              <w:rPr>
                <w:rFonts w:ascii="Arial" w:cs="Arial" w:eastAsia="Arial" w:hAnsi="Arial"/>
                <w:sz w:val="18"/>
                <w:szCs w:val="18"/>
                <w:b w:val="1"/>
                <w:bCs w:val="1"/>
                <w:color w:val="auto"/>
              </w:rPr>
              <w:t>For the Three Months Ended June</w:t>
            </w:r>
          </w:p>
        </w:tc>
        <w:tc>
          <w:tcPr>
            <w:tcW w:w="140" w:type="dxa"/>
            <w:vAlign w:val="bottom"/>
            <w:shd w:val="clear" w:color="auto" w:fill="CCECFF"/>
          </w:tcPr>
          <w:p>
            <w:pPr>
              <w:spacing w:after="0"/>
              <w:rPr>
                <w:sz w:val="17"/>
                <w:szCs w:val="17"/>
                <w:color w:val="auto"/>
              </w:rPr>
            </w:pPr>
          </w:p>
        </w:tc>
        <w:tc>
          <w:tcPr>
            <w:tcW w:w="540" w:type="dxa"/>
            <w:vAlign w:val="bottom"/>
            <w:shd w:val="clear" w:color="auto" w:fill="CCECFF"/>
          </w:tcPr>
          <w:p>
            <w:pPr>
              <w:spacing w:after="0"/>
              <w:rPr>
                <w:sz w:val="17"/>
                <w:szCs w:val="17"/>
                <w:color w:val="auto"/>
              </w:rPr>
            </w:pPr>
          </w:p>
        </w:tc>
        <w:tc>
          <w:tcPr>
            <w:tcW w:w="260" w:type="dxa"/>
            <w:vAlign w:val="bottom"/>
            <w:tcBorders>
              <w:right w:val="single" w:sz="8" w:color="CCECFF"/>
            </w:tcBorders>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540" w:type="dxa"/>
            <w:vAlign w:val="bottom"/>
            <w:shd w:val="clear" w:color="auto" w:fill="CCECFF"/>
          </w:tcPr>
          <w:p>
            <w:pPr>
              <w:spacing w:after="0"/>
              <w:rPr>
                <w:sz w:val="17"/>
                <w:szCs w:val="17"/>
                <w:color w:val="auto"/>
              </w:rPr>
            </w:pPr>
          </w:p>
        </w:tc>
        <w:tc>
          <w:tcPr>
            <w:tcW w:w="280" w:type="dxa"/>
            <w:vAlign w:val="bottom"/>
            <w:tcBorders>
              <w:right w:val="single" w:sz="8" w:color="CCECFF"/>
            </w:tcBorders>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500" w:type="dxa"/>
            <w:vAlign w:val="bottom"/>
            <w:shd w:val="clear" w:color="auto" w:fill="CCECFF"/>
          </w:tcPr>
          <w:p>
            <w:pPr>
              <w:spacing w:after="0"/>
              <w:rPr>
                <w:sz w:val="17"/>
                <w:szCs w:val="17"/>
                <w:color w:val="auto"/>
              </w:rPr>
            </w:pPr>
          </w:p>
        </w:tc>
        <w:tc>
          <w:tcPr>
            <w:tcW w:w="260" w:type="dxa"/>
            <w:vAlign w:val="bottom"/>
            <w:tcBorders>
              <w:right w:val="single" w:sz="8" w:color="CCECFF"/>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580" w:type="dxa"/>
            <w:vAlign w:val="bottom"/>
            <w:shd w:val="clear" w:color="auto" w:fill="CCECFF"/>
          </w:tcPr>
          <w:p>
            <w:pPr>
              <w:spacing w:after="0"/>
              <w:rPr>
                <w:sz w:val="17"/>
                <w:szCs w:val="17"/>
                <w:color w:val="auto"/>
              </w:rPr>
            </w:pPr>
          </w:p>
        </w:tc>
        <w:tc>
          <w:tcPr>
            <w:tcW w:w="260" w:type="dxa"/>
            <w:vAlign w:val="bottom"/>
            <w:tcBorders>
              <w:right w:val="single" w:sz="8" w:color="CCECFF"/>
            </w:tcBorders>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5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560" w:type="dxa"/>
            <w:vAlign w:val="bottom"/>
            <w:shd w:val="clear" w:color="auto" w:fill="CCECFF"/>
          </w:tcPr>
          <w:p>
            <w:pPr>
              <w:spacing w:after="0"/>
              <w:rPr>
                <w:sz w:val="17"/>
                <w:szCs w:val="17"/>
                <w:color w:val="auto"/>
              </w:rPr>
            </w:pPr>
          </w:p>
        </w:tc>
        <w:tc>
          <w:tcPr>
            <w:tcW w:w="260" w:type="dxa"/>
            <w:vAlign w:val="bottom"/>
            <w:tcBorders>
              <w:right w:val="single" w:sz="8" w:color="CCECFF"/>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560" w:type="dxa"/>
            <w:vAlign w:val="bottom"/>
            <w:shd w:val="clear" w:color="auto" w:fill="CCECFF"/>
          </w:tcPr>
          <w:p>
            <w:pPr>
              <w:spacing w:after="0"/>
              <w:rPr>
                <w:sz w:val="17"/>
                <w:szCs w:val="17"/>
                <w:color w:val="auto"/>
              </w:rPr>
            </w:pPr>
          </w:p>
        </w:tc>
        <w:tc>
          <w:tcPr>
            <w:tcW w:w="280" w:type="dxa"/>
            <w:vAlign w:val="bottom"/>
            <w:tcBorders>
              <w:right w:val="single" w:sz="8" w:color="CCECFF"/>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580" w:type="dxa"/>
            <w:vAlign w:val="bottom"/>
            <w:shd w:val="clear" w:color="auto" w:fill="CCECFF"/>
          </w:tcPr>
          <w:p>
            <w:pPr>
              <w:spacing w:after="0"/>
              <w:rPr>
                <w:sz w:val="17"/>
                <w:szCs w:val="17"/>
                <w:color w:val="auto"/>
              </w:rPr>
            </w:pPr>
          </w:p>
        </w:tc>
        <w:tc>
          <w:tcPr>
            <w:tcW w:w="260" w:type="dxa"/>
            <w:vAlign w:val="bottom"/>
            <w:tcBorders>
              <w:right w:val="single" w:sz="8" w:color="CCECFF"/>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58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shd w:val="clear" w:color="auto" w:fill="CCECFF"/>
          </w:tcPr>
          <w:p>
            <w:pPr>
              <w:spacing w:after="0"/>
              <w:rPr>
                <w:sz w:val="20"/>
                <w:szCs w:val="20"/>
                <w:color w:val="auto"/>
              </w:rPr>
            </w:pPr>
            <w:r>
              <w:rPr>
                <w:rFonts w:ascii="Arial" w:cs="Arial" w:eastAsia="Arial" w:hAnsi="Arial"/>
                <w:sz w:val="18"/>
                <w:szCs w:val="18"/>
                <w:b w:val="1"/>
                <w:bCs w:val="1"/>
                <w:color w:val="auto"/>
                <w:w w:val="88"/>
              </w:rPr>
              <w:t>30, 2017</w:t>
            </w:r>
          </w:p>
        </w:tc>
        <w:tc>
          <w:tcPr>
            <w:tcW w:w="23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40" w:type="dxa"/>
            <w:vAlign w:val="bottom"/>
            <w:shd w:val="clear" w:color="auto" w:fill="CCECFF"/>
          </w:tcPr>
          <w:p>
            <w:pPr>
              <w:spacing w:after="0"/>
              <w:rPr>
                <w:sz w:val="20"/>
                <w:szCs w:val="20"/>
                <w:color w:val="auto"/>
              </w:rPr>
            </w:pPr>
          </w:p>
        </w:tc>
        <w:tc>
          <w:tcPr>
            <w:tcW w:w="260" w:type="dxa"/>
            <w:vAlign w:val="bottom"/>
            <w:tcBorders>
              <w:right w:val="single" w:sz="8" w:color="CCECFF"/>
            </w:tcBorders>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40" w:type="dxa"/>
            <w:vAlign w:val="bottom"/>
            <w:shd w:val="clear" w:color="auto" w:fill="CCECFF"/>
          </w:tcPr>
          <w:p>
            <w:pPr>
              <w:spacing w:after="0"/>
              <w:rPr>
                <w:sz w:val="20"/>
                <w:szCs w:val="20"/>
                <w:color w:val="auto"/>
              </w:rPr>
            </w:pPr>
          </w:p>
        </w:tc>
        <w:tc>
          <w:tcPr>
            <w:tcW w:w="280" w:type="dxa"/>
            <w:vAlign w:val="bottom"/>
            <w:tcBorders>
              <w:right w:val="single" w:sz="8" w:color="CCECFF"/>
            </w:tcBorders>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500" w:type="dxa"/>
            <w:vAlign w:val="bottom"/>
            <w:shd w:val="clear" w:color="auto" w:fill="CCECFF"/>
          </w:tcPr>
          <w:p>
            <w:pPr>
              <w:spacing w:after="0"/>
              <w:rPr>
                <w:sz w:val="20"/>
                <w:szCs w:val="20"/>
                <w:color w:val="auto"/>
              </w:rPr>
            </w:pPr>
          </w:p>
        </w:tc>
        <w:tc>
          <w:tcPr>
            <w:tcW w:w="260" w:type="dxa"/>
            <w:vAlign w:val="bottom"/>
            <w:tcBorders>
              <w:right w:val="single" w:sz="8" w:color="CCECFF"/>
            </w:tcBorders>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580" w:type="dxa"/>
            <w:vAlign w:val="bottom"/>
            <w:shd w:val="clear" w:color="auto" w:fill="CCECFF"/>
          </w:tcPr>
          <w:p>
            <w:pPr>
              <w:spacing w:after="0"/>
              <w:rPr>
                <w:sz w:val="20"/>
                <w:szCs w:val="20"/>
                <w:color w:val="auto"/>
              </w:rPr>
            </w:pPr>
          </w:p>
        </w:tc>
        <w:tc>
          <w:tcPr>
            <w:tcW w:w="260" w:type="dxa"/>
            <w:vAlign w:val="bottom"/>
            <w:tcBorders>
              <w:right w:val="single" w:sz="8" w:color="CCECFF"/>
            </w:tcBorders>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6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60" w:type="dxa"/>
            <w:vAlign w:val="bottom"/>
            <w:shd w:val="clear" w:color="auto" w:fill="CCECFF"/>
          </w:tcPr>
          <w:p>
            <w:pPr>
              <w:spacing w:after="0"/>
              <w:rPr>
                <w:sz w:val="20"/>
                <w:szCs w:val="20"/>
                <w:color w:val="auto"/>
              </w:rPr>
            </w:pPr>
          </w:p>
        </w:tc>
        <w:tc>
          <w:tcPr>
            <w:tcW w:w="260" w:type="dxa"/>
            <w:vAlign w:val="bottom"/>
            <w:tcBorders>
              <w:right w:val="single" w:sz="8" w:color="CCECFF"/>
            </w:tcBorders>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560" w:type="dxa"/>
            <w:vAlign w:val="bottom"/>
            <w:shd w:val="clear" w:color="auto" w:fill="CCECFF"/>
          </w:tcPr>
          <w:p>
            <w:pPr>
              <w:spacing w:after="0"/>
              <w:rPr>
                <w:sz w:val="20"/>
                <w:szCs w:val="20"/>
                <w:color w:val="auto"/>
              </w:rPr>
            </w:pPr>
          </w:p>
        </w:tc>
        <w:tc>
          <w:tcPr>
            <w:tcW w:w="280" w:type="dxa"/>
            <w:vAlign w:val="bottom"/>
            <w:tcBorders>
              <w:right w:val="single" w:sz="8" w:color="CCECFF"/>
            </w:tcBorders>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580" w:type="dxa"/>
            <w:vAlign w:val="bottom"/>
            <w:shd w:val="clear" w:color="auto" w:fill="CCECFF"/>
          </w:tcPr>
          <w:p>
            <w:pPr>
              <w:spacing w:after="0"/>
              <w:rPr>
                <w:sz w:val="20"/>
                <w:szCs w:val="20"/>
                <w:color w:val="auto"/>
              </w:rPr>
            </w:pPr>
          </w:p>
        </w:tc>
        <w:tc>
          <w:tcPr>
            <w:tcW w:w="260" w:type="dxa"/>
            <w:vAlign w:val="bottom"/>
            <w:tcBorders>
              <w:right w:val="single" w:sz="8" w:color="CCECFF"/>
            </w:tcBorders>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58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Time Charter Statistics: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CFF"/>
          </w:tcPr>
          <w:p>
            <w:pPr>
              <w:ind w:left="320"/>
              <w:spacing w:after="0"/>
              <w:rPr>
                <w:sz w:val="20"/>
                <w:szCs w:val="20"/>
                <w:color w:val="auto"/>
              </w:rPr>
            </w:pPr>
            <w:r>
              <w:rPr>
                <w:rFonts w:ascii="Arial" w:cs="Arial" w:eastAsia="Arial" w:hAnsi="Arial"/>
                <w:sz w:val="18"/>
                <w:szCs w:val="18"/>
                <w:color w:val="auto"/>
              </w:rPr>
              <w:t>Average Rates Per Day</w:t>
            </w:r>
          </w:p>
        </w:tc>
        <w:tc>
          <w:tcPr>
            <w:tcW w:w="14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w w:val="94"/>
              </w:rPr>
              <w:t>10,774</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8,086</w:t>
            </w:r>
          </w:p>
        </w:tc>
        <w:tc>
          <w:tcPr>
            <w:tcW w:w="160" w:type="dxa"/>
            <w:vAlign w:val="bottom"/>
            <w:shd w:val="clear" w:color="auto" w:fill="CCEC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6,028</w:t>
            </w:r>
          </w:p>
        </w:tc>
        <w:tc>
          <w:tcPr>
            <w:tcW w:w="100" w:type="dxa"/>
            <w:vAlign w:val="bottom"/>
            <w:shd w:val="clear" w:color="auto" w:fill="CCEC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8,457</w:t>
            </w:r>
          </w:p>
        </w:tc>
        <w:tc>
          <w:tcPr>
            <w:tcW w:w="14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w w:val="98"/>
              </w:rPr>
              <w:t>12,000</w:t>
            </w:r>
          </w:p>
        </w:tc>
        <w:tc>
          <w:tcPr>
            <w:tcW w:w="14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w w:val="98"/>
              </w:rPr>
              <w:t>10,315</w:t>
            </w:r>
          </w:p>
        </w:tc>
        <w:tc>
          <w:tcPr>
            <w:tcW w:w="1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5,649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320"/>
              <w:spacing w:after="0"/>
              <w:rPr>
                <w:sz w:val="20"/>
                <w:szCs w:val="20"/>
                <w:color w:val="auto"/>
              </w:rPr>
            </w:pPr>
            <w:r>
              <w:rPr>
                <w:rFonts w:ascii="Arial" w:cs="Arial" w:eastAsia="Arial" w:hAnsi="Arial"/>
                <w:sz w:val="18"/>
                <w:szCs w:val="18"/>
                <w:color w:val="auto"/>
              </w:rPr>
              <w:t>Fleet Utilization</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CFF"/>
          </w:tcPr>
          <w:p>
            <w:pPr>
              <w:ind w:left="320"/>
              <w:spacing w:after="0"/>
              <w:rPr>
                <w:sz w:val="20"/>
                <w:szCs w:val="20"/>
                <w:color w:val="auto"/>
              </w:rPr>
            </w:pPr>
            <w:r>
              <w:rPr>
                <w:rFonts w:ascii="Arial" w:cs="Arial" w:eastAsia="Arial" w:hAnsi="Arial"/>
                <w:sz w:val="18"/>
                <w:szCs w:val="18"/>
                <w:color w:val="auto"/>
              </w:rPr>
              <w:t>Fleet Available Days</w:t>
            </w:r>
          </w:p>
        </w:tc>
        <w:tc>
          <w:tcPr>
            <w:tcW w:w="140" w:type="dxa"/>
            <w:vAlign w:val="bottom"/>
            <w:shd w:val="clear" w:color="auto" w:fill="CCECFF"/>
          </w:tcPr>
          <w:p>
            <w:pPr>
              <w:spacing w:after="0"/>
              <w:rPr>
                <w:sz w:val="18"/>
                <w:szCs w:val="18"/>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1,274</w:t>
            </w: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3,684</w:t>
            </w:r>
          </w:p>
        </w:tc>
        <w:tc>
          <w:tcPr>
            <w:tcW w:w="160" w:type="dxa"/>
            <w:vAlign w:val="bottom"/>
            <w:shd w:val="clear" w:color="auto" w:fill="CCEC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CFF"/>
          </w:tcPr>
          <w:p>
            <w:pPr>
              <w:spacing w:after="0"/>
              <w:rPr>
                <w:sz w:val="18"/>
                <w:szCs w:val="18"/>
                <w:color w:val="auto"/>
              </w:rPr>
            </w:pP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1,820</w:t>
            </w:r>
          </w:p>
        </w:tc>
        <w:tc>
          <w:tcPr>
            <w:tcW w:w="140" w:type="dxa"/>
            <w:vAlign w:val="bottom"/>
            <w:shd w:val="clear" w:color="auto" w:fill="CCECFF"/>
          </w:tcPr>
          <w:p>
            <w:pPr>
              <w:spacing w:after="0"/>
              <w:rPr>
                <w:sz w:val="18"/>
                <w:szCs w:val="18"/>
                <w:color w:val="auto"/>
              </w:rPr>
            </w:pP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CFF"/>
          </w:tcPr>
          <w:p>
            <w:pPr>
              <w:spacing w:after="0"/>
              <w:rPr>
                <w:sz w:val="18"/>
                <w:szCs w:val="18"/>
                <w:color w:val="auto"/>
              </w:rPr>
            </w:pPr>
          </w:p>
        </w:tc>
        <w:tc>
          <w:tcPr>
            <w:tcW w:w="84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3,367</w:t>
            </w:r>
          </w:p>
        </w:tc>
        <w:tc>
          <w:tcPr>
            <w:tcW w:w="100" w:type="dxa"/>
            <w:vAlign w:val="bottom"/>
            <w:shd w:val="clear" w:color="auto" w:fill="CCECFF"/>
          </w:tcPr>
          <w:p>
            <w:pPr>
              <w:spacing w:after="0"/>
              <w:rPr>
                <w:sz w:val="18"/>
                <w:szCs w:val="18"/>
                <w:color w:val="auto"/>
              </w:rPr>
            </w:pP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8"/>
                <w:szCs w:val="18"/>
                <w:color w:val="auto"/>
              </w:rPr>
            </w:pPr>
          </w:p>
        </w:tc>
        <w:tc>
          <w:tcPr>
            <w:tcW w:w="7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12,363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CFF"/>
          </w:tcPr>
          <w:p>
            <w:pPr>
              <w:ind w:left="320"/>
              <w:spacing w:after="0"/>
              <w:rPr>
                <w:sz w:val="20"/>
                <w:szCs w:val="20"/>
                <w:color w:val="auto"/>
              </w:rPr>
            </w:pPr>
            <w:r>
              <w:rPr>
                <w:rFonts w:ascii="Arial" w:cs="Arial" w:eastAsia="Arial" w:hAnsi="Arial"/>
                <w:sz w:val="18"/>
                <w:szCs w:val="18"/>
                <w:color w:val="auto"/>
              </w:rPr>
              <w:t>Time charter</w:t>
            </w:r>
          </w:p>
        </w:tc>
        <w:tc>
          <w:tcPr>
            <w:tcW w:w="14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3,299</w:t>
            </w: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w w:val="94"/>
              </w:rPr>
              <w:t>12,712</w:t>
            </w:r>
          </w:p>
        </w:tc>
        <w:tc>
          <w:tcPr>
            <w:tcW w:w="160" w:type="dxa"/>
            <w:vAlign w:val="bottom"/>
            <w:shd w:val="clear" w:color="auto" w:fill="CCEC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C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12,279</w:t>
            </w:r>
          </w:p>
        </w:tc>
        <w:tc>
          <w:tcPr>
            <w:tcW w:w="14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6,434</w:t>
            </w:r>
          </w:p>
        </w:tc>
        <w:tc>
          <w:tcPr>
            <w:tcW w:w="10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38,803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320"/>
              <w:spacing w:after="0"/>
              <w:rPr>
                <w:sz w:val="20"/>
                <w:szCs w:val="20"/>
                <w:color w:val="auto"/>
              </w:rPr>
            </w:pPr>
            <w:r>
              <w:rPr>
                <w:rFonts w:ascii="Arial" w:cs="Arial" w:eastAsia="Arial" w:hAnsi="Arial"/>
                <w:sz w:val="18"/>
                <w:szCs w:val="18"/>
                <w:color w:val="auto"/>
              </w:rPr>
              <w:t>Bareboat charter</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CFF"/>
          </w:tcPr>
          <w:p>
            <w:pPr>
              <w:ind w:left="320"/>
              <w:spacing w:after="0"/>
              <w:rPr>
                <w:sz w:val="20"/>
                <w:szCs w:val="20"/>
                <w:color w:val="auto"/>
              </w:rPr>
            </w:pPr>
            <w:r>
              <w:rPr>
                <w:rFonts w:ascii="Arial" w:cs="Arial" w:eastAsia="Arial" w:hAnsi="Arial"/>
                <w:sz w:val="18"/>
                <w:szCs w:val="18"/>
                <w:color w:val="auto"/>
              </w:rPr>
              <w:t>Other marine services</w:t>
            </w:r>
          </w:p>
        </w:tc>
        <w:tc>
          <w:tcPr>
            <w:tcW w:w="140" w:type="dxa"/>
            <w:vAlign w:val="bottom"/>
            <w:shd w:val="clear" w:color="auto" w:fill="CCECFF"/>
          </w:tcPr>
          <w:p>
            <w:pPr>
              <w:spacing w:after="0"/>
              <w:rPr>
                <w:sz w:val="18"/>
                <w:szCs w:val="18"/>
                <w:color w:val="auto"/>
              </w:rPr>
            </w:pPr>
          </w:p>
        </w:tc>
        <w:tc>
          <w:tcPr>
            <w:tcW w:w="800" w:type="dxa"/>
            <w:vAlign w:val="bottom"/>
            <w:tcBorders>
              <w:right w:val="single" w:sz="8" w:color="CCECFF"/>
            </w:tcBorders>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CFF"/>
          </w:tcPr>
          <w:p>
            <w:pPr>
              <w:spacing w:after="0"/>
              <w:rPr>
                <w:sz w:val="18"/>
                <w:szCs w:val="18"/>
                <w:color w:val="auto"/>
              </w:rPr>
            </w:pP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CFF"/>
          </w:tcPr>
          <w:p>
            <w:pPr>
              <w:spacing w:after="0"/>
              <w:rPr>
                <w:sz w:val="18"/>
                <w:szCs w:val="18"/>
                <w:color w:val="auto"/>
              </w:rPr>
            </w:pP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CFF"/>
          </w:tcPr>
          <w:p>
            <w:pPr>
              <w:spacing w:after="0"/>
              <w:rPr>
                <w:sz w:val="18"/>
                <w:szCs w:val="18"/>
                <w:color w:val="auto"/>
              </w:rPr>
            </w:pPr>
          </w:p>
        </w:tc>
        <w:tc>
          <w:tcPr>
            <w:tcW w:w="84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CFF"/>
          </w:tcPr>
          <w:p>
            <w:pPr>
              <w:spacing w:after="0"/>
              <w:rPr>
                <w:sz w:val="18"/>
                <w:szCs w:val="18"/>
                <w:color w:val="auto"/>
              </w:rPr>
            </w:pP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CFF"/>
          </w:tcPr>
          <w:p>
            <w:pPr>
              <w:spacing w:after="0"/>
              <w:rPr>
                <w:sz w:val="18"/>
                <w:szCs w:val="18"/>
                <w:color w:val="auto"/>
              </w:rPr>
            </w:pPr>
          </w:p>
        </w:tc>
        <w:tc>
          <w:tcPr>
            <w:tcW w:w="7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CFF"/>
          </w:tcPr>
          <w:p>
            <w:pPr>
              <w:spacing w:after="0" w:line="20" w:lineRule="exact"/>
              <w:rPr>
                <w:sz w:val="1"/>
                <w:szCs w:val="1"/>
                <w:color w:val="auto"/>
              </w:rPr>
            </w:pPr>
          </w:p>
        </w:tc>
        <w:tc>
          <w:tcPr>
            <w:tcW w:w="23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CECFF"/>
            </w:tcBorders>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right w:val="single" w:sz="8" w:color="CCECFF"/>
            </w:tcBorders>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3,249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12,864</w:t>
            </w: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12,315</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7,017</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42,323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Direct Costs and Expenses:</w:t>
            </w:r>
          </w:p>
        </w:tc>
        <w:tc>
          <w:tcPr>
            <w:tcW w:w="140" w:type="dxa"/>
            <w:vAlign w:val="bottom"/>
            <w:tcBorders>
              <w:top w:val="single" w:sz="8" w:color="auto"/>
            </w:tcBorders>
            <w:shd w:val="clear" w:color="auto" w:fill="CCECFF"/>
          </w:tcPr>
          <w:p>
            <w:pPr>
              <w:spacing w:after="0"/>
              <w:rPr>
                <w:sz w:val="18"/>
                <w:szCs w:val="18"/>
                <w:color w:val="auto"/>
              </w:rPr>
            </w:pPr>
          </w:p>
        </w:tc>
        <w:tc>
          <w:tcPr>
            <w:tcW w:w="540" w:type="dxa"/>
            <w:vAlign w:val="bottom"/>
            <w:tcBorders>
              <w:top w:val="single" w:sz="8" w:color="auto"/>
            </w:tcBorders>
            <w:shd w:val="clear" w:color="auto" w:fill="CCECFF"/>
          </w:tcPr>
          <w:p>
            <w:pPr>
              <w:spacing w:after="0"/>
              <w:rPr>
                <w:sz w:val="18"/>
                <w:szCs w:val="18"/>
                <w:color w:val="auto"/>
              </w:rPr>
            </w:pP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tcBorders>
              <w:top w:val="single" w:sz="8" w:color="auto"/>
            </w:tcBorders>
            <w:shd w:val="clear" w:color="auto" w:fill="CCECFF"/>
          </w:tcPr>
          <w:p>
            <w:pPr>
              <w:spacing w:after="0"/>
              <w:rPr>
                <w:sz w:val="18"/>
                <w:szCs w:val="18"/>
                <w:color w:val="auto"/>
              </w:rPr>
            </w:pPr>
          </w:p>
        </w:tc>
        <w:tc>
          <w:tcPr>
            <w:tcW w:w="540" w:type="dxa"/>
            <w:vAlign w:val="bottom"/>
            <w:tcBorders>
              <w:top w:val="single" w:sz="8" w:color="auto"/>
            </w:tcBorders>
            <w:shd w:val="clear" w:color="auto" w:fill="CCECFF"/>
          </w:tcPr>
          <w:p>
            <w:pPr>
              <w:spacing w:after="0"/>
              <w:rPr>
                <w:sz w:val="18"/>
                <w:szCs w:val="18"/>
                <w:color w:val="auto"/>
              </w:rPr>
            </w:pPr>
          </w:p>
        </w:tc>
        <w:tc>
          <w:tcPr>
            <w:tcW w:w="280" w:type="dxa"/>
            <w:vAlign w:val="bottom"/>
            <w:tcBorders>
              <w:right w:val="single" w:sz="8" w:color="CCECFF"/>
            </w:tcBorders>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spacing w:after="0"/>
              <w:rPr>
                <w:sz w:val="18"/>
                <w:szCs w:val="18"/>
                <w:color w:val="auto"/>
              </w:rPr>
            </w:pPr>
          </w:p>
        </w:tc>
        <w:tc>
          <w:tcPr>
            <w:tcW w:w="500" w:type="dxa"/>
            <w:vAlign w:val="bottom"/>
            <w:tcBorders>
              <w:top w:val="single" w:sz="8" w:color="auto"/>
            </w:tcBorders>
            <w:shd w:val="clear" w:color="auto" w:fill="CCECFF"/>
          </w:tcPr>
          <w:p>
            <w:pPr>
              <w:spacing w:after="0"/>
              <w:rPr>
                <w:sz w:val="18"/>
                <w:szCs w:val="18"/>
                <w:color w:val="auto"/>
              </w:rPr>
            </w:pPr>
          </w:p>
        </w:tc>
        <w:tc>
          <w:tcPr>
            <w:tcW w:w="260" w:type="dxa"/>
            <w:vAlign w:val="bottom"/>
            <w:tcBorders>
              <w:right w:val="single" w:sz="8" w:color="CCECFF"/>
            </w:tcBorders>
            <w:shd w:val="clear" w:color="auto" w:fill="CCECFF"/>
          </w:tcPr>
          <w:p>
            <w:pPr>
              <w:spacing w:after="0"/>
              <w:rPr>
                <w:sz w:val="18"/>
                <w:szCs w:val="18"/>
                <w:color w:val="auto"/>
              </w:rPr>
            </w:pPr>
          </w:p>
        </w:tc>
        <w:tc>
          <w:tcPr>
            <w:tcW w:w="100" w:type="dxa"/>
            <w:vAlign w:val="bottom"/>
            <w:tcBorders>
              <w:top w:val="single" w:sz="8" w:color="auto"/>
            </w:tcBorders>
            <w:shd w:val="clear" w:color="auto" w:fill="CCECFF"/>
          </w:tcPr>
          <w:p>
            <w:pPr>
              <w:spacing w:after="0"/>
              <w:rPr>
                <w:sz w:val="18"/>
                <w:szCs w:val="18"/>
                <w:color w:val="auto"/>
              </w:rPr>
            </w:pPr>
          </w:p>
        </w:tc>
        <w:tc>
          <w:tcPr>
            <w:tcW w:w="580" w:type="dxa"/>
            <w:vAlign w:val="bottom"/>
            <w:tcBorders>
              <w:top w:val="single" w:sz="8" w:color="auto"/>
            </w:tcBorders>
            <w:shd w:val="clear" w:color="auto" w:fill="CCECFF"/>
          </w:tcPr>
          <w:p>
            <w:pPr>
              <w:spacing w:after="0"/>
              <w:rPr>
                <w:sz w:val="18"/>
                <w:szCs w:val="18"/>
                <w:color w:val="auto"/>
              </w:rPr>
            </w:pP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tcBorders>
              <w:top w:val="single" w:sz="8" w:color="auto"/>
            </w:tcBorders>
            <w:shd w:val="clear" w:color="auto" w:fill="CCECFF"/>
          </w:tcPr>
          <w:p>
            <w:pPr>
              <w:spacing w:after="0"/>
              <w:rPr>
                <w:sz w:val="18"/>
                <w:szCs w:val="18"/>
                <w:color w:val="auto"/>
              </w:rPr>
            </w:pPr>
          </w:p>
        </w:tc>
        <w:tc>
          <w:tcPr>
            <w:tcW w:w="560" w:type="dxa"/>
            <w:vAlign w:val="bottom"/>
            <w:tcBorders>
              <w:top w:val="single" w:sz="8" w:color="auto"/>
            </w:tcBorders>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0" w:type="dxa"/>
            <w:vAlign w:val="bottom"/>
            <w:tcBorders>
              <w:top w:val="single" w:sz="8" w:color="auto"/>
            </w:tcBorders>
            <w:shd w:val="clear" w:color="auto" w:fill="CCECFF"/>
          </w:tcPr>
          <w:p>
            <w:pPr>
              <w:spacing w:after="0"/>
              <w:rPr>
                <w:sz w:val="18"/>
                <w:szCs w:val="18"/>
                <w:color w:val="auto"/>
              </w:rPr>
            </w:pPr>
          </w:p>
        </w:tc>
        <w:tc>
          <w:tcPr>
            <w:tcW w:w="560" w:type="dxa"/>
            <w:vAlign w:val="bottom"/>
            <w:tcBorders>
              <w:top w:val="single" w:sz="8" w:color="auto"/>
            </w:tcBorders>
            <w:shd w:val="clear" w:color="auto" w:fill="CCECFF"/>
          </w:tcPr>
          <w:p>
            <w:pPr>
              <w:spacing w:after="0"/>
              <w:rPr>
                <w:sz w:val="18"/>
                <w:szCs w:val="18"/>
                <w:color w:val="auto"/>
              </w:rPr>
            </w:pPr>
          </w:p>
        </w:tc>
        <w:tc>
          <w:tcPr>
            <w:tcW w:w="260" w:type="dxa"/>
            <w:vAlign w:val="bottom"/>
            <w:tcBorders>
              <w:right w:val="single" w:sz="8" w:color="CCECFF"/>
            </w:tcBorders>
            <w:shd w:val="clear" w:color="auto" w:fill="CCECFF"/>
          </w:tcPr>
          <w:p>
            <w:pPr>
              <w:spacing w:after="0"/>
              <w:rPr>
                <w:sz w:val="18"/>
                <w:szCs w:val="18"/>
                <w:color w:val="auto"/>
              </w:rPr>
            </w:pPr>
          </w:p>
        </w:tc>
        <w:tc>
          <w:tcPr>
            <w:tcW w:w="100" w:type="dxa"/>
            <w:vAlign w:val="bottom"/>
            <w:tcBorders>
              <w:top w:val="single" w:sz="8" w:color="auto"/>
            </w:tcBorders>
            <w:shd w:val="clear" w:color="auto" w:fill="CCECFF"/>
          </w:tcPr>
          <w:p>
            <w:pPr>
              <w:spacing w:after="0"/>
              <w:rPr>
                <w:sz w:val="18"/>
                <w:szCs w:val="18"/>
                <w:color w:val="auto"/>
              </w:rPr>
            </w:pPr>
          </w:p>
        </w:tc>
        <w:tc>
          <w:tcPr>
            <w:tcW w:w="560" w:type="dxa"/>
            <w:vAlign w:val="bottom"/>
            <w:tcBorders>
              <w:top w:val="single" w:sz="8" w:color="auto"/>
            </w:tcBorders>
            <w:shd w:val="clear" w:color="auto" w:fill="CCECFF"/>
          </w:tcPr>
          <w:p>
            <w:pPr>
              <w:spacing w:after="0"/>
              <w:rPr>
                <w:sz w:val="18"/>
                <w:szCs w:val="18"/>
                <w:color w:val="auto"/>
              </w:rPr>
            </w:pPr>
          </w:p>
        </w:tc>
        <w:tc>
          <w:tcPr>
            <w:tcW w:w="280" w:type="dxa"/>
            <w:vAlign w:val="bottom"/>
            <w:tcBorders>
              <w:right w:val="single" w:sz="8" w:color="CCECFF"/>
            </w:tcBorders>
            <w:shd w:val="clear" w:color="auto" w:fill="CCECFF"/>
          </w:tcPr>
          <w:p>
            <w:pPr>
              <w:spacing w:after="0"/>
              <w:rPr>
                <w:sz w:val="18"/>
                <w:szCs w:val="18"/>
                <w:color w:val="auto"/>
              </w:rPr>
            </w:pPr>
          </w:p>
        </w:tc>
        <w:tc>
          <w:tcPr>
            <w:tcW w:w="100" w:type="dxa"/>
            <w:vAlign w:val="bottom"/>
            <w:tcBorders>
              <w:top w:val="single" w:sz="8" w:color="auto"/>
            </w:tcBorders>
            <w:shd w:val="clear" w:color="auto" w:fill="CCECFF"/>
          </w:tcPr>
          <w:p>
            <w:pPr>
              <w:spacing w:after="0"/>
              <w:rPr>
                <w:sz w:val="18"/>
                <w:szCs w:val="18"/>
                <w:color w:val="auto"/>
              </w:rPr>
            </w:pPr>
          </w:p>
        </w:tc>
        <w:tc>
          <w:tcPr>
            <w:tcW w:w="580" w:type="dxa"/>
            <w:vAlign w:val="bottom"/>
            <w:tcBorders>
              <w:top w:val="single" w:sz="8" w:color="auto"/>
            </w:tcBorders>
            <w:shd w:val="clear" w:color="auto" w:fill="CCECFF"/>
          </w:tcPr>
          <w:p>
            <w:pPr>
              <w:spacing w:after="0"/>
              <w:rPr>
                <w:sz w:val="18"/>
                <w:szCs w:val="18"/>
                <w:color w:val="auto"/>
              </w:rPr>
            </w:pPr>
          </w:p>
        </w:tc>
        <w:tc>
          <w:tcPr>
            <w:tcW w:w="260" w:type="dxa"/>
            <w:vAlign w:val="bottom"/>
            <w:tcBorders>
              <w:right w:val="single" w:sz="8" w:color="CCECFF"/>
            </w:tcBorders>
            <w:shd w:val="clear" w:color="auto" w:fill="CCECFF"/>
          </w:tcPr>
          <w:p>
            <w:pPr>
              <w:spacing w:after="0"/>
              <w:rPr>
                <w:sz w:val="18"/>
                <w:szCs w:val="18"/>
                <w:color w:val="auto"/>
              </w:rPr>
            </w:pPr>
          </w:p>
        </w:tc>
        <w:tc>
          <w:tcPr>
            <w:tcW w:w="100" w:type="dxa"/>
            <w:vAlign w:val="bottom"/>
            <w:tcBorders>
              <w:top w:val="single" w:sz="8" w:color="auto"/>
            </w:tcBorders>
            <w:shd w:val="clear" w:color="auto" w:fill="CCECFF"/>
          </w:tcPr>
          <w:p>
            <w:pPr>
              <w:spacing w:after="0"/>
              <w:rPr>
                <w:sz w:val="18"/>
                <w:szCs w:val="18"/>
                <w:color w:val="auto"/>
              </w:rPr>
            </w:pPr>
          </w:p>
        </w:tc>
        <w:tc>
          <w:tcPr>
            <w:tcW w:w="580" w:type="dxa"/>
            <w:vAlign w:val="bottom"/>
            <w:tcBorders>
              <w:top w:val="single" w:sz="8" w:color="auto"/>
            </w:tcBorders>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CFF"/>
          </w:tcPr>
          <w:p>
            <w:pPr>
              <w:ind w:left="640"/>
              <w:spacing w:after="0"/>
              <w:rPr>
                <w:sz w:val="20"/>
                <w:szCs w:val="20"/>
                <w:color w:val="auto"/>
              </w:rPr>
            </w:pPr>
            <w:r>
              <w:rPr>
                <w:rFonts w:ascii="Arial" w:cs="Arial" w:eastAsia="Arial" w:hAnsi="Arial"/>
                <w:sz w:val="18"/>
                <w:szCs w:val="18"/>
                <w:color w:val="auto"/>
              </w:rPr>
              <w:t>Personnel</w:t>
            </w:r>
          </w:p>
        </w:tc>
        <w:tc>
          <w:tcPr>
            <w:tcW w:w="140" w:type="dxa"/>
            <w:vAlign w:val="bottom"/>
            <w:shd w:val="clear" w:color="auto" w:fill="CCECFF"/>
          </w:tcPr>
          <w:p>
            <w:pPr>
              <w:spacing w:after="0"/>
              <w:rPr>
                <w:sz w:val="18"/>
                <w:szCs w:val="18"/>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2,745</w:t>
            </w: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4,815</w:t>
            </w:r>
          </w:p>
        </w:tc>
        <w:tc>
          <w:tcPr>
            <w:tcW w:w="160" w:type="dxa"/>
            <w:vAlign w:val="bottom"/>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CFF"/>
          </w:tcPr>
          <w:p>
            <w:pPr>
              <w:spacing w:after="0"/>
              <w:rPr>
                <w:sz w:val="18"/>
                <w:szCs w:val="18"/>
                <w:color w:val="auto"/>
              </w:rPr>
            </w:pP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6,698</w:t>
            </w:r>
          </w:p>
        </w:tc>
        <w:tc>
          <w:tcPr>
            <w:tcW w:w="140" w:type="dxa"/>
            <w:vAlign w:val="bottom"/>
            <w:shd w:val="clear" w:color="auto" w:fill="CCECFF"/>
          </w:tcPr>
          <w:p>
            <w:pPr>
              <w:spacing w:after="0"/>
              <w:rPr>
                <w:sz w:val="18"/>
                <w:szCs w:val="18"/>
                <w:color w:val="auto"/>
              </w:rPr>
            </w:pP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CFF"/>
          </w:tcPr>
          <w:p>
            <w:pPr>
              <w:spacing w:after="0"/>
              <w:rPr>
                <w:sz w:val="18"/>
                <w:szCs w:val="18"/>
                <w:color w:val="auto"/>
              </w:rPr>
            </w:pPr>
          </w:p>
        </w:tc>
        <w:tc>
          <w:tcPr>
            <w:tcW w:w="84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2,036</w:t>
            </w:r>
          </w:p>
        </w:tc>
        <w:tc>
          <w:tcPr>
            <w:tcW w:w="100" w:type="dxa"/>
            <w:vAlign w:val="bottom"/>
            <w:shd w:val="clear" w:color="auto" w:fill="CCECFF"/>
          </w:tcPr>
          <w:p>
            <w:pPr>
              <w:spacing w:after="0"/>
              <w:rPr>
                <w:sz w:val="18"/>
                <w:szCs w:val="18"/>
                <w:color w:val="auto"/>
              </w:rPr>
            </w:pP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CFF"/>
          </w:tcPr>
          <w:p>
            <w:pPr>
              <w:spacing w:after="0"/>
              <w:rPr>
                <w:sz w:val="18"/>
                <w:szCs w:val="18"/>
                <w:color w:val="auto"/>
              </w:rPr>
            </w:pPr>
          </w:p>
        </w:tc>
        <w:tc>
          <w:tcPr>
            <w:tcW w:w="7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20,577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640"/>
              <w:spacing w:after="0"/>
              <w:rPr>
                <w:sz w:val="20"/>
                <w:szCs w:val="20"/>
                <w:color w:val="auto"/>
              </w:rPr>
            </w:pPr>
            <w:r>
              <w:rPr>
                <w:rFonts w:ascii="Arial" w:cs="Arial" w:eastAsia="Arial" w:hAnsi="Arial"/>
                <w:sz w:val="18"/>
                <w:szCs w:val="18"/>
                <w:color w:val="auto"/>
              </w:rPr>
              <w:t>Repairs and maintenance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5,893</w:t>
            </w: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1,610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CFF"/>
          </w:tcPr>
          <w:p>
            <w:pPr>
              <w:ind w:left="640"/>
              <w:spacing w:after="0"/>
              <w:rPr>
                <w:sz w:val="20"/>
                <w:szCs w:val="20"/>
                <w:color w:val="auto"/>
              </w:rPr>
            </w:pPr>
            <w:r>
              <w:rPr>
                <w:rFonts w:ascii="Arial" w:cs="Arial" w:eastAsia="Arial" w:hAnsi="Arial"/>
                <w:sz w:val="18"/>
                <w:szCs w:val="18"/>
                <w:color w:val="auto"/>
              </w:rPr>
              <w:t>Drydocking</w:t>
            </w:r>
          </w:p>
        </w:tc>
        <w:tc>
          <w:tcPr>
            <w:tcW w:w="140" w:type="dxa"/>
            <w:vAlign w:val="bottom"/>
            <w:shd w:val="clear" w:color="auto" w:fill="CCECFF"/>
          </w:tcPr>
          <w:p>
            <w:pPr>
              <w:spacing w:after="0"/>
              <w:rPr>
                <w:sz w:val="18"/>
                <w:szCs w:val="18"/>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979</w:t>
            </w:r>
          </w:p>
        </w:tc>
        <w:tc>
          <w:tcPr>
            <w:tcW w:w="160" w:type="dxa"/>
            <w:vAlign w:val="bottom"/>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8"/>
                <w:szCs w:val="18"/>
                <w:color w:val="auto"/>
              </w:rPr>
            </w:pP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CFF"/>
          </w:tcPr>
          <w:p>
            <w:pPr>
              <w:spacing w:after="0"/>
              <w:rPr>
                <w:sz w:val="18"/>
                <w:szCs w:val="18"/>
                <w:color w:val="auto"/>
              </w:rPr>
            </w:pP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CFF"/>
          </w:tcPr>
          <w:p>
            <w:pPr>
              <w:spacing w:after="0"/>
              <w:rPr>
                <w:sz w:val="18"/>
                <w:szCs w:val="18"/>
                <w:color w:val="auto"/>
              </w:rPr>
            </w:pPr>
          </w:p>
        </w:tc>
        <w:tc>
          <w:tcPr>
            <w:tcW w:w="84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8"/>
                <w:szCs w:val="18"/>
                <w:color w:val="auto"/>
              </w:rPr>
            </w:pP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8"/>
                <w:szCs w:val="18"/>
                <w:color w:val="auto"/>
              </w:rPr>
            </w:pPr>
          </w:p>
        </w:tc>
        <w:tc>
          <w:tcPr>
            <w:tcW w:w="7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640"/>
              <w:spacing w:after="0"/>
              <w:rPr>
                <w:sz w:val="20"/>
                <w:szCs w:val="20"/>
                <w:color w:val="auto"/>
              </w:rPr>
            </w:pPr>
            <w:r>
              <w:rPr>
                <w:rFonts w:ascii="Arial" w:cs="Arial" w:eastAsia="Arial" w:hAnsi="Arial"/>
                <w:sz w:val="18"/>
                <w:szCs w:val="18"/>
                <w:color w:val="auto"/>
              </w:rPr>
              <w:t>Insurance and loss reserves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CFF"/>
          </w:tcPr>
          <w:p>
            <w:pPr>
              <w:ind w:left="640"/>
              <w:spacing w:after="0"/>
              <w:rPr>
                <w:sz w:val="20"/>
                <w:szCs w:val="20"/>
                <w:color w:val="auto"/>
              </w:rPr>
            </w:pPr>
            <w:r>
              <w:rPr>
                <w:rFonts w:ascii="Arial" w:cs="Arial" w:eastAsia="Arial" w:hAnsi="Arial"/>
                <w:sz w:val="18"/>
                <w:szCs w:val="18"/>
                <w:color w:val="auto"/>
              </w:rPr>
              <w:t>Fuel, lubes and supplies</w:t>
            </w:r>
          </w:p>
        </w:tc>
        <w:tc>
          <w:tcPr>
            <w:tcW w:w="140" w:type="dxa"/>
            <w:vAlign w:val="bottom"/>
            <w:shd w:val="clear" w:color="auto" w:fill="CCECFF"/>
          </w:tcPr>
          <w:p>
            <w:pPr>
              <w:spacing w:after="0"/>
              <w:rPr>
                <w:sz w:val="18"/>
                <w:szCs w:val="18"/>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317</w:t>
            </w: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990</w:t>
            </w:r>
          </w:p>
        </w:tc>
        <w:tc>
          <w:tcPr>
            <w:tcW w:w="160" w:type="dxa"/>
            <w:vAlign w:val="bottom"/>
            <w:shd w:val="clear" w:color="auto" w:fill="CCECFF"/>
          </w:tcPr>
          <w:p>
            <w:pPr>
              <w:spacing w:after="0"/>
              <w:rPr>
                <w:sz w:val="18"/>
                <w:szCs w:val="18"/>
                <w:color w:val="auto"/>
              </w:rPr>
            </w:pP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CFF"/>
          </w:tcPr>
          <w:p>
            <w:pPr>
              <w:spacing w:after="0"/>
              <w:rPr>
                <w:sz w:val="18"/>
                <w:szCs w:val="18"/>
                <w:color w:val="auto"/>
              </w:rPr>
            </w:pP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844</w:t>
            </w:r>
          </w:p>
        </w:tc>
        <w:tc>
          <w:tcPr>
            <w:tcW w:w="14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CFF"/>
          </w:tcPr>
          <w:p>
            <w:pPr>
              <w:spacing w:after="0"/>
              <w:rPr>
                <w:sz w:val="18"/>
                <w:szCs w:val="18"/>
                <w:color w:val="auto"/>
              </w:rPr>
            </w:pPr>
          </w:p>
        </w:tc>
        <w:tc>
          <w:tcPr>
            <w:tcW w:w="84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CFF"/>
          </w:tcPr>
          <w:p>
            <w:pPr>
              <w:spacing w:after="0"/>
              <w:rPr>
                <w:sz w:val="18"/>
                <w:szCs w:val="18"/>
                <w:color w:val="auto"/>
              </w:rPr>
            </w:pPr>
          </w:p>
        </w:tc>
        <w:tc>
          <w:tcPr>
            <w:tcW w:w="840" w:type="dxa"/>
            <w:vAlign w:val="bottom"/>
            <w:tcBorders>
              <w:right w:val="single" w:sz="8" w:color="CCECFF"/>
            </w:tcBorders>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CFF"/>
          </w:tcPr>
          <w:p>
            <w:pPr>
              <w:spacing w:after="0"/>
              <w:rPr>
                <w:sz w:val="18"/>
                <w:szCs w:val="18"/>
                <w:color w:val="auto"/>
              </w:rPr>
            </w:pPr>
          </w:p>
        </w:tc>
        <w:tc>
          <w:tcPr>
            <w:tcW w:w="7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6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1,527</w:t>
            </w:r>
          </w:p>
        </w:tc>
        <w:tc>
          <w:tcPr>
            <w:tcW w:w="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CCECFF"/>
            </w:tcBorders>
            <w:shd w:val="clear" w:color="auto" w:fill="CCECFF"/>
          </w:tcPr>
          <w:p>
            <w:pPr>
              <w:spacing w:after="0"/>
              <w:rPr>
                <w:sz w:val="18"/>
                <w:szCs w:val="18"/>
                <w:color w:val="auto"/>
              </w:rPr>
            </w:pPr>
          </w:p>
        </w:tc>
        <w:tc>
          <w:tcPr>
            <w:tcW w:w="236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top w:val="single" w:sz="8" w:color="auto"/>
              <w:bottom w:val="single" w:sz="8" w:color="auto"/>
            </w:tcBorders>
            <w:shd w:val="clear" w:color="auto" w:fill="CCECFF"/>
          </w:tcPr>
          <w:p>
            <w:pPr>
              <w:spacing w:after="0"/>
              <w:rPr>
                <w:sz w:val="18"/>
                <w:szCs w:val="18"/>
                <w:color w:val="auto"/>
              </w:rPr>
            </w:pPr>
          </w:p>
        </w:tc>
        <w:tc>
          <w:tcPr>
            <w:tcW w:w="5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3,996</w:t>
            </w:r>
          </w:p>
        </w:tc>
        <w:tc>
          <w:tcPr>
            <w:tcW w:w="260" w:type="dxa"/>
            <w:vAlign w:val="bottom"/>
            <w:tcBorders>
              <w:bottom w:val="single" w:sz="8" w:color="CCECFF"/>
              <w:right w:val="single" w:sz="8" w:color="CCECFF"/>
            </w:tcBorders>
            <w:shd w:val="clear" w:color="auto" w:fill="CCECFF"/>
          </w:tcPr>
          <w:p>
            <w:pPr>
              <w:spacing w:after="0"/>
              <w:rPr>
                <w:sz w:val="18"/>
                <w:szCs w:val="18"/>
                <w:color w:val="auto"/>
              </w:rPr>
            </w:pPr>
          </w:p>
        </w:tc>
        <w:tc>
          <w:tcPr>
            <w:tcW w:w="140" w:type="dxa"/>
            <w:vAlign w:val="bottom"/>
            <w:tcBorders>
              <w:top w:val="single" w:sz="8" w:color="auto"/>
              <w:bottom w:val="single" w:sz="8" w:color="auto"/>
            </w:tcBorders>
            <w:shd w:val="clear" w:color="auto" w:fill="CCECFF"/>
          </w:tcPr>
          <w:p>
            <w:pPr>
              <w:spacing w:after="0"/>
              <w:rPr>
                <w:sz w:val="18"/>
                <w:szCs w:val="18"/>
                <w:color w:val="auto"/>
              </w:rPr>
            </w:pPr>
          </w:p>
        </w:tc>
        <w:tc>
          <w:tcPr>
            <w:tcW w:w="5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4"/>
              </w:rPr>
              <w:t>14,585</w:t>
            </w:r>
          </w:p>
        </w:tc>
        <w:tc>
          <w:tcPr>
            <w:tcW w:w="280" w:type="dxa"/>
            <w:vAlign w:val="bottom"/>
            <w:tcBorders>
              <w:bottom w:val="single" w:sz="8" w:color="CCECFF"/>
              <w:right w:val="single" w:sz="8" w:color="CCECFF"/>
            </w:tcBorders>
            <w:shd w:val="clear" w:color="auto" w:fill="CCECFF"/>
          </w:tcPr>
          <w:p>
            <w:pPr>
              <w:spacing w:after="0"/>
              <w:rPr>
                <w:sz w:val="18"/>
                <w:szCs w:val="18"/>
                <w:color w:val="auto"/>
              </w:rPr>
            </w:pPr>
          </w:p>
        </w:tc>
        <w:tc>
          <w:tcPr>
            <w:tcW w:w="160" w:type="dxa"/>
            <w:vAlign w:val="bottom"/>
            <w:tcBorders>
              <w:top w:val="single" w:sz="8" w:color="auto"/>
              <w:bottom w:val="single" w:sz="8" w:color="auto"/>
            </w:tcBorders>
            <w:shd w:val="clear" w:color="auto" w:fill="CCECFF"/>
          </w:tcPr>
          <w:p>
            <w:pPr>
              <w:spacing w:after="0"/>
              <w:rPr>
                <w:sz w:val="18"/>
                <w:szCs w:val="18"/>
                <w:color w:val="auto"/>
              </w:rPr>
            </w:pPr>
          </w:p>
        </w:tc>
        <w:tc>
          <w:tcPr>
            <w:tcW w:w="5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2,002</w:t>
            </w:r>
          </w:p>
        </w:tc>
        <w:tc>
          <w:tcPr>
            <w:tcW w:w="260" w:type="dxa"/>
            <w:vAlign w:val="bottom"/>
            <w:tcBorders>
              <w:bottom w:val="single" w:sz="8" w:color="CCECFF"/>
              <w:right w:val="single" w:sz="8" w:color="CCECFF"/>
            </w:tcBorders>
            <w:shd w:val="clear" w:color="auto" w:fill="CCECFF"/>
          </w:tcPr>
          <w:p>
            <w:pPr>
              <w:spacing w:after="0"/>
              <w:rPr>
                <w:sz w:val="18"/>
                <w:szCs w:val="18"/>
                <w:color w:val="auto"/>
              </w:rPr>
            </w:pPr>
          </w:p>
        </w:tc>
        <w:tc>
          <w:tcPr>
            <w:tcW w:w="100" w:type="dxa"/>
            <w:vAlign w:val="bottom"/>
            <w:tcBorders>
              <w:top w:val="single" w:sz="8" w:color="auto"/>
              <w:bottom w:val="single" w:sz="8" w:color="auto"/>
            </w:tcBorders>
            <w:shd w:val="clear" w:color="auto" w:fill="CCECFF"/>
          </w:tcPr>
          <w:p>
            <w:pPr>
              <w:spacing w:after="0"/>
              <w:rPr>
                <w:sz w:val="18"/>
                <w:szCs w:val="18"/>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10,388</w:t>
            </w:r>
          </w:p>
        </w:tc>
        <w:tc>
          <w:tcPr>
            <w:tcW w:w="260" w:type="dxa"/>
            <w:vAlign w:val="bottom"/>
            <w:tcBorders>
              <w:bottom w:val="single" w:sz="8" w:color="CCECFF"/>
              <w:right w:val="single" w:sz="8" w:color="CCECFF"/>
            </w:tcBorders>
            <w:shd w:val="clear" w:color="auto" w:fill="CCECFF"/>
          </w:tcPr>
          <w:p>
            <w:pPr>
              <w:spacing w:after="0"/>
              <w:rPr>
                <w:sz w:val="18"/>
                <w:szCs w:val="18"/>
                <w:color w:val="auto"/>
              </w:rPr>
            </w:pPr>
          </w:p>
        </w:tc>
        <w:tc>
          <w:tcPr>
            <w:tcW w:w="140" w:type="dxa"/>
            <w:vAlign w:val="bottom"/>
            <w:tcBorders>
              <w:top w:val="single" w:sz="8" w:color="auto"/>
              <w:bottom w:val="single" w:sz="8" w:color="auto"/>
            </w:tcBorders>
            <w:shd w:val="clear" w:color="auto" w:fill="CCECFF"/>
          </w:tcPr>
          <w:p>
            <w:pPr>
              <w:spacing w:after="0"/>
              <w:rPr>
                <w:sz w:val="18"/>
                <w:szCs w:val="18"/>
                <w:color w:val="auto"/>
              </w:rPr>
            </w:pP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564</w:t>
            </w:r>
          </w:p>
        </w:tc>
        <w:tc>
          <w:tcPr>
            <w:tcW w:w="26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top w:val="single" w:sz="8" w:color="auto"/>
              <w:bottom w:val="single" w:sz="8" w:color="auto"/>
            </w:tcBorders>
            <w:shd w:val="clear" w:color="auto" w:fill="CCECFF"/>
          </w:tcPr>
          <w:p>
            <w:pPr>
              <w:spacing w:after="0"/>
              <w:rPr>
                <w:sz w:val="18"/>
                <w:szCs w:val="18"/>
                <w:color w:val="auto"/>
              </w:rPr>
            </w:pP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6,295</w:t>
            </w:r>
          </w:p>
        </w:tc>
        <w:tc>
          <w:tcPr>
            <w:tcW w:w="260" w:type="dxa"/>
            <w:vAlign w:val="bottom"/>
            <w:tcBorders>
              <w:bottom w:val="single" w:sz="8" w:color="CCECFF"/>
              <w:right w:val="single" w:sz="8" w:color="CCECFF"/>
            </w:tcBorders>
            <w:shd w:val="clear" w:color="auto" w:fill="CCECFF"/>
          </w:tcPr>
          <w:p>
            <w:pPr>
              <w:spacing w:after="0"/>
              <w:rPr>
                <w:sz w:val="18"/>
                <w:szCs w:val="18"/>
                <w:color w:val="auto"/>
              </w:rPr>
            </w:pPr>
          </w:p>
        </w:tc>
        <w:tc>
          <w:tcPr>
            <w:tcW w:w="100" w:type="dxa"/>
            <w:vAlign w:val="bottom"/>
            <w:tcBorders>
              <w:top w:val="single" w:sz="8" w:color="auto"/>
              <w:bottom w:val="single" w:sz="8" w:color="auto"/>
            </w:tcBorders>
            <w:shd w:val="clear" w:color="auto" w:fill="CCECFF"/>
          </w:tcPr>
          <w:p>
            <w:pPr>
              <w:spacing w:after="0"/>
              <w:rPr>
                <w:sz w:val="18"/>
                <w:szCs w:val="18"/>
                <w:color w:val="auto"/>
              </w:rPr>
            </w:pP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2,960</w:t>
            </w:r>
          </w:p>
        </w:tc>
        <w:tc>
          <w:tcPr>
            <w:tcW w:w="280" w:type="dxa"/>
            <w:vAlign w:val="bottom"/>
            <w:tcBorders>
              <w:bottom w:val="single" w:sz="8" w:color="CCECFF"/>
              <w:right w:val="single" w:sz="8" w:color="CCECFF"/>
            </w:tcBorders>
            <w:shd w:val="clear" w:color="auto" w:fill="CCECFF"/>
          </w:tcPr>
          <w:p>
            <w:pPr>
              <w:spacing w:after="0"/>
              <w:rPr>
                <w:sz w:val="18"/>
                <w:szCs w:val="18"/>
                <w:color w:val="auto"/>
              </w:rPr>
            </w:pPr>
          </w:p>
        </w:tc>
        <w:tc>
          <w:tcPr>
            <w:tcW w:w="100" w:type="dxa"/>
            <w:vAlign w:val="bottom"/>
            <w:tcBorders>
              <w:top w:val="single" w:sz="8" w:color="auto"/>
              <w:bottom w:val="single" w:sz="8" w:color="auto"/>
            </w:tcBorders>
            <w:shd w:val="clear" w:color="auto" w:fill="CCECFF"/>
          </w:tcPr>
          <w:p>
            <w:pPr>
              <w:spacing w:after="0"/>
              <w:rPr>
                <w:sz w:val="18"/>
                <w:szCs w:val="18"/>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CFF"/>
              <w:right w:val="single" w:sz="8" w:color="CCECFF"/>
            </w:tcBorders>
            <w:shd w:val="clear" w:color="auto" w:fill="CCECFF"/>
          </w:tcPr>
          <w:p>
            <w:pPr>
              <w:spacing w:after="0"/>
              <w:rPr>
                <w:sz w:val="18"/>
                <w:szCs w:val="18"/>
                <w:color w:val="auto"/>
              </w:rPr>
            </w:pPr>
          </w:p>
        </w:tc>
        <w:tc>
          <w:tcPr>
            <w:tcW w:w="100" w:type="dxa"/>
            <w:vAlign w:val="bottom"/>
            <w:tcBorders>
              <w:top w:val="single" w:sz="8" w:color="auto"/>
              <w:bottom w:val="single" w:sz="8" w:color="auto"/>
            </w:tcBorders>
            <w:shd w:val="clear" w:color="auto" w:fill="CCECFF"/>
          </w:tcPr>
          <w:p>
            <w:pPr>
              <w:spacing w:after="0"/>
              <w:rPr>
                <w:sz w:val="18"/>
                <w:szCs w:val="18"/>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40,792</w:t>
            </w:r>
          </w:p>
        </w:tc>
        <w:tc>
          <w:tcPr>
            <w:tcW w:w="1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gridSpan w:val="3"/>
          </w:tcPr>
          <w:p>
            <w:pPr>
              <w:spacing w:after="0"/>
              <w:rPr>
                <w:sz w:val="20"/>
                <w:szCs w:val="20"/>
                <w:color w:val="auto"/>
              </w:rPr>
            </w:pPr>
            <w:r>
              <w:rPr>
                <w:rFonts w:ascii="Arial" w:cs="Arial" w:eastAsia="Arial" w:hAnsi="Arial"/>
                <w:sz w:val="18"/>
                <w:szCs w:val="18"/>
                <w:b w:val="1"/>
                <w:bCs w:val="1"/>
                <w:color w:val="auto"/>
              </w:rPr>
              <w:t>Direct Vessel (Loss) Profit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(1,721)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1,927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(3,660)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4,057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000" w:type="dxa"/>
            <w:vAlign w:val="bottom"/>
            <w:gridSpan w:val="2"/>
            <w:shd w:val="clear" w:color="auto" w:fill="CCECFF"/>
          </w:tcPr>
          <w:p>
            <w:pPr>
              <w:spacing w:after="0" w:line="196" w:lineRule="exact"/>
              <w:rPr>
                <w:sz w:val="20"/>
                <w:szCs w:val="20"/>
                <w:color w:val="auto"/>
              </w:rPr>
            </w:pPr>
            <w:r>
              <w:rPr>
                <w:rFonts w:ascii="Arial" w:cs="Arial" w:eastAsia="Arial" w:hAnsi="Arial"/>
                <w:sz w:val="18"/>
                <w:szCs w:val="18"/>
                <w:color w:val="auto"/>
              </w:rPr>
              <w:t>Other Costs and Expenses:</w:t>
            </w:r>
          </w:p>
        </w:tc>
        <w:tc>
          <w:tcPr>
            <w:tcW w:w="140" w:type="dxa"/>
            <w:vAlign w:val="bottom"/>
            <w:shd w:val="clear" w:color="auto" w:fill="CCECFF"/>
          </w:tcPr>
          <w:p>
            <w:pPr>
              <w:spacing w:after="0"/>
              <w:rPr>
                <w:sz w:val="17"/>
                <w:szCs w:val="17"/>
                <w:color w:val="auto"/>
              </w:rPr>
            </w:pPr>
          </w:p>
        </w:tc>
        <w:tc>
          <w:tcPr>
            <w:tcW w:w="540" w:type="dxa"/>
            <w:vAlign w:val="bottom"/>
            <w:shd w:val="clear" w:color="auto" w:fill="CCECFF"/>
          </w:tcPr>
          <w:p>
            <w:pPr>
              <w:spacing w:after="0"/>
              <w:rPr>
                <w:sz w:val="17"/>
                <w:szCs w:val="17"/>
                <w:color w:val="auto"/>
              </w:rPr>
            </w:pPr>
          </w:p>
        </w:tc>
        <w:tc>
          <w:tcPr>
            <w:tcW w:w="260" w:type="dxa"/>
            <w:vAlign w:val="bottom"/>
            <w:tcBorders>
              <w:right w:val="single" w:sz="8" w:color="CCECFF"/>
            </w:tcBorders>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540" w:type="dxa"/>
            <w:vAlign w:val="bottom"/>
            <w:shd w:val="clear" w:color="auto" w:fill="CCECFF"/>
          </w:tcPr>
          <w:p>
            <w:pPr>
              <w:spacing w:after="0"/>
              <w:rPr>
                <w:sz w:val="17"/>
                <w:szCs w:val="17"/>
                <w:color w:val="auto"/>
              </w:rPr>
            </w:pPr>
          </w:p>
        </w:tc>
        <w:tc>
          <w:tcPr>
            <w:tcW w:w="280" w:type="dxa"/>
            <w:vAlign w:val="bottom"/>
            <w:tcBorders>
              <w:right w:val="single" w:sz="8" w:color="CCECFF"/>
            </w:tcBorders>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500" w:type="dxa"/>
            <w:vAlign w:val="bottom"/>
            <w:shd w:val="clear" w:color="auto" w:fill="CCECFF"/>
          </w:tcPr>
          <w:p>
            <w:pPr>
              <w:spacing w:after="0"/>
              <w:rPr>
                <w:sz w:val="17"/>
                <w:szCs w:val="17"/>
                <w:color w:val="auto"/>
              </w:rPr>
            </w:pPr>
          </w:p>
        </w:tc>
        <w:tc>
          <w:tcPr>
            <w:tcW w:w="260" w:type="dxa"/>
            <w:vAlign w:val="bottom"/>
            <w:tcBorders>
              <w:right w:val="single" w:sz="8" w:color="CCECFF"/>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580" w:type="dxa"/>
            <w:vAlign w:val="bottom"/>
            <w:shd w:val="clear" w:color="auto" w:fill="CCECFF"/>
          </w:tcPr>
          <w:p>
            <w:pPr>
              <w:spacing w:after="0"/>
              <w:rPr>
                <w:sz w:val="17"/>
                <w:szCs w:val="17"/>
                <w:color w:val="auto"/>
              </w:rPr>
            </w:pPr>
          </w:p>
        </w:tc>
        <w:tc>
          <w:tcPr>
            <w:tcW w:w="260" w:type="dxa"/>
            <w:vAlign w:val="bottom"/>
            <w:tcBorders>
              <w:right w:val="single" w:sz="8" w:color="CCECFF"/>
            </w:tcBorders>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5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560" w:type="dxa"/>
            <w:vAlign w:val="bottom"/>
            <w:shd w:val="clear" w:color="auto" w:fill="CCECFF"/>
          </w:tcPr>
          <w:p>
            <w:pPr>
              <w:spacing w:after="0"/>
              <w:rPr>
                <w:sz w:val="17"/>
                <w:szCs w:val="17"/>
                <w:color w:val="auto"/>
              </w:rPr>
            </w:pPr>
          </w:p>
        </w:tc>
        <w:tc>
          <w:tcPr>
            <w:tcW w:w="260" w:type="dxa"/>
            <w:vAlign w:val="bottom"/>
            <w:tcBorders>
              <w:right w:val="single" w:sz="8" w:color="CCECFF"/>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560" w:type="dxa"/>
            <w:vAlign w:val="bottom"/>
            <w:shd w:val="clear" w:color="auto" w:fill="CCECFF"/>
          </w:tcPr>
          <w:p>
            <w:pPr>
              <w:spacing w:after="0"/>
              <w:rPr>
                <w:sz w:val="17"/>
                <w:szCs w:val="17"/>
                <w:color w:val="auto"/>
              </w:rPr>
            </w:pPr>
          </w:p>
        </w:tc>
        <w:tc>
          <w:tcPr>
            <w:tcW w:w="280" w:type="dxa"/>
            <w:vAlign w:val="bottom"/>
            <w:tcBorders>
              <w:right w:val="single" w:sz="8" w:color="CCECFF"/>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580" w:type="dxa"/>
            <w:vAlign w:val="bottom"/>
            <w:shd w:val="clear" w:color="auto" w:fill="CCECFF"/>
          </w:tcPr>
          <w:p>
            <w:pPr>
              <w:spacing w:after="0"/>
              <w:rPr>
                <w:sz w:val="17"/>
                <w:szCs w:val="17"/>
                <w:color w:val="auto"/>
              </w:rPr>
            </w:pPr>
          </w:p>
        </w:tc>
        <w:tc>
          <w:tcPr>
            <w:tcW w:w="260" w:type="dxa"/>
            <w:vAlign w:val="bottom"/>
            <w:tcBorders>
              <w:right w:val="single" w:sz="8" w:color="CCECFF"/>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58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32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0" w:type="dxa"/>
            <w:vAlign w:val="bottom"/>
            <w:shd w:val="clear" w:color="auto" w:fill="CCECFF"/>
          </w:tcPr>
          <w:p>
            <w:pPr>
              <w:spacing w:after="0"/>
              <w:rPr>
                <w:sz w:val="22"/>
                <w:szCs w:val="22"/>
                <w:color w:val="auto"/>
              </w:rPr>
            </w:pPr>
          </w:p>
        </w:tc>
        <w:tc>
          <w:tcPr>
            <w:tcW w:w="2360" w:type="dxa"/>
            <w:vAlign w:val="bottom"/>
            <w:shd w:val="clear" w:color="auto" w:fill="CCECFF"/>
          </w:tcPr>
          <w:p>
            <w:pPr>
              <w:spacing w:after="0"/>
              <w:rPr>
                <w:sz w:val="20"/>
                <w:szCs w:val="20"/>
                <w:color w:val="auto"/>
              </w:rPr>
            </w:pPr>
            <w:r>
              <w:rPr>
                <w:rFonts w:ascii="Arial" w:cs="Arial" w:eastAsia="Arial" w:hAnsi="Arial"/>
                <w:sz w:val="18"/>
                <w:szCs w:val="18"/>
                <w:color w:val="auto"/>
              </w:rPr>
              <w:t>Leased-in equipment</w:t>
            </w:r>
          </w:p>
        </w:tc>
        <w:tc>
          <w:tcPr>
            <w:tcW w:w="14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1,869</w:t>
            </w:r>
          </w:p>
        </w:tc>
        <w:tc>
          <w:tcPr>
            <w:tcW w:w="260" w:type="dxa"/>
            <w:vAlign w:val="bottom"/>
            <w:tcBorders>
              <w:right w:val="single" w:sz="8" w:color="CCECFF"/>
            </w:tcBorders>
            <w:shd w:val="clear" w:color="auto" w:fill="CCECFF"/>
          </w:tcPr>
          <w:p>
            <w:pPr>
              <w:spacing w:after="0"/>
              <w:rPr>
                <w:sz w:val="22"/>
                <w:szCs w:val="22"/>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860</w:t>
            </w:r>
          </w:p>
        </w:tc>
        <w:tc>
          <w:tcPr>
            <w:tcW w:w="160" w:type="dxa"/>
            <w:vAlign w:val="bottom"/>
            <w:shd w:val="clear" w:color="auto" w:fill="CCEC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C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2"/>
                <w:szCs w:val="22"/>
                <w:color w:val="auto"/>
              </w:rPr>
            </w:pPr>
          </w:p>
        </w:tc>
        <w:tc>
          <w:tcPr>
            <w:tcW w:w="7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tcBorders>
              <w:top w:val="single" w:sz="8" w:color="CCECFF"/>
            </w:tcBorders>
            <w:gridSpan w:val="2"/>
          </w:tcPr>
          <w:p>
            <w:pPr>
              <w:ind w:left="320"/>
              <w:spacing w:after="0" w:line="196" w:lineRule="exact"/>
              <w:rPr>
                <w:sz w:val="20"/>
                <w:szCs w:val="20"/>
                <w:color w:val="auto"/>
              </w:rPr>
            </w:pPr>
            <w:r>
              <w:rPr>
                <w:rFonts w:ascii="Arial" w:cs="Arial" w:eastAsia="Arial" w:hAnsi="Arial"/>
                <w:sz w:val="18"/>
                <w:szCs w:val="18"/>
                <w:color w:val="auto"/>
              </w:rPr>
              <w:t>Administrative and general</w:t>
            </w: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Borders>
              <w:top w:val="single" w:sz="8" w:color="CCEC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Borders>
              <w:top w:val="single" w:sz="8" w:color="CCEC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Borders>
              <w:top w:val="single" w:sz="8" w:color="CCEC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C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Borders>
              <w:top w:val="single" w:sz="8" w:color="CCEC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Borders>
              <w:top w:val="single" w:sz="8" w:color="CCEC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CCEC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CFF"/>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740" w:type="dxa"/>
            <w:vAlign w:val="bottom"/>
            <w:tcBorders>
              <w:top w:val="single" w:sz="8" w:color="CCECFF"/>
            </w:tcBorders>
            <w:gridSpan w:val="2"/>
          </w:tcPr>
          <w:p>
            <w:pPr>
              <w:jc w:val="right"/>
              <w:ind w:right="160"/>
              <w:spacing w:after="0" w:line="196" w:lineRule="exact"/>
              <w:rPr>
                <w:sz w:val="20"/>
                <w:szCs w:val="20"/>
                <w:color w:val="auto"/>
              </w:rPr>
            </w:pPr>
            <w:r>
              <w:rPr>
                <w:rFonts w:ascii="Arial" w:cs="Arial" w:eastAsia="Arial" w:hAnsi="Arial"/>
                <w:sz w:val="18"/>
                <w:szCs w:val="18"/>
                <w:color w:val="auto"/>
              </w:rPr>
              <w:t>21,705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00" w:type="dxa"/>
            <w:vAlign w:val="bottom"/>
            <w:gridSpan w:val="2"/>
            <w:shd w:val="clear" w:color="auto" w:fill="CCECFF"/>
          </w:tcPr>
          <w:p>
            <w:pPr>
              <w:ind w:left="3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2,418</w:t>
            </w:r>
          </w:p>
        </w:tc>
        <w:tc>
          <w:tcPr>
            <w:tcW w:w="260" w:type="dxa"/>
            <w:vAlign w:val="bottom"/>
            <w:tcBorders>
              <w:right w:val="single" w:sz="8" w:color="CCECFF"/>
            </w:tcBorders>
            <w:shd w:val="clear" w:color="auto" w:fill="CCECFF"/>
          </w:tcPr>
          <w:p>
            <w:pPr>
              <w:spacing w:after="0"/>
              <w:rPr>
                <w:sz w:val="22"/>
                <w:szCs w:val="22"/>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4,403</w:t>
            </w:r>
          </w:p>
        </w:tc>
        <w:tc>
          <w:tcPr>
            <w:tcW w:w="160" w:type="dxa"/>
            <w:vAlign w:val="bottom"/>
            <w:shd w:val="clear" w:color="auto" w:fill="CCEC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C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566</w:t>
            </w:r>
          </w:p>
        </w:tc>
        <w:tc>
          <w:tcPr>
            <w:tcW w:w="14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579</w:t>
            </w:r>
          </w:p>
        </w:tc>
        <w:tc>
          <w:tcPr>
            <w:tcW w:w="14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CFF"/>
          </w:tcPr>
          <w:p>
            <w:pPr>
              <w:spacing w:after="0"/>
              <w:rPr>
                <w:sz w:val="22"/>
                <w:szCs w:val="22"/>
                <w:color w:val="auto"/>
              </w:rPr>
            </w:pPr>
          </w:p>
        </w:tc>
        <w:tc>
          <w:tcPr>
            <w:tcW w:w="7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14,633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tcBorders>
              <w:top w:val="single" w:sz="8" w:color="CCECFF"/>
            </w:tcBorders>
          </w:tcPr>
          <w:p>
            <w:pPr>
              <w:spacing w:after="0"/>
              <w:rPr>
                <w:sz w:val="17"/>
                <w:szCs w:val="17"/>
                <w:color w:val="auto"/>
              </w:rPr>
            </w:pPr>
          </w:p>
        </w:tc>
        <w:tc>
          <w:tcPr>
            <w:tcW w:w="2360" w:type="dxa"/>
            <w:vAlign w:val="bottom"/>
            <w:tcBorders>
              <w:top w:val="single" w:sz="8" w:color="CCEC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Borders>
              <w:top w:val="single" w:sz="8" w:color="CCEC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Borders>
              <w:top w:val="single" w:sz="8" w:color="CCEC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Borders>
              <w:top w:val="single" w:sz="8" w:color="CCEC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C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Borders>
              <w:top w:val="single" w:sz="8" w:color="CCEC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Borders>
              <w:top w:val="single" w:sz="8" w:color="CCEC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CCEC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C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40,028</w:t>
            </w:r>
          </w:p>
        </w:tc>
        <w:tc>
          <w:tcPr>
            <w:tcW w:w="160" w:type="dxa"/>
            <w:vAlign w:val="bottom"/>
            <w:tcBorders>
              <w:top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00" w:type="dxa"/>
            <w:vAlign w:val="bottom"/>
            <w:gridSpan w:val="2"/>
            <w:shd w:val="clear" w:color="auto" w:fill="CCECFF"/>
          </w:tcPr>
          <w:p>
            <w:pPr>
              <w:spacing w:after="0" w:line="195" w:lineRule="exact"/>
              <w:rPr>
                <w:sz w:val="20"/>
                <w:szCs w:val="20"/>
                <w:color w:val="auto"/>
              </w:rPr>
            </w:pPr>
            <w:r>
              <w:rPr>
                <w:rFonts w:ascii="Arial" w:cs="Arial" w:eastAsia="Arial" w:hAnsi="Arial"/>
                <w:sz w:val="18"/>
                <w:szCs w:val="18"/>
                <w:color w:val="auto"/>
              </w:rPr>
              <w:t>Losses on Asset Dispositions and</w:t>
            </w:r>
          </w:p>
        </w:tc>
        <w:tc>
          <w:tcPr>
            <w:tcW w:w="14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280" w:type="dxa"/>
            <w:vAlign w:val="bottom"/>
            <w:tcBorders>
              <w:right w:val="single" w:sz="8" w:color="CCECFF"/>
            </w:tcBorders>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8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280" w:type="dxa"/>
            <w:vAlign w:val="bottom"/>
            <w:tcBorders>
              <w:right w:val="single" w:sz="8" w:color="CCECFF"/>
            </w:tcBorders>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80" w:type="dxa"/>
            <w:vAlign w:val="bottom"/>
            <w:shd w:val="clear" w:color="auto" w:fill="CCECFF"/>
          </w:tcPr>
          <w:p>
            <w:pPr>
              <w:spacing w:after="0"/>
              <w:rPr>
                <w:sz w:val="16"/>
                <w:szCs w:val="16"/>
                <w:color w:val="auto"/>
              </w:rPr>
            </w:pPr>
          </w:p>
        </w:tc>
        <w:tc>
          <w:tcPr>
            <w:tcW w:w="260" w:type="dxa"/>
            <w:vAlign w:val="bottom"/>
            <w:tcBorders>
              <w:right w:val="single" w:sz="8" w:color="CCECFF"/>
            </w:tcBorders>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740" w:type="dxa"/>
            <w:vAlign w:val="bottom"/>
            <w:gridSpan w:val="2"/>
            <w:vMerge w:val="restart"/>
            <w:shd w:val="clear" w:color="auto" w:fill="CCECFF"/>
          </w:tcPr>
          <w:p>
            <w:pPr>
              <w:jc w:val="right"/>
              <w:ind w:right="100"/>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Impairments</w:t>
            </w:r>
          </w:p>
        </w:tc>
        <w:tc>
          <w:tcPr>
            <w:tcW w:w="14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280" w:type="dxa"/>
            <w:vAlign w:val="bottom"/>
            <w:tcBorders>
              <w:right w:val="single" w:sz="8" w:color="CCECFF"/>
            </w:tcBorders>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260" w:type="dxa"/>
            <w:vAlign w:val="bottom"/>
            <w:tcBorders>
              <w:right w:val="single" w:sz="8" w:color="CCECFF"/>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260" w:type="dxa"/>
            <w:vAlign w:val="bottom"/>
            <w:tcBorders>
              <w:right w:val="single" w:sz="8" w:color="CCECFF"/>
            </w:tcBorders>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260" w:type="dxa"/>
            <w:vAlign w:val="bottom"/>
            <w:tcBorders>
              <w:right w:val="single" w:sz="8" w:color="CCECFF"/>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280" w:type="dxa"/>
            <w:vAlign w:val="bottom"/>
            <w:tcBorders>
              <w:right w:val="single" w:sz="8" w:color="CCECFF"/>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260" w:type="dxa"/>
            <w:vAlign w:val="bottom"/>
            <w:tcBorders>
              <w:right w:val="single" w:sz="8" w:color="CCECFF"/>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740" w:type="dxa"/>
            <w:vAlign w:val="bottom"/>
            <w:gridSpan w:val="2"/>
            <w:vMerge w:val="continue"/>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CFF"/>
          </w:tcPr>
          <w:p>
            <w:pPr>
              <w:spacing w:after="0" w:line="20" w:lineRule="exact"/>
              <w:rPr>
                <w:sz w:val="1"/>
                <w:szCs w:val="1"/>
                <w:color w:val="auto"/>
              </w:rPr>
            </w:pPr>
          </w:p>
        </w:tc>
        <w:tc>
          <w:tcPr>
            <w:tcW w:w="236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280" w:type="dxa"/>
            <w:vAlign w:val="bottom"/>
            <w:tcBorders>
              <w:right w:val="single" w:sz="8" w:color="CCECFF"/>
            </w:tcBorders>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500" w:type="dxa"/>
            <w:vAlign w:val="bottom"/>
            <w:shd w:val="clear" w:color="auto" w:fill="CCECFF"/>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580" w:type="dxa"/>
            <w:vAlign w:val="bottom"/>
            <w:shd w:val="clear" w:color="auto" w:fill="CCECFF"/>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56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560" w:type="dxa"/>
            <w:vAlign w:val="bottom"/>
            <w:shd w:val="clear" w:color="auto" w:fill="CCECFF"/>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560" w:type="dxa"/>
            <w:vAlign w:val="bottom"/>
            <w:shd w:val="clear" w:color="auto" w:fill="CCECFF"/>
          </w:tcPr>
          <w:p>
            <w:pPr>
              <w:spacing w:after="0" w:line="20" w:lineRule="exact"/>
              <w:rPr>
                <w:sz w:val="1"/>
                <w:szCs w:val="1"/>
                <w:color w:val="auto"/>
              </w:rPr>
            </w:pPr>
          </w:p>
        </w:tc>
        <w:tc>
          <w:tcPr>
            <w:tcW w:w="280" w:type="dxa"/>
            <w:vAlign w:val="bottom"/>
            <w:tcBorders>
              <w:right w:val="single" w:sz="8" w:color="CCECFF"/>
            </w:tcBorders>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580" w:type="dxa"/>
            <w:vAlign w:val="bottom"/>
            <w:shd w:val="clear" w:color="auto" w:fill="CCECFF"/>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(44,815)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Anchor</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handling</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Wind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towing</w:t>
            </w: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Fast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Standby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farm</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supply</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support</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6"/>
              </w:rPr>
              <w:t>Supply</w:t>
            </w:r>
          </w:p>
        </w:tc>
        <w:tc>
          <w:tcPr>
            <w:tcW w:w="10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8"/>
              </w:rPr>
              <w:t>safety</w:t>
            </w: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Specialty</w:t>
            </w: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Liftboats</w:t>
            </w:r>
          </w:p>
        </w:tc>
        <w:tc>
          <w:tcPr>
            <w:tcW w:w="100" w:type="dxa"/>
            <w:vAlign w:val="bottom"/>
          </w:tcPr>
          <w:p>
            <w:pPr>
              <w:spacing w:after="0"/>
              <w:rPr>
                <w:sz w:val="20"/>
                <w:szCs w:val="20"/>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utility</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9"/>
              </w:rPr>
              <w:t>activity</w:t>
            </w:r>
          </w:p>
        </w:tc>
        <w:tc>
          <w:tcPr>
            <w:tcW w:w="10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For the Six Months Ended June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30, 2017</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Time Charter Statistics: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Average Rates Per Day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320"/>
              <w:spacing w:after="0"/>
              <w:rPr>
                <w:sz w:val="20"/>
                <w:szCs w:val="20"/>
                <w:color w:val="auto"/>
              </w:rPr>
            </w:pPr>
            <w:r>
              <w:rPr>
                <w:rFonts w:ascii="Arial" w:cs="Arial" w:eastAsia="Arial" w:hAnsi="Arial"/>
                <w:sz w:val="18"/>
                <w:szCs w:val="18"/>
                <w:color w:val="auto"/>
              </w:rPr>
              <w:t>Fleet Utilization</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Fleet Available Days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6,896</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320"/>
              <w:spacing w:after="0"/>
              <w:rPr>
                <w:sz w:val="20"/>
                <w:szCs w:val="20"/>
                <w:color w:val="auto"/>
              </w:rPr>
            </w:pPr>
            <w:r>
              <w:rPr>
                <w:rFonts w:ascii="Arial" w:cs="Arial" w:eastAsia="Arial" w:hAnsi="Arial"/>
                <w:sz w:val="18"/>
                <w:szCs w:val="18"/>
                <w:color w:val="auto"/>
              </w:rPr>
              <w:t>Bareboat charter</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marine services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11,750</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76,627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Personnel</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8,825</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640"/>
              <w:spacing w:after="0"/>
              <w:rPr>
                <w:sz w:val="20"/>
                <w:szCs w:val="20"/>
                <w:color w:val="auto"/>
              </w:rPr>
            </w:pPr>
            <w:r>
              <w:rPr>
                <w:rFonts w:ascii="Arial" w:cs="Arial" w:eastAsia="Arial" w:hAnsi="Arial"/>
                <w:sz w:val="18"/>
                <w:szCs w:val="18"/>
                <w:color w:val="auto"/>
              </w:rPr>
              <w:t>Repairs and maintenance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Drydocking</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640"/>
              <w:spacing w:after="0"/>
              <w:rPr>
                <w:sz w:val="20"/>
                <w:szCs w:val="20"/>
                <w:color w:val="auto"/>
              </w:rPr>
            </w:pPr>
            <w:r>
              <w:rPr>
                <w:rFonts w:ascii="Arial" w:cs="Arial" w:eastAsia="Arial" w:hAnsi="Arial"/>
                <w:sz w:val="18"/>
                <w:szCs w:val="18"/>
                <w:color w:val="auto"/>
                <w:w w:val="94"/>
              </w:rPr>
              <w:t>Insurance and loss reserves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Fuel, lubes and supplies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6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20,368</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8,646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Direct Vessel (Loss)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3,675</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(5,875)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6,309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32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Leased-in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tcBorders>
              <w:top w:val="single" w:sz="8" w:color="CCEEFF"/>
            </w:tcBorders>
          </w:tcPr>
          <w:p>
            <w:pPr>
              <w:ind w:left="320"/>
              <w:spacing w:after="0" w:line="196" w:lineRule="exact"/>
              <w:rPr>
                <w:sz w:val="20"/>
                <w:szCs w:val="20"/>
                <w:color w:val="auto"/>
              </w:rPr>
            </w:pPr>
            <w:r>
              <w:rPr>
                <w:rFonts w:ascii="Arial" w:cs="Arial" w:eastAsia="Arial" w:hAnsi="Arial"/>
                <w:sz w:val="18"/>
                <w:szCs w:val="18"/>
                <w:color w:val="auto"/>
              </w:rPr>
              <w:t>Administrative and general</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gridSpan w:val="2"/>
          </w:tcPr>
          <w:p>
            <w:pPr>
              <w:jc w:val="right"/>
              <w:ind w:right="160"/>
              <w:spacing w:after="0" w:line="196" w:lineRule="exact"/>
              <w:rPr>
                <w:sz w:val="20"/>
                <w:szCs w:val="20"/>
                <w:color w:val="auto"/>
              </w:rPr>
            </w:pPr>
            <w:r>
              <w:rPr>
                <w:rFonts w:ascii="Arial" w:cs="Arial" w:eastAsia="Arial" w:hAnsi="Arial"/>
                <w:sz w:val="18"/>
                <w:szCs w:val="18"/>
                <w:color w:val="auto"/>
              </w:rPr>
              <w:t>33,531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27,136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67,948</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Losses on Asset Dispositions and</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b w:val="1"/>
                <w:bCs w:val="1"/>
                <w:color w:val="auto"/>
              </w:rPr>
              <w:t>As of June 30, 2017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320"/>
              <w:spacing w:after="0"/>
              <w:rPr>
                <w:sz w:val="20"/>
                <w:szCs w:val="20"/>
                <w:color w:val="auto"/>
              </w:rPr>
            </w:pPr>
            <w:r>
              <w:rPr>
                <w:rFonts w:ascii="Arial" w:cs="Arial" w:eastAsia="Arial" w:hAnsi="Arial"/>
                <w:sz w:val="18"/>
                <w:szCs w:val="18"/>
                <w:color w:val="auto"/>
              </w:rPr>
              <w:t>Historical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224,490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381,705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87,443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116,244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38,500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195,108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63,839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47,826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1,155,155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(183,322)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(81,341)</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(52,649)</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(94,790)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(18,442)</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(47,942)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(34,135)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(31,201)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41,168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300,364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34,794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21,454</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20,058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147,166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29,704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16,625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611,333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Fleet Counts. </w:t>
      </w:r>
      <w:r>
        <w:rPr>
          <w:rFonts w:ascii="Arial" w:cs="Arial" w:eastAsia="Arial" w:hAnsi="Arial"/>
          <w:sz w:val="22"/>
          <w:szCs w:val="22"/>
          <w:color w:val="auto"/>
        </w:rPr>
        <w:t>The Company's fleet count as of June 30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ind w:left="540"/>
              <w:spacing w:after="0"/>
              <w:rPr>
                <w:sz w:val="20"/>
                <w:szCs w:val="20"/>
                <w:color w:val="auto"/>
              </w:rPr>
            </w:pPr>
            <w:r>
              <w:rPr>
                <w:rFonts w:ascii="Arial" w:cs="Arial" w:eastAsia="Arial" w:hAnsi="Arial"/>
                <w:sz w:val="18"/>
                <w:szCs w:val="18"/>
                <w:b w:val="1"/>
                <w:bCs w:val="1"/>
                <w:color w:val="auto"/>
              </w:rPr>
              <w:t>Owned</w:t>
            </w:r>
          </w:p>
        </w:tc>
        <w:tc>
          <w:tcPr>
            <w:tcW w:w="18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Joint Ventured</w:t>
            </w:r>
          </w:p>
        </w:tc>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Leased-in</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ind w:left="420"/>
              <w:spacing w:after="0"/>
              <w:rPr>
                <w:sz w:val="20"/>
                <w:szCs w:val="20"/>
                <w:color w:val="auto"/>
              </w:rPr>
            </w:pPr>
            <w:r>
              <w:rPr>
                <w:rFonts w:ascii="Arial" w:cs="Arial" w:eastAsia="Arial" w:hAnsi="Arial"/>
                <w:sz w:val="18"/>
                <w:szCs w:val="18"/>
                <w:b w:val="1"/>
                <w:bCs w:val="1"/>
                <w:color w:val="auto"/>
              </w:rPr>
              <w:t>Managed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ind w:left="5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Borders>
              <w:bottom w:val="single" w:sz="8" w:color="auto"/>
            </w:tcBorders>
            <w:shd w:val="clear" w:color="auto" w:fill="CCECFF"/>
          </w:tcPr>
          <w:p>
            <w:pPr>
              <w:jc w:val="right"/>
              <w:ind w:right="8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CFF"/>
            </w:tcBorders>
            <w:shd w:val="clear" w:color="auto" w:fill="CCECFF"/>
          </w:tcPr>
          <w:p>
            <w:pPr>
              <w:spacing w:after="0"/>
              <w:rPr>
                <w:sz w:val="18"/>
                <w:szCs w:val="18"/>
                <w:color w:val="auto"/>
              </w:rPr>
            </w:pPr>
          </w:p>
        </w:tc>
        <w:tc>
          <w:tcPr>
            <w:tcW w:w="16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160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130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12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158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w w:val="97"/>
              </w:rPr>
              <w:t>Anchor handling towing supply</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3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Fast support</w:t>
            </w:r>
          </w:p>
        </w:tc>
        <w:tc>
          <w:tcPr>
            <w:tcW w:w="1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CFF"/>
          </w:tcPr>
          <w:p>
            <w:pPr>
              <w:spacing w:after="0"/>
              <w:rPr>
                <w:sz w:val="18"/>
                <w:szCs w:val="18"/>
                <w:color w:val="auto"/>
              </w:rPr>
            </w:pP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5</w:t>
            </w:r>
          </w:p>
        </w:tc>
        <w:tc>
          <w:tcPr>
            <w:tcW w:w="1300" w:type="dxa"/>
            <w:vAlign w:val="bottom"/>
            <w:shd w:val="clear" w:color="auto" w:fill="CCECFF"/>
          </w:tcPr>
          <w:p>
            <w:pPr>
              <w:spacing w:after="0"/>
              <w:rPr>
                <w:sz w:val="18"/>
                <w:szCs w:val="18"/>
                <w:color w:val="auto"/>
              </w:rPr>
            </w:pPr>
          </w:p>
        </w:tc>
        <w:tc>
          <w:tcPr>
            <w:tcW w:w="5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1</w:t>
            </w:r>
          </w:p>
        </w:tc>
        <w:tc>
          <w:tcPr>
            <w:tcW w:w="1280" w:type="dxa"/>
            <w:vAlign w:val="bottom"/>
            <w:shd w:val="clear" w:color="auto" w:fill="CCECFF"/>
          </w:tcPr>
          <w:p>
            <w:pPr>
              <w:spacing w:after="0"/>
              <w:rPr>
                <w:sz w:val="18"/>
                <w:szCs w:val="18"/>
                <w:color w:val="auto"/>
              </w:rPr>
            </w:pPr>
          </w:p>
        </w:tc>
        <w:tc>
          <w:tcPr>
            <w:tcW w:w="5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3</w:t>
            </w:r>
          </w:p>
        </w:tc>
        <w:tc>
          <w:tcPr>
            <w:tcW w:w="16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Supply</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0" w:type="dxa"/>
            <w:vAlign w:val="bottom"/>
            <w:gridSpan w:val="3"/>
          </w:tcPr>
          <w:p>
            <w:pPr>
              <w:jc w:val="right"/>
              <w:ind w:right="14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Standby safety</w:t>
            </w:r>
          </w:p>
        </w:tc>
        <w:tc>
          <w:tcPr>
            <w:tcW w:w="1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CFF"/>
          </w:tcPr>
          <w:p>
            <w:pPr>
              <w:spacing w:after="0"/>
              <w:rPr>
                <w:sz w:val="18"/>
                <w:szCs w:val="18"/>
                <w:color w:val="auto"/>
              </w:rPr>
            </w:pP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w:t>
            </w:r>
          </w:p>
        </w:tc>
        <w:tc>
          <w:tcPr>
            <w:tcW w:w="1300" w:type="dxa"/>
            <w:vAlign w:val="bottom"/>
            <w:shd w:val="clear" w:color="auto" w:fill="CCECFF"/>
          </w:tcPr>
          <w:p>
            <w:pPr>
              <w:spacing w:after="0"/>
              <w:rPr>
                <w:sz w:val="18"/>
                <w:szCs w:val="18"/>
                <w:color w:val="auto"/>
              </w:rPr>
            </w:pPr>
          </w:p>
        </w:tc>
        <w:tc>
          <w:tcPr>
            <w:tcW w:w="1800" w:type="dxa"/>
            <w:vAlign w:val="bottom"/>
            <w:gridSpan w:val="3"/>
            <w:shd w:val="clear" w:color="auto" w:fill="CCECFF"/>
          </w:tcPr>
          <w:p>
            <w:pPr>
              <w:jc w:val="right"/>
              <w:ind w:right="14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Specialty</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300" w:type="dxa"/>
            <w:vAlign w:val="bottom"/>
          </w:tcPr>
          <w:p>
            <w:pPr>
              <w:spacing w:after="0"/>
              <w:rPr>
                <w:sz w:val="18"/>
                <w:szCs w:val="18"/>
                <w:color w:val="auto"/>
              </w:rPr>
            </w:pPr>
          </w:p>
        </w:tc>
        <w:tc>
          <w:tcPr>
            <w:tcW w:w="1800" w:type="dxa"/>
            <w:vAlign w:val="bottom"/>
            <w:gridSpan w:val="3"/>
          </w:tcPr>
          <w:p>
            <w:pPr>
              <w:jc w:val="right"/>
              <w:ind w:right="14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Liftboats</w:t>
            </w:r>
          </w:p>
        </w:tc>
        <w:tc>
          <w:tcPr>
            <w:tcW w:w="1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CFF"/>
          </w:tcPr>
          <w:p>
            <w:pPr>
              <w:spacing w:after="0"/>
              <w:rPr>
                <w:sz w:val="18"/>
                <w:szCs w:val="18"/>
                <w:color w:val="auto"/>
              </w:rPr>
            </w:pP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CFF"/>
          </w:tcPr>
          <w:p>
            <w:pPr>
              <w:spacing w:after="0"/>
              <w:rPr>
                <w:sz w:val="18"/>
                <w:szCs w:val="18"/>
                <w:color w:val="auto"/>
              </w:rPr>
            </w:pPr>
          </w:p>
        </w:tc>
        <w:tc>
          <w:tcPr>
            <w:tcW w:w="5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2</w:t>
            </w:r>
          </w:p>
        </w:tc>
        <w:tc>
          <w:tcPr>
            <w:tcW w:w="1280" w:type="dxa"/>
            <w:vAlign w:val="bottom"/>
            <w:shd w:val="clear" w:color="auto" w:fill="CCECFF"/>
          </w:tcPr>
          <w:p>
            <w:pPr>
              <w:spacing w:after="0"/>
              <w:rPr>
                <w:sz w:val="18"/>
                <w:szCs w:val="18"/>
                <w:color w:val="auto"/>
              </w:rPr>
            </w:pPr>
          </w:p>
        </w:tc>
        <w:tc>
          <w:tcPr>
            <w:tcW w:w="5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Wind farm utility</w:t>
            </w:r>
          </w:p>
        </w:tc>
        <w:tc>
          <w:tcPr>
            <w:tcW w:w="162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300" w:type="dxa"/>
            <w:vAlign w:val="bottom"/>
          </w:tcPr>
          <w:p>
            <w:pPr>
              <w:spacing w:after="0"/>
              <w:rPr>
                <w:sz w:val="18"/>
                <w:szCs w:val="18"/>
                <w:color w:val="auto"/>
              </w:rPr>
            </w:pPr>
          </w:p>
        </w:tc>
        <w:tc>
          <w:tcPr>
            <w:tcW w:w="1800" w:type="dxa"/>
            <w:vAlign w:val="bottom"/>
            <w:gridSpan w:val="3"/>
          </w:tcPr>
          <w:p>
            <w:pPr>
              <w:jc w:val="right"/>
              <w:ind w:right="14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Borders>
              <w:bottom w:val="single" w:sz="8" w:color="CCECFF"/>
            </w:tcBorders>
            <w:shd w:val="clear" w:color="auto" w:fill="CCECFF"/>
          </w:tcPr>
          <w:p>
            <w:pPr>
              <w:spacing w:after="0"/>
              <w:rPr>
                <w:sz w:val="21"/>
                <w:szCs w:val="21"/>
                <w:color w:val="auto"/>
              </w:rPr>
            </w:pPr>
          </w:p>
        </w:tc>
        <w:tc>
          <w:tcPr>
            <w:tcW w:w="1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CECFF"/>
            </w:tcBorders>
            <w:shd w:val="clear" w:color="auto" w:fill="CCECFF"/>
          </w:tcPr>
          <w:p>
            <w:pPr>
              <w:spacing w:after="0"/>
              <w:rPr>
                <w:sz w:val="21"/>
                <w:szCs w:val="21"/>
                <w:color w:val="auto"/>
              </w:rPr>
            </w:pPr>
          </w:p>
        </w:tc>
        <w:tc>
          <w:tcPr>
            <w:tcW w:w="1300" w:type="dxa"/>
            <w:vAlign w:val="bottom"/>
            <w:tcBorders>
              <w:top w:val="single" w:sz="8" w:color="auto"/>
              <w:bottom w:val="single" w:sz="8" w:color="auto"/>
            </w:tcBorders>
            <w:shd w:val="clear" w:color="auto" w:fill="CCECFF"/>
          </w:tcPr>
          <w:p>
            <w:pPr>
              <w:spacing w:after="0"/>
              <w:rPr>
                <w:sz w:val="21"/>
                <w:szCs w:val="21"/>
                <w:color w:val="auto"/>
              </w:rPr>
            </w:pPr>
          </w:p>
        </w:tc>
        <w:tc>
          <w:tcPr>
            <w:tcW w:w="3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CFF"/>
            </w:tcBorders>
            <w:shd w:val="clear" w:color="auto" w:fill="CCECFF"/>
          </w:tcPr>
          <w:p>
            <w:pPr>
              <w:spacing w:after="0"/>
              <w:rPr>
                <w:sz w:val="21"/>
                <w:szCs w:val="21"/>
                <w:color w:val="auto"/>
              </w:rPr>
            </w:pPr>
          </w:p>
        </w:tc>
        <w:tc>
          <w:tcPr>
            <w:tcW w:w="1280" w:type="dxa"/>
            <w:vAlign w:val="bottom"/>
            <w:tcBorders>
              <w:top w:val="single" w:sz="8" w:color="auto"/>
              <w:bottom w:val="single" w:sz="8" w:color="auto"/>
            </w:tcBorders>
            <w:shd w:val="clear" w:color="auto" w:fill="CCECFF"/>
          </w:tcPr>
          <w:p>
            <w:pPr>
              <w:spacing w:after="0"/>
              <w:rPr>
                <w:sz w:val="21"/>
                <w:szCs w:val="21"/>
                <w:color w:val="auto"/>
              </w:rPr>
            </w:pPr>
          </w:p>
        </w:tc>
        <w:tc>
          <w:tcPr>
            <w:tcW w:w="3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CFF"/>
            </w:tcBorders>
            <w:shd w:val="clear" w:color="auto" w:fill="CCECFF"/>
          </w:tcPr>
          <w:p>
            <w:pPr>
              <w:spacing w:after="0"/>
              <w:rPr>
                <w:sz w:val="21"/>
                <w:szCs w:val="21"/>
                <w:color w:val="auto"/>
              </w:rPr>
            </w:pPr>
          </w:p>
        </w:tc>
        <w:tc>
          <w:tcPr>
            <w:tcW w:w="1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8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shd w:val="clear" w:color="auto" w:fill="CCECFF"/>
          </w:tcPr>
          <w:p>
            <w:pPr>
              <w:spacing w:after="0"/>
              <w:rPr>
                <w:sz w:val="20"/>
                <w:szCs w:val="20"/>
                <w:color w:val="auto"/>
              </w:rPr>
            </w:pPr>
            <w:r>
              <w:rPr>
                <w:rFonts w:ascii="Arial" w:cs="Arial" w:eastAsia="Arial" w:hAnsi="Arial"/>
                <w:sz w:val="18"/>
                <w:szCs w:val="18"/>
                <w:color w:val="auto"/>
                <w:w w:val="92"/>
              </w:rPr>
              <w:t>Anchor handling towing supply</w:t>
            </w:r>
          </w:p>
        </w:tc>
        <w:tc>
          <w:tcPr>
            <w:tcW w:w="12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CFF"/>
          </w:tcPr>
          <w:p>
            <w:pPr>
              <w:spacing w:after="0"/>
              <w:rPr>
                <w:sz w:val="18"/>
                <w:szCs w:val="18"/>
                <w:color w:val="auto"/>
              </w:rPr>
            </w:pP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w:t>
            </w:r>
          </w:p>
        </w:tc>
        <w:tc>
          <w:tcPr>
            <w:tcW w:w="1300" w:type="dxa"/>
            <w:vAlign w:val="bottom"/>
            <w:shd w:val="clear" w:color="auto" w:fill="CCECFF"/>
          </w:tcPr>
          <w:p>
            <w:pPr>
              <w:spacing w:after="0"/>
              <w:rPr>
                <w:sz w:val="18"/>
                <w:szCs w:val="18"/>
                <w:color w:val="auto"/>
              </w:rPr>
            </w:pPr>
          </w:p>
        </w:tc>
        <w:tc>
          <w:tcPr>
            <w:tcW w:w="5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4</w:t>
            </w:r>
          </w:p>
        </w:tc>
        <w:tc>
          <w:tcPr>
            <w:tcW w:w="1280" w:type="dxa"/>
            <w:vAlign w:val="bottom"/>
            <w:shd w:val="clear" w:color="auto" w:fill="CCECFF"/>
          </w:tcPr>
          <w:p>
            <w:pPr>
              <w:spacing w:after="0"/>
              <w:rPr>
                <w:sz w:val="18"/>
                <w:szCs w:val="18"/>
                <w:color w:val="auto"/>
              </w:rPr>
            </w:pPr>
          </w:p>
        </w:tc>
        <w:tc>
          <w:tcPr>
            <w:tcW w:w="5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9</w:t>
            </w:r>
          </w:p>
        </w:tc>
        <w:tc>
          <w:tcPr>
            <w:tcW w:w="16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Fast support</w:t>
            </w: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3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Supply</w:t>
            </w:r>
          </w:p>
        </w:tc>
        <w:tc>
          <w:tcPr>
            <w:tcW w:w="1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CFF"/>
          </w:tcPr>
          <w:p>
            <w:pPr>
              <w:spacing w:after="0"/>
              <w:rPr>
                <w:sz w:val="18"/>
                <w:szCs w:val="18"/>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CFF"/>
          </w:tcPr>
          <w:p>
            <w:pPr>
              <w:spacing w:after="0"/>
              <w:rPr>
                <w:sz w:val="18"/>
                <w:szCs w:val="18"/>
                <w:color w:val="auto"/>
              </w:rPr>
            </w:pPr>
          </w:p>
        </w:tc>
        <w:tc>
          <w:tcPr>
            <w:tcW w:w="1300" w:type="dxa"/>
            <w:vAlign w:val="bottom"/>
            <w:shd w:val="clear" w:color="auto" w:fill="CCECFF"/>
          </w:tcPr>
          <w:p>
            <w:pPr>
              <w:spacing w:after="0"/>
              <w:rPr>
                <w:sz w:val="18"/>
                <w:szCs w:val="18"/>
                <w:color w:val="auto"/>
              </w:rPr>
            </w:pPr>
          </w:p>
        </w:tc>
        <w:tc>
          <w:tcPr>
            <w:tcW w:w="1800" w:type="dxa"/>
            <w:vAlign w:val="bottom"/>
            <w:gridSpan w:val="3"/>
            <w:shd w:val="clear" w:color="auto" w:fill="CCECFF"/>
          </w:tcPr>
          <w:p>
            <w:pPr>
              <w:jc w:val="right"/>
              <w:ind w:right="14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2</w:t>
            </w:r>
          </w:p>
        </w:tc>
        <w:tc>
          <w:tcPr>
            <w:tcW w:w="16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Standby safety</w:t>
            </w: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300" w:type="dxa"/>
            <w:vAlign w:val="bottom"/>
          </w:tcPr>
          <w:p>
            <w:pPr>
              <w:spacing w:after="0"/>
              <w:rPr>
                <w:sz w:val="18"/>
                <w:szCs w:val="18"/>
                <w:color w:val="auto"/>
              </w:rPr>
            </w:pPr>
          </w:p>
        </w:tc>
        <w:tc>
          <w:tcPr>
            <w:tcW w:w="1800" w:type="dxa"/>
            <w:vAlign w:val="bottom"/>
            <w:gridSpan w:val="3"/>
          </w:tcPr>
          <w:p>
            <w:pPr>
              <w:jc w:val="right"/>
              <w:ind w:right="14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Specialty</w:t>
            </w:r>
          </w:p>
        </w:tc>
        <w:tc>
          <w:tcPr>
            <w:tcW w:w="1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CFF"/>
          </w:tcPr>
          <w:p>
            <w:pPr>
              <w:spacing w:after="0"/>
              <w:rPr>
                <w:sz w:val="18"/>
                <w:szCs w:val="18"/>
                <w:color w:val="auto"/>
              </w:rPr>
            </w:pP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w:t>
            </w:r>
          </w:p>
        </w:tc>
        <w:tc>
          <w:tcPr>
            <w:tcW w:w="1300" w:type="dxa"/>
            <w:vAlign w:val="bottom"/>
            <w:shd w:val="clear" w:color="auto" w:fill="CCECFF"/>
          </w:tcPr>
          <w:p>
            <w:pPr>
              <w:spacing w:after="0"/>
              <w:rPr>
                <w:sz w:val="18"/>
                <w:szCs w:val="18"/>
                <w:color w:val="auto"/>
              </w:rPr>
            </w:pPr>
          </w:p>
        </w:tc>
        <w:tc>
          <w:tcPr>
            <w:tcW w:w="1800" w:type="dxa"/>
            <w:vAlign w:val="bottom"/>
            <w:gridSpan w:val="3"/>
            <w:shd w:val="clear" w:color="auto" w:fill="CCECFF"/>
          </w:tcPr>
          <w:p>
            <w:pPr>
              <w:jc w:val="right"/>
              <w:ind w:right="14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2</w:t>
            </w:r>
          </w:p>
        </w:tc>
        <w:tc>
          <w:tcPr>
            <w:tcW w:w="16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Liftboats</w:t>
            </w:r>
          </w:p>
        </w:tc>
        <w:tc>
          <w:tcPr>
            <w:tcW w:w="162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Wind farm utility</w:t>
            </w:r>
          </w:p>
        </w:tc>
        <w:tc>
          <w:tcPr>
            <w:tcW w:w="1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CFF"/>
          </w:tcPr>
          <w:p>
            <w:pPr>
              <w:spacing w:after="0"/>
              <w:rPr>
                <w:sz w:val="18"/>
                <w:szCs w:val="18"/>
                <w:color w:val="auto"/>
              </w:rPr>
            </w:pPr>
          </w:p>
        </w:tc>
        <w:tc>
          <w:tcPr>
            <w:tcW w:w="18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3</w:t>
            </w:r>
          </w:p>
        </w:tc>
        <w:tc>
          <w:tcPr>
            <w:tcW w:w="1300" w:type="dxa"/>
            <w:vAlign w:val="bottom"/>
            <w:shd w:val="clear" w:color="auto" w:fill="CCECFF"/>
          </w:tcPr>
          <w:p>
            <w:pPr>
              <w:spacing w:after="0"/>
              <w:rPr>
                <w:sz w:val="18"/>
                <w:szCs w:val="18"/>
                <w:color w:val="auto"/>
              </w:rPr>
            </w:pPr>
          </w:p>
        </w:tc>
        <w:tc>
          <w:tcPr>
            <w:tcW w:w="1800" w:type="dxa"/>
            <w:vAlign w:val="bottom"/>
            <w:gridSpan w:val="3"/>
            <w:shd w:val="clear" w:color="auto" w:fill="CCECFF"/>
          </w:tcPr>
          <w:p>
            <w:pPr>
              <w:jc w:val="right"/>
              <w:ind w:right="14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757"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757" w:gutter="0" w:footer="0" w:header="0"/>
          <w:type w:val="continuous"/>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 (Loss)</w:t>
      </w:r>
    </w:p>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b w:val="1"/>
          <w:bCs w:val="1"/>
          <w:i w:val="1"/>
          <w:iCs w:val="1"/>
          <w:color w:val="auto"/>
        </w:rPr>
        <w:t xml:space="preserve">United States, primarily Gulf of Mexico. </w:t>
      </w:r>
      <w:r>
        <w:rPr>
          <w:rFonts w:ascii="Arial" w:cs="Arial" w:eastAsia="Arial" w:hAnsi="Arial"/>
          <w:sz w:val="22"/>
          <w:szCs w:val="22"/>
          <w:color w:val="auto"/>
        </w:rPr>
        <w:t>For the three and six months ended June 30, the Company’s direct vessel profit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(loss) in the United States was as follows (in thousands, except statistics):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8"/>
          </w:tcPr>
          <w:p>
            <w:pPr>
              <w:ind w:left="120"/>
              <w:spacing w:after="0"/>
              <w:rPr>
                <w:sz w:val="20"/>
                <w:szCs w:val="20"/>
                <w:color w:val="auto"/>
              </w:rPr>
            </w:pPr>
            <w:r>
              <w:rPr>
                <w:rFonts w:ascii="Arial" w:cs="Arial" w:eastAsia="Arial" w:hAnsi="Arial"/>
                <w:sz w:val="18"/>
                <w:szCs w:val="18"/>
                <w:b w:val="1"/>
                <w:bCs w:val="1"/>
                <w:color w:val="auto"/>
                <w:w w:val="91"/>
              </w:rPr>
              <w:t>For the Three Months Ended June 30,</w:t>
            </w:r>
          </w:p>
        </w:tc>
        <w:tc>
          <w:tcPr>
            <w:tcW w:w="3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6"/>
              </w:rPr>
              <w:t>For the Six Months Ended June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3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660" w:type="dxa"/>
            <w:vAlign w:val="bottom"/>
          </w:tcPr>
          <w:p>
            <w:pPr>
              <w:ind w:left="340"/>
              <w:spacing w:after="0"/>
              <w:rPr>
                <w:sz w:val="20"/>
                <w:szCs w:val="20"/>
                <w:color w:val="auto"/>
              </w:rPr>
            </w:pPr>
            <w:r>
              <w:rPr>
                <w:rFonts w:ascii="Arial" w:cs="Arial" w:eastAsia="Arial" w:hAnsi="Arial"/>
                <w:sz w:val="18"/>
                <w:szCs w:val="18"/>
                <w:color w:val="auto"/>
              </w:rPr>
              <w:t>Rates Per Day Worked: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Anchor handling towing supply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27,326</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27,326</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35,496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660" w:type="dxa"/>
            <w:vAlign w:val="bottom"/>
          </w:tcPr>
          <w:p>
            <w:pPr>
              <w:ind w:left="660"/>
              <w:spacing w:after="0"/>
              <w:rPr>
                <w:sz w:val="20"/>
                <w:szCs w:val="20"/>
                <w:color w:val="auto"/>
              </w:rPr>
            </w:pPr>
            <w:r>
              <w:rPr>
                <w:rFonts w:ascii="Arial" w:cs="Arial" w:eastAsia="Arial" w:hAnsi="Arial"/>
                <w:sz w:val="18"/>
                <w:szCs w:val="18"/>
                <w:color w:val="auto"/>
              </w:rPr>
              <w:t>Fast support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6,594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8,454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6,894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8,550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6,953</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6,953</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660" w:type="dxa"/>
            <w:vAlign w:val="bottom"/>
          </w:tcPr>
          <w:p>
            <w:pPr>
              <w:ind w:left="660"/>
              <w:spacing w:after="0"/>
              <w:rPr>
                <w:sz w:val="20"/>
                <w:szCs w:val="20"/>
                <w:color w:val="auto"/>
              </w:rPr>
            </w:pPr>
            <w:r>
              <w:rPr>
                <w:rFonts w:ascii="Arial" w:cs="Arial" w:eastAsia="Arial" w:hAnsi="Arial"/>
                <w:sz w:val="18"/>
                <w:szCs w:val="18"/>
                <w:color w:val="auto"/>
              </w:rPr>
              <w:t>Liftboats</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12,955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10,315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11,992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10,293</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Overall</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10,503</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9,740</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9,808</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660" w:type="dxa"/>
            <w:vAlign w:val="bottom"/>
          </w:tcPr>
          <w:p>
            <w:pPr>
              <w:ind w:left="340"/>
              <w:spacing w:after="0"/>
              <w:rPr>
                <w:sz w:val="20"/>
                <w:szCs w:val="20"/>
                <w:color w:val="auto"/>
              </w:rPr>
            </w:pPr>
            <w:r>
              <w:rPr>
                <w:rFonts w:ascii="Arial" w:cs="Arial" w:eastAsia="Arial" w:hAnsi="Arial"/>
                <w:sz w:val="18"/>
                <w:szCs w:val="18"/>
                <w:color w:val="auto"/>
              </w:rPr>
              <w:t>Utilization:</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Anchor handling towing supply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3660" w:type="dxa"/>
            <w:vAlign w:val="bottom"/>
          </w:tcPr>
          <w:p>
            <w:pPr>
              <w:ind w:left="660"/>
              <w:spacing w:after="0"/>
              <w:rPr>
                <w:sz w:val="20"/>
                <w:szCs w:val="20"/>
                <w:color w:val="auto"/>
              </w:rPr>
            </w:pPr>
            <w:r>
              <w:rPr>
                <w:rFonts w:ascii="Arial" w:cs="Arial" w:eastAsia="Arial" w:hAnsi="Arial"/>
                <w:sz w:val="18"/>
                <w:szCs w:val="18"/>
                <w:color w:val="auto"/>
              </w:rPr>
              <w:t>Fast support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3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ind w:left="660"/>
              <w:spacing w:after="0"/>
              <w:rPr>
                <w:sz w:val="20"/>
                <w:szCs w:val="20"/>
                <w:color w:val="auto"/>
              </w:rPr>
            </w:pPr>
            <w:r>
              <w:rPr>
                <w:rFonts w:ascii="Arial" w:cs="Arial" w:eastAsia="Arial" w:hAnsi="Arial"/>
                <w:sz w:val="18"/>
                <w:szCs w:val="18"/>
                <w:color w:val="auto"/>
              </w:rPr>
              <w:t>Liftboats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3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Overall</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3660" w:type="dxa"/>
            <w:vAlign w:val="bottom"/>
          </w:tcPr>
          <w:p>
            <w:pPr>
              <w:ind w:left="340"/>
              <w:spacing w:after="0"/>
              <w:rPr>
                <w:sz w:val="20"/>
                <w:szCs w:val="20"/>
                <w:color w:val="auto"/>
              </w:rPr>
            </w:pPr>
            <w:r>
              <w:rPr>
                <w:rFonts w:ascii="Arial" w:cs="Arial" w:eastAsia="Arial" w:hAnsi="Arial"/>
                <w:sz w:val="18"/>
                <w:szCs w:val="18"/>
                <w:color w:val="auto"/>
              </w:rPr>
              <w:t>Available Days: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Anchor handling towing supply</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660" w:type="dxa"/>
            <w:vAlign w:val="bottom"/>
          </w:tcPr>
          <w:p>
            <w:pPr>
              <w:ind w:left="660"/>
              <w:spacing w:after="0"/>
              <w:rPr>
                <w:sz w:val="20"/>
                <w:szCs w:val="20"/>
                <w:color w:val="auto"/>
              </w:rPr>
            </w:pPr>
            <w:r>
              <w:rPr>
                <w:rFonts w:ascii="Arial" w:cs="Arial" w:eastAsia="Arial" w:hAnsi="Arial"/>
                <w:sz w:val="18"/>
                <w:szCs w:val="18"/>
                <w:color w:val="auto"/>
              </w:rPr>
              <w:t>Fast support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1,507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1,802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3,088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3,455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660" w:type="dxa"/>
            <w:vAlign w:val="bottom"/>
          </w:tcPr>
          <w:p>
            <w:pPr>
              <w:ind w:left="660"/>
              <w:spacing w:after="0"/>
              <w:rPr>
                <w:sz w:val="20"/>
                <w:szCs w:val="20"/>
                <w:color w:val="auto"/>
              </w:rPr>
            </w:pPr>
            <w:r>
              <w:rPr>
                <w:rFonts w:ascii="Arial" w:cs="Arial" w:eastAsia="Arial" w:hAnsi="Arial"/>
                <w:sz w:val="18"/>
                <w:szCs w:val="18"/>
                <w:color w:val="auto"/>
              </w:rPr>
              <w:t>Specialty</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Liftboats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1,532</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2,921</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660" w:type="dxa"/>
            <w:vAlign w:val="bottom"/>
          </w:tcPr>
          <w:p>
            <w:pPr>
              <w:ind w:left="660"/>
              <w:spacing w:after="0"/>
              <w:rPr>
                <w:sz w:val="20"/>
                <w:szCs w:val="20"/>
                <w:color w:val="auto"/>
              </w:rPr>
            </w:pPr>
            <w:r>
              <w:rPr>
                <w:rFonts w:ascii="Arial" w:cs="Arial" w:eastAsia="Arial" w:hAnsi="Arial"/>
                <w:sz w:val="18"/>
                <w:szCs w:val="18"/>
                <w:color w:val="auto"/>
              </w:rPr>
              <w:t>Overall</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3,710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4,063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7,760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8,061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3660" w:type="dxa"/>
            <w:vAlign w:val="bottom"/>
          </w:tcPr>
          <w:p>
            <w:pPr>
              <w:ind w:left="340"/>
              <w:spacing w:after="0"/>
              <w:rPr>
                <w:sz w:val="20"/>
                <w:szCs w:val="20"/>
                <w:color w:val="auto"/>
              </w:rPr>
            </w:pPr>
            <w:r>
              <w:rPr>
                <w:rFonts w:ascii="Arial" w:cs="Arial" w:eastAsia="Arial" w:hAnsi="Arial"/>
                <w:sz w:val="18"/>
                <w:szCs w:val="18"/>
                <w:color w:val="auto"/>
              </w:rPr>
              <w:t>Time charter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9,052</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4,889</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15,034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7,884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marine services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1,676</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3,331</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0"/>
        </w:trPr>
        <w:tc>
          <w:tcPr>
            <w:tcW w:w="36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10,728</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6,087</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100%</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18,365</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9,908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Direct 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660" w:type="dxa"/>
            <w:vAlign w:val="bottom"/>
          </w:tcPr>
          <w:p>
            <w:pPr>
              <w:ind w:left="340"/>
              <w:spacing w:after="0"/>
              <w:rPr>
                <w:sz w:val="20"/>
                <w:szCs w:val="20"/>
                <w:color w:val="auto"/>
              </w:rPr>
            </w:pPr>
            <w:r>
              <w:rPr>
                <w:rFonts w:ascii="Arial" w:cs="Arial" w:eastAsia="Arial" w:hAnsi="Arial"/>
                <w:sz w:val="18"/>
                <w:szCs w:val="18"/>
                <w:color w:val="auto"/>
              </w:rPr>
              <w:t>Personnel</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4,636</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4,183</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8,628</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7,313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r>
      <w:tr>
        <w:trPr>
          <w:trHeight w:val="216"/>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Repairs and maintenance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1,529</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2,223</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3660" w:type="dxa"/>
            <w:vAlign w:val="bottom"/>
          </w:tcPr>
          <w:p>
            <w:pPr>
              <w:ind w:left="340"/>
              <w:spacing w:after="0"/>
              <w:rPr>
                <w:sz w:val="20"/>
                <w:szCs w:val="20"/>
                <w:color w:val="auto"/>
              </w:rPr>
            </w:pPr>
            <w:r>
              <w:rPr>
                <w:rFonts w:ascii="Arial" w:cs="Arial" w:eastAsia="Arial" w:hAnsi="Arial"/>
                <w:sz w:val="18"/>
                <w:szCs w:val="18"/>
                <w:color w:val="auto"/>
              </w:rPr>
              <w:t>Drydocking</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910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1,435</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883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Insurance and loss reserves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1,205</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1,336</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3660" w:type="dxa"/>
            <w:vAlign w:val="bottom"/>
          </w:tcPr>
          <w:p>
            <w:pPr>
              <w:ind w:left="340"/>
              <w:spacing w:after="0"/>
              <w:rPr>
                <w:sz w:val="20"/>
                <w:szCs w:val="20"/>
                <w:color w:val="auto"/>
              </w:rPr>
            </w:pPr>
            <w:r>
              <w:rPr>
                <w:rFonts w:ascii="Arial" w:cs="Arial" w:eastAsia="Arial" w:hAnsi="Arial"/>
                <w:sz w:val="18"/>
                <w:szCs w:val="18"/>
                <w:color w:val="auto"/>
              </w:rPr>
              <w:t>Fuel, lubes and supplies</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900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1,393</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855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36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8,906</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7,231</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119%</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15,069</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12,858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r>
      <w:tr>
        <w:trPr>
          <w:trHeight w:val="20"/>
        </w:trPr>
        <w:tc>
          <w:tcPr>
            <w:tcW w:w="3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Direct Vessel Profit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1,822</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(1,144)</w:t>
            </w:r>
          </w:p>
        </w:tc>
        <w:tc>
          <w:tcPr>
            <w:tcW w:w="14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3,296</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39" w:lineRule="exact"/>
        <w:rPr>
          <w:sz w:val="20"/>
          <w:szCs w:val="20"/>
          <w:color w:val="auto"/>
        </w:rPr>
      </w:pPr>
    </w:p>
    <w:p>
      <w:pPr>
        <w:jc w:val="both"/>
        <w:ind w:left="140" w:right="140" w:firstLine="486"/>
        <w:spacing w:after="0" w:line="234"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Time charter revenues were $4.2 million higher in the Current Year Quarter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Year Quarter primarily due to the addition of six liftboats associated with the FGH joint venture. Time charter revenues were $4.0 million higher for the liftboat fleet and $0.2 million higher for the anchor handling towing supply vessels. As of June 30, 2018, the Company had 25 of 38 owned and leased-in vessels (six anchor handling towing supply vessels, 12 fast support vessels, six liftboats and one specialty vessel) cold-stacked compared with 32 of 42 vessels as of June 30, 2017. As of June 30, 2018, the Company had retired and removed from service five vessels (four anchor handling towing supply vessels and one supply vessel) in this region.</w:t>
      </w:r>
    </w:p>
    <w:p>
      <w:pPr>
        <w:spacing w:after="0" w:line="218" w:lineRule="exact"/>
        <w:rPr>
          <w:sz w:val="20"/>
          <w:szCs w:val="20"/>
          <w:color w:val="auto"/>
        </w:rPr>
      </w:pPr>
    </w:p>
    <w:p>
      <w:pPr>
        <w:jc w:val="both"/>
        <w:ind w:left="140" w:right="140" w:firstLine="432"/>
        <w:spacing w:after="0" w:line="238"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$1.7 million higher in the Current Year Quarter compared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Year Quarter. On an overall basis, direct operating expenses were $3.6 million higher due to net fleet acquisitions primarily associated with the FGH joint venture, $1.2 million lower due to the effect of cold-stacking vessels, and $0.7 million lower due to the repositioning of vessels between geographic regions.</w:t>
      </w:r>
    </w:p>
    <w:p>
      <w:pPr>
        <w:sectPr>
          <w:pgSz w:w="11900" w:h="16838" w:orient="portrait"/>
          <w:cols w:equalWidth="0" w:num="1">
            <w:col w:w="11420"/>
          </w:cols>
          <w:pgMar w:left="240" w:top="118"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239" w:lineRule="exact"/>
        <w:rPr>
          <w:sz w:val="20"/>
          <w:szCs w:val="20"/>
          <w:color w:val="auto"/>
        </w:rPr>
      </w:pPr>
    </w:p>
    <w:p>
      <w:pPr>
        <w:jc w:val="both"/>
        <w:ind w:left="140" w:right="140" w:firstLine="486"/>
        <w:spacing w:after="0" w:line="277"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Time charter revenues were $7.2 million higher in the Current Six Months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Six Months primarily due to the addition of six liftboats associated with the FGH joint venture. Time charter revenues were $7.3 million higher for the liftboat fleet, $0.3 million higher for the fast support vessels and $0.4 million lower for the anchor handling towing supply vessels. As of June 30, 2018, the Company had 25 of 38 owned and leased-in vessels (six anchor handling towing supply vessels, 12 fast support vessels, six liftboats, and one specialty vessel) cold-stacked compared with 32 of 42 vessels as of June 30, 2017. As of June 30, 2018, the Company had retired and removed from service five vessels (four anchor handling towing supply vessels and one supply vessel) in this region.</w:t>
      </w:r>
    </w:p>
    <w:p>
      <w:pPr>
        <w:spacing w:after="0" w:line="180" w:lineRule="exact"/>
        <w:rPr>
          <w:sz w:val="20"/>
          <w:szCs w:val="20"/>
          <w:color w:val="auto"/>
        </w:rPr>
      </w:pPr>
    </w:p>
    <w:p>
      <w:pPr>
        <w:jc w:val="both"/>
        <w:ind w:left="140" w:right="140" w:firstLine="486"/>
        <w:spacing w:after="0" w:line="287"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$2.2 million higher in the Current Six Months compared with</w:t>
      </w:r>
      <w:r>
        <w:rPr>
          <w:rFonts w:ascii="Arial" w:cs="Arial" w:eastAsia="Arial" w:hAnsi="Arial"/>
          <w:sz w:val="19"/>
          <w:szCs w:val="19"/>
          <w:i w:val="1"/>
          <w:iCs w:val="1"/>
          <w:color w:val="auto"/>
        </w:rPr>
        <w:t xml:space="preserve"> </w:t>
      </w:r>
      <w:r>
        <w:rPr>
          <w:rFonts w:ascii="Arial" w:cs="Arial" w:eastAsia="Arial" w:hAnsi="Arial"/>
          <w:sz w:val="19"/>
          <w:szCs w:val="19"/>
          <w:color w:val="auto"/>
        </w:rPr>
        <w:t>the Prior Six Months. On an overall basis, direct operating expenses were $5.3 million higher due to net fleet acquisitions primarily associated with the FGH joint venture, $2.1 million lower due to the effect of cold-stacking vessels, $0.7 million lower due to the repositioning of vessels between geographic regions and $0.3 million for the active fleet and other marine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Africa, primarily West Africa. </w:t>
      </w:r>
      <w:r>
        <w:rPr>
          <w:rFonts w:ascii="Arial" w:cs="Arial" w:eastAsia="Arial" w:hAnsi="Arial"/>
          <w:sz w:val="19"/>
          <w:szCs w:val="19"/>
          <w:color w:val="auto"/>
        </w:rPr>
        <w:t>For the three and six months ended June 30, the Company’s direct vessel profit (loss) in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Africa was as follows (in thousands, except statistics):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8"/>
          </w:tcPr>
          <w:p>
            <w:pPr>
              <w:ind w:left="120"/>
              <w:spacing w:after="0"/>
              <w:rPr>
                <w:sz w:val="20"/>
                <w:szCs w:val="20"/>
                <w:color w:val="auto"/>
              </w:rPr>
            </w:pPr>
            <w:r>
              <w:rPr>
                <w:rFonts w:ascii="Arial" w:cs="Arial" w:eastAsia="Arial" w:hAnsi="Arial"/>
                <w:sz w:val="18"/>
                <w:szCs w:val="18"/>
                <w:b w:val="1"/>
                <w:bCs w:val="1"/>
                <w:color w:val="auto"/>
                <w:w w:val="91"/>
              </w:rPr>
              <w:t>For the Three Months Ended June 30,</w:t>
            </w:r>
          </w:p>
        </w:tc>
        <w:tc>
          <w:tcPr>
            <w:tcW w:w="3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6"/>
              </w:rPr>
              <w:t>For the Six Months Ended June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320"/>
              <w:spacing w:after="0"/>
              <w:rPr>
                <w:sz w:val="20"/>
                <w:szCs w:val="20"/>
                <w:color w:val="auto"/>
              </w:rPr>
            </w:pPr>
            <w:r>
              <w:rPr>
                <w:rFonts w:ascii="Arial" w:cs="Arial" w:eastAsia="Arial" w:hAnsi="Arial"/>
                <w:sz w:val="18"/>
                <w:szCs w:val="18"/>
                <w:color w:val="auto"/>
              </w:rPr>
              <w:t>Rates Per Day Worked: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Anchor handling towing supply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13,014</w:t>
            </w: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11,699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12,301</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Arial" w:cs="Arial" w:eastAsia="Arial" w:hAnsi="Arial"/>
                <w:sz w:val="18"/>
                <w:szCs w:val="18"/>
                <w:color w:val="auto"/>
              </w:rPr>
              <w:t>Fast support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9,841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9,556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9,877</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8,587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7,425</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Arial" w:cs="Arial" w:eastAsia="Arial" w:hAnsi="Arial"/>
                <w:sz w:val="18"/>
                <w:szCs w:val="18"/>
                <w:color w:val="auto"/>
              </w:rPr>
              <w:t>Overall</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9,509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10,348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9,482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9,913</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Utilization: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Arial" w:cs="Arial" w:eastAsia="Arial" w:hAnsi="Arial"/>
                <w:sz w:val="18"/>
                <w:szCs w:val="18"/>
                <w:color w:val="auto"/>
              </w:rPr>
              <w:t>Anchor handling towing supply</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Fast support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Arial" w:cs="Arial" w:eastAsia="Arial" w:hAnsi="Arial"/>
                <w:sz w:val="18"/>
                <w:szCs w:val="18"/>
                <w:color w:val="auto"/>
              </w:rPr>
              <w:t>Supply</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Overall</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3640" w:type="dxa"/>
            <w:vAlign w:val="bottom"/>
          </w:tcPr>
          <w:p>
            <w:pPr>
              <w:ind w:left="320"/>
              <w:spacing w:after="0"/>
              <w:rPr>
                <w:sz w:val="20"/>
                <w:szCs w:val="20"/>
                <w:color w:val="auto"/>
              </w:rPr>
            </w:pPr>
            <w:r>
              <w:rPr>
                <w:rFonts w:ascii="Arial" w:cs="Arial" w:eastAsia="Arial" w:hAnsi="Arial"/>
                <w:sz w:val="18"/>
                <w:szCs w:val="18"/>
                <w:color w:val="auto"/>
              </w:rPr>
              <w:t>Available Days: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Anchor handling towing supply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Arial" w:cs="Arial" w:eastAsia="Arial" w:hAnsi="Arial"/>
                <w:sz w:val="18"/>
                <w:szCs w:val="18"/>
                <w:color w:val="auto"/>
              </w:rPr>
              <w:t>Fast support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1,448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1,328</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w:t>
            </w: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640"/>
              <w:spacing w:after="0"/>
              <w:rPr>
                <w:sz w:val="20"/>
                <w:szCs w:val="20"/>
                <w:color w:val="auto"/>
              </w:rPr>
            </w:pPr>
            <w:r>
              <w:rPr>
                <w:rFonts w:ascii="Arial" w:cs="Arial" w:eastAsia="Arial" w:hAnsi="Arial"/>
                <w:sz w:val="18"/>
                <w:szCs w:val="18"/>
                <w:color w:val="auto"/>
              </w:rPr>
              <w:t>Specialty</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3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Overall</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2,591</w:t>
            </w:r>
          </w:p>
        </w:tc>
        <w:tc>
          <w:tcPr>
            <w:tcW w:w="4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2,142</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36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Operating revenues:</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7,786</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21,916</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3640" w:type="dxa"/>
            <w:vAlign w:val="bottom"/>
          </w:tcPr>
          <w:p>
            <w:pPr>
              <w:ind w:left="320"/>
              <w:spacing w:after="0"/>
              <w:rPr>
                <w:sz w:val="20"/>
                <w:szCs w:val="20"/>
                <w:color w:val="auto"/>
              </w:rPr>
            </w:pPr>
            <w:r>
              <w:rPr>
                <w:rFonts w:ascii="Arial" w:cs="Arial" w:eastAsia="Arial" w:hAnsi="Arial"/>
                <w:sz w:val="18"/>
                <w:szCs w:val="18"/>
                <w:color w:val="auto"/>
              </w:rPr>
              <w:t>Other marine services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1,637</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11,472</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8,001</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23,553</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Direct operating expenses:</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Personnel</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3,428</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8,387</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3640" w:type="dxa"/>
            <w:vAlign w:val="bottom"/>
          </w:tcPr>
          <w:p>
            <w:pPr>
              <w:ind w:left="320"/>
              <w:spacing w:after="0"/>
              <w:rPr>
                <w:sz w:val="20"/>
                <w:szCs w:val="20"/>
                <w:color w:val="auto"/>
              </w:rPr>
            </w:pPr>
            <w:r>
              <w:rPr>
                <w:rFonts w:ascii="Arial" w:cs="Arial" w:eastAsia="Arial" w:hAnsi="Arial"/>
                <w:sz w:val="18"/>
                <w:szCs w:val="18"/>
                <w:color w:val="auto"/>
              </w:rPr>
              <w:t>Repairs and maintenance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1,663</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3,234</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3,019</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3,778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Drydocking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3640" w:type="dxa"/>
            <w:vAlign w:val="bottom"/>
          </w:tcPr>
          <w:p>
            <w:pPr>
              <w:ind w:left="320"/>
              <w:spacing w:after="0"/>
              <w:rPr>
                <w:sz w:val="20"/>
                <w:szCs w:val="20"/>
                <w:color w:val="auto"/>
              </w:rPr>
            </w:pPr>
            <w:r>
              <w:rPr>
                <w:rFonts w:ascii="Arial" w:cs="Arial" w:eastAsia="Arial" w:hAnsi="Arial"/>
                <w:sz w:val="18"/>
                <w:szCs w:val="18"/>
                <w:color w:val="auto"/>
              </w:rPr>
              <w:t>Insurance and loss reserves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466</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Fuel, lubes and supplies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1,569</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640" w:type="dxa"/>
            <w:vAlign w:val="bottom"/>
          </w:tcPr>
          <w:p>
            <w:pPr>
              <w:ind w:left="3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871</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2,438</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1,517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9,277</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16,791</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660" w:type="dxa"/>
            <w:vAlign w:val="bottom"/>
            <w:gridSpan w:val="2"/>
          </w:tcPr>
          <w:p>
            <w:pPr>
              <w:spacing w:after="0"/>
              <w:rPr>
                <w:sz w:val="20"/>
                <w:szCs w:val="20"/>
                <w:color w:val="auto"/>
              </w:rPr>
            </w:pPr>
            <w:r>
              <w:rPr>
                <w:rFonts w:ascii="Arial" w:cs="Arial" w:eastAsia="Arial" w:hAnsi="Arial"/>
                <w:sz w:val="18"/>
                <w:szCs w:val="18"/>
                <w:color w:val="auto"/>
              </w:rPr>
              <w:t>Direct Vessel Profit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2,035</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(1,276)</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6,762</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(833)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9" w:lineRule="exact"/>
        <w:rPr>
          <w:sz w:val="20"/>
          <w:szCs w:val="20"/>
          <w:color w:val="auto"/>
        </w:rPr>
      </w:pPr>
    </w:p>
    <w:p>
      <w:pPr>
        <w:ind w:left="62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12" w:lineRule="exact"/>
        <w:rPr>
          <w:sz w:val="20"/>
          <w:szCs w:val="20"/>
          <w:color w:val="auto"/>
        </w:rPr>
      </w:pPr>
    </w:p>
    <w:p>
      <w:pPr>
        <w:jc w:val="both"/>
        <w:ind w:left="140" w:right="140" w:firstLine="486"/>
        <w:spacing w:after="0" w:line="235"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Time charter revenues were $3.3 million higher in the Current Year Quarter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Year Quarter primarily due to fleet additions. Time charter revenues were $5.3 million higher due to fleet additions, $1.7 million lower due to the repositioning of vessels between geographic regions and $0.3 million lower due to a reduction in average day rates. As of June 30, 2018, the Company had no owned or leased-in vessels cold-stacked in this region compared with one of 14 vessels as of June 30, 2017. As of June 30, 2018, the Company had one specialty vessel retired and removed from service in this region.</w:t>
      </w:r>
    </w:p>
    <w:p>
      <w:pPr>
        <w:spacing w:after="0" w:line="215" w:lineRule="exact"/>
        <w:rPr>
          <w:sz w:val="20"/>
          <w:szCs w:val="20"/>
          <w:color w:val="auto"/>
        </w:rPr>
      </w:pPr>
    </w:p>
    <w:p>
      <w:pPr>
        <w:ind w:left="180" w:firstLine="432"/>
        <w:spacing w:after="0" w:line="282"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$0.2 million higher in the Current Year Quarter compared with</w:t>
      </w:r>
      <w:r>
        <w:rPr>
          <w:rFonts w:ascii="Arial" w:cs="Arial" w:eastAsia="Arial" w:hAnsi="Arial"/>
          <w:sz w:val="19"/>
          <w:szCs w:val="19"/>
          <w:i w:val="1"/>
          <w:iCs w:val="1"/>
          <w:color w:val="auto"/>
        </w:rPr>
        <w:t xml:space="preserve"> </w:t>
      </w:r>
      <w:r>
        <w:rPr>
          <w:rFonts w:ascii="Arial" w:cs="Arial" w:eastAsia="Arial" w:hAnsi="Arial"/>
          <w:sz w:val="19"/>
          <w:szCs w:val="19"/>
          <w:color w:val="auto"/>
        </w:rPr>
        <w:t>the Prior Year Quarter. On an overall basis, direct operating costs were $1.3 million higher due to net fleet additions, $0.8 million lower due to the repositioning of vessels between geographic regions and $0.3 million lower for the active fleet and other changes in fleet mix. Personnel costs were $0.9 million higher primarily due to net fleet additions, and repairs and maintenance expenses were $1.6 million lower primarily due to main engine replacements that occurred during the Prior Year Quarter.</w:t>
      </w:r>
    </w:p>
    <w:p>
      <w:pPr>
        <w:sectPr>
          <w:pgSz w:w="11900" w:h="16838" w:orient="portrait"/>
          <w:cols w:equalWidth="0" w:num="1">
            <w:col w:w="11420"/>
          </w:cols>
          <w:pgMar w:left="240" w:top="118" w:right="239" w:bottom="244"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244" w:gutter="0" w:footer="0" w:header="0"/>
          <w:type w:val="continuous"/>
        </w:sectPr>
      </w:pPr>
    </w:p>
    <w:bookmarkStart w:id="39" w:name="page40"/>
    <w:bookmarkEnd w:id="39"/>
    <w:p>
      <w:pPr>
        <w:spacing w:after="0" w:line="62"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215" w:lineRule="exact"/>
        <w:rPr>
          <w:sz w:val="20"/>
          <w:szCs w:val="20"/>
          <w:color w:val="auto"/>
        </w:rPr>
      </w:pPr>
    </w:p>
    <w:p>
      <w:pPr>
        <w:jc w:val="both"/>
        <w:ind w:left="140" w:right="140" w:firstLine="486"/>
        <w:spacing w:after="0" w:line="275"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Time charter revenues were $8.3 million higher in the Current Six Months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Six Months primarily due to fleet additions. Time charter revenues were $11.6 million higher due to net fleet additions, $1.1 million higher due to improved utilization of which $0.8 million was due to the reactivation of vessels from cold-stack, $4.0 million lower due to the repositioning of vessels between geographic regions and $0.4 million lower due to a reduction in average day rates. Other marine services were $1.2 million higher primarily due to the recognition of previously deferred revenue, following receipt of cash, due to collection concerns with regard to one customer. As of June 30, 2018, the Company had no owned or leased-in vessels cold-stacked in this region compared with one of 14 vessels as of June 30, 2017. As of June 30, 2018, the Company had one specialty vessel retired and removed from service in this region.</w:t>
      </w:r>
    </w:p>
    <w:p>
      <w:pPr>
        <w:spacing w:after="0" w:line="185" w:lineRule="exact"/>
        <w:rPr>
          <w:sz w:val="20"/>
          <w:szCs w:val="20"/>
          <w:color w:val="auto"/>
        </w:rPr>
      </w:pPr>
    </w:p>
    <w:p>
      <w:pPr>
        <w:jc w:val="both"/>
        <w:ind w:left="140" w:right="140" w:firstLine="486"/>
        <w:spacing w:after="0" w:line="234"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$1.9 million higher in the Current Six Months compared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Six Months. On an overall basis, direct operating costs were $4.8 million higher due to net fleet additions, $0.9 million lower for the active fleet and other changes in fleet mix, $0.6 million lower due to the effect of cold-stacking vessels and other changes in fleet mix, and $1.4 million lower due to the repositioning of vessels between geographic regions. Personnel costs were $2.4 million higher primarily due to net fleet additions. Drydocking expenses were $0.8 million lower due to reduced drydocking activity, and repairs and maintenance expenses were $0.8 million lower due to main engine replacements that occurred during the Prior Six Months.</w:t>
      </w:r>
    </w:p>
    <w:p>
      <w:pPr>
        <w:spacing w:after="0" w:line="191"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b w:val="1"/>
          <w:bCs w:val="1"/>
          <w:i w:val="1"/>
          <w:iCs w:val="1"/>
          <w:color w:val="auto"/>
        </w:rPr>
        <w:t xml:space="preserve">Middle East and Asia. </w:t>
      </w:r>
      <w:r>
        <w:rPr>
          <w:rFonts w:ascii="Arial" w:cs="Arial" w:eastAsia="Arial" w:hAnsi="Arial"/>
          <w:sz w:val="22"/>
          <w:szCs w:val="22"/>
          <w:color w:val="auto"/>
        </w:rPr>
        <w:t>For the three and six months ended June 30, the Company’s direct vessel profit (loss) in the Middle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East and Asia was as follows (in thousands, except statistics):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4"/>
              </w:rPr>
              <w:t>For the Three Months Ended June 30,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gridSpan w:val="5"/>
          </w:tcPr>
          <w:p>
            <w:pPr>
              <w:ind w:left="180"/>
              <w:spacing w:after="0"/>
              <w:rPr>
                <w:sz w:val="20"/>
                <w:szCs w:val="20"/>
                <w:color w:val="auto"/>
              </w:rPr>
            </w:pPr>
            <w:r>
              <w:rPr>
                <w:rFonts w:ascii="Arial" w:cs="Arial" w:eastAsia="Arial" w:hAnsi="Arial"/>
                <w:sz w:val="18"/>
                <w:szCs w:val="18"/>
                <w:b w:val="1"/>
                <w:bCs w:val="1"/>
                <w:color w:val="auto"/>
              </w:rPr>
              <w:t>For the Six Months Ended June 30,</w:t>
            </w:r>
          </w:p>
        </w:tc>
      </w:tr>
      <w:tr>
        <w:trPr>
          <w:trHeight w:val="210"/>
        </w:trPr>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Rates Per Day Worked: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Anchor handling towing supply</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8,135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7,956</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7,750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8,180</w:t>
            </w:r>
          </w:p>
        </w:tc>
        <w:tc>
          <w:tcPr>
            <w:tcW w:w="220" w:type="dxa"/>
            <w:vAlign w:val="bottom"/>
            <w:shd w:val="clear" w:color="auto" w:fill="CCEEFF"/>
          </w:tcPr>
          <w:p>
            <w:pPr>
              <w:spacing w:after="0"/>
              <w:rPr>
                <w:sz w:val="18"/>
                <w:szCs w:val="18"/>
                <w:color w:val="auto"/>
              </w:rPr>
            </w:pPr>
          </w:p>
        </w:tc>
      </w:tr>
      <w:tr>
        <w:trPr>
          <w:trHeight w:val="216"/>
        </w:trPr>
        <w:tc>
          <w:tcPr>
            <w:tcW w:w="3280" w:type="dxa"/>
            <w:vAlign w:val="bottom"/>
          </w:tcPr>
          <w:p>
            <w:pPr>
              <w:ind w:left="660"/>
              <w:spacing w:after="0"/>
              <w:rPr>
                <w:sz w:val="20"/>
                <w:szCs w:val="20"/>
                <w:color w:val="auto"/>
              </w:rPr>
            </w:pPr>
            <w:r>
              <w:rPr>
                <w:rFonts w:ascii="Arial" w:cs="Arial" w:eastAsia="Arial" w:hAnsi="Arial"/>
                <w:sz w:val="18"/>
                <w:szCs w:val="18"/>
                <w:color w:val="auto"/>
              </w:rPr>
              <w:t>Fast support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5,683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7,018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6,073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color w:val="auto"/>
              </w:rPr>
              <w:t>6,959</w:t>
            </w:r>
          </w:p>
        </w:tc>
        <w:tc>
          <w:tcPr>
            <w:tcW w:w="220" w:type="dxa"/>
            <w:vAlign w:val="bottom"/>
          </w:tcPr>
          <w:p>
            <w:pPr>
              <w:spacing w:after="0"/>
              <w:rPr>
                <w:sz w:val="18"/>
                <w:szCs w:val="18"/>
                <w:color w:val="auto"/>
              </w:rPr>
            </w:pPr>
          </w:p>
        </w:tc>
      </w:tr>
      <w:tr>
        <w:trPr>
          <w:trHeight w:val="216"/>
        </w:trPr>
        <w:tc>
          <w:tcPr>
            <w:tcW w:w="3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Supply</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4,989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3,800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4,372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4,074</w:t>
            </w:r>
          </w:p>
        </w:tc>
        <w:tc>
          <w:tcPr>
            <w:tcW w:w="220" w:type="dxa"/>
            <w:vAlign w:val="bottom"/>
            <w:shd w:val="clear" w:color="auto" w:fill="CCEEFF"/>
          </w:tcPr>
          <w:p>
            <w:pPr>
              <w:spacing w:after="0"/>
              <w:rPr>
                <w:sz w:val="18"/>
                <w:szCs w:val="18"/>
                <w:color w:val="auto"/>
              </w:rPr>
            </w:pPr>
          </w:p>
        </w:tc>
      </w:tr>
      <w:tr>
        <w:trPr>
          <w:trHeight w:val="216"/>
        </w:trPr>
        <w:tc>
          <w:tcPr>
            <w:tcW w:w="3280" w:type="dxa"/>
            <w:vAlign w:val="bottom"/>
          </w:tcPr>
          <w:p>
            <w:pPr>
              <w:ind w:left="660"/>
              <w:spacing w:after="0"/>
              <w:rPr>
                <w:sz w:val="20"/>
                <w:szCs w:val="20"/>
                <w:color w:val="auto"/>
              </w:rPr>
            </w:pPr>
            <w:r>
              <w:rPr>
                <w:rFonts w:ascii="Arial" w:cs="Arial" w:eastAsia="Arial" w:hAnsi="Arial"/>
                <w:sz w:val="18"/>
                <w:szCs w:val="18"/>
                <w:color w:val="auto"/>
              </w:rPr>
              <w:t>Specialty</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12,000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color w:val="auto"/>
              </w:rPr>
              <w:t>12,000</w:t>
            </w:r>
          </w:p>
        </w:tc>
        <w:tc>
          <w:tcPr>
            <w:tcW w:w="220" w:type="dxa"/>
            <w:vAlign w:val="bottom"/>
          </w:tcPr>
          <w:p>
            <w:pPr>
              <w:spacing w:after="0"/>
              <w:rPr>
                <w:sz w:val="18"/>
                <w:szCs w:val="18"/>
                <w:color w:val="auto"/>
              </w:rPr>
            </w:pPr>
          </w:p>
        </w:tc>
      </w:tr>
      <w:tr>
        <w:trPr>
          <w:trHeight w:val="216"/>
        </w:trPr>
        <w:tc>
          <w:tcPr>
            <w:tcW w:w="3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Liftboats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31,998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33,311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ind w:left="660"/>
              <w:spacing w:after="0"/>
              <w:rPr>
                <w:sz w:val="20"/>
                <w:szCs w:val="20"/>
                <w:color w:val="auto"/>
              </w:rPr>
            </w:pPr>
            <w:r>
              <w:rPr>
                <w:rFonts w:ascii="Arial" w:cs="Arial" w:eastAsia="Arial" w:hAnsi="Arial"/>
                <w:sz w:val="18"/>
                <w:szCs w:val="18"/>
                <w:color w:val="auto"/>
              </w:rPr>
              <w:t>Wind farm utility</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Overall</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8,226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6,580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8,155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6,765</w:t>
            </w:r>
          </w:p>
        </w:tc>
        <w:tc>
          <w:tcPr>
            <w:tcW w:w="22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Utilization:</w:t>
            </w:r>
          </w:p>
        </w:tc>
        <w:tc>
          <w:tcPr>
            <w:tcW w:w="2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Anchor handling towing supply</w:t>
            </w:r>
          </w:p>
        </w:tc>
        <w:tc>
          <w:tcPr>
            <w:tcW w:w="22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20%</w:t>
            </w:r>
          </w:p>
        </w:tc>
        <w:tc>
          <w:tcPr>
            <w:tcW w:w="20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66%</w:t>
            </w:r>
          </w:p>
        </w:tc>
        <w:tc>
          <w:tcPr>
            <w:tcW w:w="19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4000" w:type="dxa"/>
            <w:vAlign w:val="bottom"/>
          </w:tcPr>
          <w:p>
            <w:pPr>
              <w:ind w:left="660"/>
              <w:spacing w:after="0"/>
              <w:rPr>
                <w:sz w:val="20"/>
                <w:szCs w:val="20"/>
                <w:color w:val="auto"/>
              </w:rPr>
            </w:pPr>
            <w:r>
              <w:rPr>
                <w:rFonts w:ascii="Arial" w:cs="Arial" w:eastAsia="Arial" w:hAnsi="Arial"/>
                <w:sz w:val="18"/>
                <w:szCs w:val="18"/>
                <w:color w:val="auto"/>
              </w:rPr>
              <w:t>Fast support</w:t>
            </w:r>
          </w:p>
        </w:tc>
        <w:tc>
          <w:tcPr>
            <w:tcW w:w="2220" w:type="dxa"/>
            <w:vAlign w:val="bottom"/>
          </w:tcPr>
          <w:p>
            <w:pPr>
              <w:jc w:val="right"/>
              <w:ind w:right="730"/>
              <w:spacing w:after="0"/>
              <w:rPr>
                <w:sz w:val="20"/>
                <w:szCs w:val="20"/>
                <w:color w:val="auto"/>
              </w:rPr>
            </w:pPr>
            <w:r>
              <w:rPr>
                <w:rFonts w:ascii="Arial" w:cs="Arial" w:eastAsia="Arial" w:hAnsi="Arial"/>
                <w:sz w:val="18"/>
                <w:szCs w:val="18"/>
                <w:color w:val="auto"/>
              </w:rPr>
              <w:t>96%</w:t>
            </w:r>
          </w:p>
        </w:tc>
        <w:tc>
          <w:tcPr>
            <w:tcW w:w="2000" w:type="dxa"/>
            <w:vAlign w:val="bottom"/>
          </w:tcPr>
          <w:p>
            <w:pPr>
              <w:jc w:val="right"/>
              <w:ind w:right="750"/>
              <w:spacing w:after="0"/>
              <w:rPr>
                <w:sz w:val="20"/>
                <w:szCs w:val="20"/>
                <w:color w:val="auto"/>
              </w:rPr>
            </w:pPr>
            <w:r>
              <w:rPr>
                <w:rFonts w:ascii="Arial" w:cs="Arial" w:eastAsia="Arial" w:hAnsi="Arial"/>
                <w:sz w:val="18"/>
                <w:szCs w:val="18"/>
                <w:color w:val="auto"/>
              </w:rPr>
              <w:t>76%</w:t>
            </w:r>
          </w:p>
        </w:tc>
        <w:tc>
          <w:tcPr>
            <w:tcW w:w="1980" w:type="dxa"/>
            <w:vAlign w:val="bottom"/>
          </w:tcPr>
          <w:p>
            <w:pPr>
              <w:jc w:val="right"/>
              <w:ind w:right="750"/>
              <w:spacing w:after="0"/>
              <w:rPr>
                <w:sz w:val="20"/>
                <w:szCs w:val="20"/>
                <w:color w:val="auto"/>
              </w:rPr>
            </w:pPr>
            <w:r>
              <w:rPr>
                <w:rFonts w:ascii="Arial" w:cs="Arial" w:eastAsia="Arial" w:hAnsi="Arial"/>
                <w:sz w:val="18"/>
                <w:szCs w:val="18"/>
                <w:color w:val="auto"/>
              </w:rPr>
              <w:t>85%</w:t>
            </w:r>
          </w:p>
        </w:tc>
        <w:tc>
          <w:tcPr>
            <w:tcW w:w="12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4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Supply</w:t>
            </w:r>
          </w:p>
        </w:tc>
        <w:tc>
          <w:tcPr>
            <w:tcW w:w="22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53%</w:t>
            </w:r>
          </w:p>
        </w:tc>
        <w:tc>
          <w:tcPr>
            <w:tcW w:w="20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52%</w:t>
            </w:r>
          </w:p>
        </w:tc>
        <w:tc>
          <w:tcPr>
            <w:tcW w:w="19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66%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000" w:type="dxa"/>
            <w:vAlign w:val="bottom"/>
          </w:tcPr>
          <w:p>
            <w:pPr>
              <w:ind w:left="660"/>
              <w:spacing w:after="0"/>
              <w:rPr>
                <w:sz w:val="20"/>
                <w:szCs w:val="20"/>
                <w:color w:val="auto"/>
              </w:rPr>
            </w:pPr>
            <w:r>
              <w:rPr>
                <w:rFonts w:ascii="Arial" w:cs="Arial" w:eastAsia="Arial" w:hAnsi="Arial"/>
                <w:sz w:val="18"/>
                <w:szCs w:val="18"/>
                <w:color w:val="auto"/>
              </w:rPr>
              <w:t>Specialty</w:t>
            </w:r>
          </w:p>
        </w:tc>
        <w:tc>
          <w:tcPr>
            <w:tcW w:w="22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750"/>
              <w:spacing w:after="0"/>
              <w:rPr>
                <w:sz w:val="20"/>
                <w:szCs w:val="20"/>
                <w:color w:val="auto"/>
              </w:rPr>
            </w:pPr>
            <w:r>
              <w:rPr>
                <w:rFonts w:ascii="Arial" w:cs="Arial" w:eastAsia="Arial" w:hAnsi="Arial"/>
                <w:sz w:val="18"/>
                <w:szCs w:val="18"/>
                <w:color w:val="auto"/>
              </w:rPr>
              <w:t>14%</w:t>
            </w:r>
          </w:p>
        </w:tc>
        <w:tc>
          <w:tcPr>
            <w:tcW w:w="198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Liftboats</w:t>
            </w:r>
          </w:p>
        </w:tc>
        <w:tc>
          <w:tcPr>
            <w:tcW w:w="22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94%</w:t>
            </w:r>
          </w:p>
        </w:tc>
        <w:tc>
          <w:tcPr>
            <w:tcW w:w="20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73%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tcPr>
          <w:p>
            <w:pPr>
              <w:ind w:left="660"/>
              <w:spacing w:after="0"/>
              <w:rPr>
                <w:sz w:val="20"/>
                <w:szCs w:val="20"/>
                <w:color w:val="auto"/>
              </w:rPr>
            </w:pPr>
            <w:r>
              <w:rPr>
                <w:rFonts w:ascii="Arial" w:cs="Arial" w:eastAsia="Arial" w:hAnsi="Arial"/>
                <w:sz w:val="18"/>
                <w:szCs w:val="18"/>
                <w:color w:val="auto"/>
              </w:rPr>
              <w:t>Wind farm utility</w:t>
            </w:r>
          </w:p>
        </w:tc>
        <w:tc>
          <w:tcPr>
            <w:tcW w:w="2220" w:type="dxa"/>
            <w:vAlign w:val="bottom"/>
          </w:tcPr>
          <w:p>
            <w:pPr>
              <w:jc w:val="right"/>
              <w:ind w:right="730"/>
              <w:spacing w:after="0"/>
              <w:rPr>
                <w:sz w:val="20"/>
                <w:szCs w:val="20"/>
                <w:color w:val="auto"/>
              </w:rPr>
            </w:pPr>
            <w:r>
              <w:rPr>
                <w:rFonts w:ascii="Arial" w:cs="Arial" w:eastAsia="Arial" w:hAnsi="Arial"/>
                <w:sz w:val="18"/>
                <w:szCs w:val="18"/>
                <w:color w:val="auto"/>
              </w:rPr>
              <w:t>40%</w:t>
            </w:r>
          </w:p>
        </w:tc>
        <w:tc>
          <w:tcPr>
            <w:tcW w:w="200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50"/>
              <w:spacing w:after="0"/>
              <w:rPr>
                <w:sz w:val="20"/>
                <w:szCs w:val="20"/>
                <w:color w:val="auto"/>
              </w:rPr>
            </w:pPr>
            <w:r>
              <w:rPr>
                <w:rFonts w:ascii="Arial" w:cs="Arial" w:eastAsia="Arial" w:hAnsi="Arial"/>
                <w:sz w:val="18"/>
                <w:szCs w:val="18"/>
                <w:color w:val="auto"/>
              </w:rPr>
              <w:t>39%</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Overall</w:t>
            </w:r>
          </w:p>
        </w:tc>
        <w:tc>
          <w:tcPr>
            <w:tcW w:w="22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82%</w:t>
            </w:r>
          </w:p>
        </w:tc>
        <w:tc>
          <w:tcPr>
            <w:tcW w:w="20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55%</w:t>
            </w:r>
          </w:p>
        </w:tc>
        <w:tc>
          <w:tcPr>
            <w:tcW w:w="19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74%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tcPr>
          <w:p>
            <w:pPr>
              <w:ind w:left="320"/>
              <w:spacing w:after="0"/>
              <w:rPr>
                <w:sz w:val="20"/>
                <w:szCs w:val="20"/>
                <w:color w:val="auto"/>
              </w:rPr>
            </w:pPr>
            <w:r>
              <w:rPr>
                <w:rFonts w:ascii="Arial" w:cs="Arial" w:eastAsia="Arial" w:hAnsi="Arial"/>
                <w:sz w:val="18"/>
                <w:szCs w:val="18"/>
                <w:color w:val="auto"/>
              </w:rPr>
              <w:t>Available Days: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Anchor handling towing supply</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4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640"/>
              <w:spacing w:after="0"/>
              <w:rPr>
                <w:sz w:val="20"/>
                <w:szCs w:val="20"/>
                <w:color w:val="auto"/>
              </w:rPr>
            </w:pPr>
            <w:r>
              <w:rPr>
                <w:rFonts w:ascii="Arial" w:cs="Arial" w:eastAsia="Arial" w:hAnsi="Arial"/>
                <w:sz w:val="18"/>
                <w:szCs w:val="18"/>
                <w:color w:val="auto"/>
              </w:rPr>
              <w:t>Fast support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1,032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2,715</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1,932</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Supply</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w:t>
            </w:r>
          </w:p>
        </w:tc>
        <w:tc>
          <w:tcPr>
            <w:tcW w:w="4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640"/>
              <w:spacing w:after="0"/>
              <w:rPr>
                <w:sz w:val="20"/>
                <w:szCs w:val="20"/>
                <w:color w:val="auto"/>
              </w:rPr>
            </w:pPr>
            <w:r>
              <w:rPr>
                <w:rFonts w:ascii="Arial" w:cs="Arial" w:eastAsia="Arial" w:hAnsi="Arial"/>
                <w:sz w:val="18"/>
                <w:szCs w:val="18"/>
                <w:color w:val="auto"/>
              </w:rPr>
              <w:t>Specialty</w:t>
            </w:r>
          </w:p>
        </w:tc>
        <w:tc>
          <w:tcPr>
            <w:tcW w:w="3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Liftboats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4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640"/>
              <w:spacing w:after="0"/>
              <w:rPr>
                <w:sz w:val="20"/>
                <w:szCs w:val="20"/>
                <w:color w:val="auto"/>
              </w:rPr>
            </w:pPr>
            <w:r>
              <w:rPr>
                <w:rFonts w:ascii="Arial" w:cs="Arial" w:eastAsia="Arial" w:hAnsi="Arial"/>
                <w:sz w:val="18"/>
                <w:szCs w:val="18"/>
                <w:color w:val="auto"/>
              </w:rPr>
              <w:t>Wind farm utility</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362</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Overall</w:t>
            </w: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3,777</w:t>
            </w: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35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Operating revenues:</w:t>
            </w: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7,415</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24,965</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r>
      <w:tr>
        <w:trPr>
          <w:trHeight w:val="216"/>
        </w:trPr>
        <w:tc>
          <w:tcPr>
            <w:tcW w:w="20" w:type="dxa"/>
            <w:vAlign w:val="bottom"/>
          </w:tcPr>
          <w:p>
            <w:pPr>
              <w:spacing w:after="0"/>
              <w:rPr>
                <w:sz w:val="18"/>
                <w:szCs w:val="18"/>
                <w:color w:val="auto"/>
              </w:rPr>
            </w:pPr>
          </w:p>
        </w:tc>
        <w:tc>
          <w:tcPr>
            <w:tcW w:w="3580" w:type="dxa"/>
            <w:vAlign w:val="bottom"/>
          </w:tcPr>
          <w:p>
            <w:pPr>
              <w:ind w:left="320"/>
              <w:spacing w:after="0"/>
              <w:rPr>
                <w:sz w:val="20"/>
                <w:szCs w:val="20"/>
                <w:color w:val="auto"/>
              </w:rPr>
            </w:pPr>
            <w:r>
              <w:rPr>
                <w:rFonts w:ascii="Arial" w:cs="Arial" w:eastAsia="Arial" w:hAnsi="Arial"/>
                <w:sz w:val="18"/>
                <w:szCs w:val="18"/>
                <w:color w:val="auto"/>
              </w:rPr>
              <w:t>Other marine services</w:t>
            </w:r>
          </w:p>
        </w:tc>
        <w:tc>
          <w:tcPr>
            <w:tcW w:w="3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(792)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(922)</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986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7,524</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24,043</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14,224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Direct operating expenses:</w:t>
            </w:r>
          </w:p>
        </w:tc>
        <w:tc>
          <w:tcPr>
            <w:tcW w:w="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Personnel</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4,147</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3580" w:type="dxa"/>
            <w:vAlign w:val="bottom"/>
          </w:tcPr>
          <w:p>
            <w:pPr>
              <w:ind w:left="320"/>
              <w:spacing w:after="0"/>
              <w:rPr>
                <w:sz w:val="20"/>
                <w:szCs w:val="20"/>
                <w:color w:val="auto"/>
              </w:rPr>
            </w:pPr>
            <w:r>
              <w:rPr>
                <w:rFonts w:ascii="Arial" w:cs="Arial" w:eastAsia="Arial" w:hAnsi="Arial"/>
                <w:sz w:val="18"/>
                <w:szCs w:val="18"/>
                <w:color w:val="auto"/>
              </w:rPr>
              <w:t>Repairs and maintenance</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3,576</w:t>
            </w: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3,947</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6,004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4,523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Drydocking</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3580" w:type="dxa"/>
            <w:vAlign w:val="bottom"/>
          </w:tcPr>
          <w:p>
            <w:pPr>
              <w:ind w:left="320"/>
              <w:spacing w:after="0"/>
              <w:rPr>
                <w:sz w:val="20"/>
                <w:szCs w:val="20"/>
                <w:color w:val="auto"/>
              </w:rPr>
            </w:pPr>
            <w:r>
              <w:rPr>
                <w:rFonts w:ascii="Arial" w:cs="Arial" w:eastAsia="Arial" w:hAnsi="Arial"/>
                <w:sz w:val="18"/>
                <w:szCs w:val="18"/>
                <w:color w:val="auto"/>
              </w:rPr>
              <w:t>Insurance and loss reserves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353</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597</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699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Fuel, lubes and supplies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908</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1,956</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3580" w:type="dxa"/>
            <w:vAlign w:val="bottom"/>
          </w:tcPr>
          <w:p>
            <w:pPr>
              <w:ind w:left="3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836</w:t>
            </w: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1,061</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2,044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2,526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10,774</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18,753</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16,966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r>
      <w:tr>
        <w:trPr>
          <w:trHeight w:val="20"/>
        </w:trPr>
        <w:tc>
          <w:tcPr>
            <w:tcW w:w="20" w:type="dxa"/>
            <w:vAlign w:val="bottom"/>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600" w:type="dxa"/>
            <w:vAlign w:val="bottom"/>
            <w:gridSpan w:val="2"/>
          </w:tcPr>
          <w:p>
            <w:pPr>
              <w:spacing w:after="0"/>
              <w:rPr>
                <w:sz w:val="20"/>
                <w:szCs w:val="20"/>
                <w:color w:val="auto"/>
              </w:rPr>
            </w:pPr>
            <w:r>
              <w:rPr>
                <w:rFonts w:ascii="Arial" w:cs="Arial" w:eastAsia="Arial" w:hAnsi="Arial"/>
                <w:sz w:val="18"/>
                <w:szCs w:val="18"/>
                <w:color w:val="auto"/>
              </w:rPr>
              <w:t>Direct Vessel Profit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2,963</w:t>
            </w: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(3,250)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5,290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(2,742)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6" w:lineRule="exact"/>
        <w:rPr>
          <w:sz w:val="20"/>
          <w:szCs w:val="20"/>
          <w:color w:val="auto"/>
        </w:rPr>
      </w:pPr>
    </w:p>
    <w:p>
      <w:pPr>
        <w:ind w:left="62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12" w:lineRule="exact"/>
        <w:rPr>
          <w:sz w:val="20"/>
          <w:szCs w:val="20"/>
          <w:color w:val="auto"/>
        </w:rPr>
      </w:pPr>
    </w:p>
    <w:p>
      <w:pPr>
        <w:jc w:val="both"/>
        <w:ind w:left="140" w:right="140" w:firstLine="486"/>
        <w:spacing w:after="0" w:line="279" w:lineRule="auto"/>
        <w:rPr>
          <w:sz w:val="20"/>
          <w:szCs w:val="20"/>
          <w:color w:val="auto"/>
        </w:rPr>
      </w:pPr>
      <w:r>
        <w:rPr>
          <w:rFonts w:ascii="Arial" w:cs="Arial" w:eastAsia="Arial" w:hAnsi="Arial"/>
          <w:sz w:val="19"/>
          <w:szCs w:val="19"/>
          <w:i w:val="1"/>
          <w:iCs w:val="1"/>
          <w:color w:val="auto"/>
        </w:rPr>
        <w:t>Operating Revenues</w:t>
      </w:r>
      <w:r>
        <w:rPr>
          <w:rFonts w:ascii="Arial" w:cs="Arial" w:eastAsia="Arial" w:hAnsi="Arial"/>
          <w:sz w:val="19"/>
          <w:szCs w:val="19"/>
          <w:b w:val="1"/>
          <w:bCs w:val="1"/>
          <w:i w:val="1"/>
          <w:i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Time charter revenues were $6.2 million higher in the Current Year Quarter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Year Quarter primarily due to net fleet additions. Time charter revenues were $5.1 million higher due to net fleet additions, $1.5 million higher due to the repositioning of vessels between geographic regions, $0.4 million higher due to improved utilization and $0.8 million lower due to a reduction in average day rates. As of June 30, 2018, the Company had one of 21 owned and leased-in vessels cold-stacked in this region (one anchor handling towing supply vessel) compared with three of 23 vessels as of June 30, 2017. As of June 30, 2018, the Company had one specialty vessel retired and removed from service in this region.</w:t>
      </w:r>
    </w:p>
    <w:p>
      <w:pPr>
        <w:sectPr>
          <w:pgSz w:w="11900" w:h="16901" w:orient="portrait"/>
          <w:cols w:equalWidth="0" w:num="1">
            <w:col w:w="11420"/>
          </w:cols>
          <w:pgMar w:left="240" w:top="118" w:right="239" w:bottom="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jc w:val="both"/>
        <w:ind w:left="140" w:right="140" w:firstLine="486"/>
        <w:spacing w:after="0" w:line="236"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$0.9 million lower in the Current Year Quarter compared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Year Quarter. On an overall basis, direct operating expenses were $0.2 million higher due to fleet dispositions and $0.5 million higher due to the repositioning of vessels between geographic regions, $0.5 million lower for the vessels in active service, $0.4 million lower due to the effect of cold stacking vessels and $0.7 million lower due to less drydocking and main engine repairs.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239" w:lineRule="exact"/>
        <w:rPr>
          <w:sz w:val="20"/>
          <w:szCs w:val="20"/>
          <w:color w:val="auto"/>
        </w:rPr>
      </w:pPr>
    </w:p>
    <w:p>
      <w:pPr>
        <w:jc w:val="both"/>
        <w:ind w:left="140" w:right="140" w:firstLine="486"/>
        <w:spacing w:after="0" w:line="246" w:lineRule="auto"/>
        <w:rPr>
          <w:sz w:val="20"/>
          <w:szCs w:val="20"/>
          <w:color w:val="auto"/>
        </w:rPr>
      </w:pPr>
      <w:r>
        <w:rPr>
          <w:rFonts w:ascii="Arial" w:cs="Arial" w:eastAsia="Arial" w:hAnsi="Arial"/>
          <w:sz w:val="21"/>
          <w:szCs w:val="21"/>
          <w:i w:val="1"/>
          <w:iCs w:val="1"/>
          <w:color w:val="auto"/>
        </w:rPr>
        <w:t>Operating Revenues</w:t>
      </w:r>
      <w:r>
        <w:rPr>
          <w:rFonts w:ascii="Arial" w:cs="Arial" w:eastAsia="Arial" w:hAnsi="Arial"/>
          <w:sz w:val="21"/>
          <w:szCs w:val="21"/>
          <w:b w:val="1"/>
          <w:bCs w:val="1"/>
          <w:i w:val="1"/>
          <w:iCs w:val="1"/>
          <w:color w:val="auto"/>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Time charter revenues were $11.7 million higher in the Current Six Months compared with the Prior</w:t>
      </w:r>
      <w:r>
        <w:rPr>
          <w:rFonts w:ascii="Arial" w:cs="Arial" w:eastAsia="Arial" w:hAnsi="Arial"/>
          <w:sz w:val="21"/>
          <w:szCs w:val="21"/>
          <w:i w:val="1"/>
          <w:iCs w:val="1"/>
          <w:color w:val="auto"/>
        </w:rPr>
        <w:t xml:space="preserve"> </w:t>
      </w:r>
      <w:r>
        <w:rPr>
          <w:rFonts w:ascii="Arial" w:cs="Arial" w:eastAsia="Arial" w:hAnsi="Arial"/>
          <w:sz w:val="21"/>
          <w:szCs w:val="21"/>
          <w:color w:val="auto"/>
        </w:rPr>
        <w:t>Six Months primarily due to net fleet additions. Time charter revenues were $10.0 million higher due to net fleet additions, $1.8 million higher due to the repositioning of vessels between geographic regions, $1.0 million higher due to improved utilization of which $0.6 million was due to the reactivation of vessels from cold-stack, and $1.1 million lower due to a reduction in average day rates. Other marine services were $1.9 million lower primarily due to the completion of a bareboat charter. As of June 30, 2018, the Company had one of 22 owned and leased-in vessels cold-stacked in this region (one anchor handling towing supply vessel) compared with three of 23 vessels as of June 30, 2017. As of June 30, 2018, the Company had one specialty vessel retired and removed from service in this region.</w:t>
      </w:r>
    </w:p>
    <w:p>
      <w:pPr>
        <w:spacing w:after="0" w:line="208" w:lineRule="exact"/>
        <w:rPr>
          <w:sz w:val="20"/>
          <w:szCs w:val="20"/>
          <w:color w:val="auto"/>
        </w:rPr>
      </w:pPr>
    </w:p>
    <w:p>
      <w:pPr>
        <w:jc w:val="both"/>
        <w:ind w:left="140" w:right="140" w:firstLine="540"/>
        <w:spacing w:after="0" w:line="249" w:lineRule="auto"/>
        <w:rPr>
          <w:sz w:val="20"/>
          <w:szCs w:val="20"/>
          <w:color w:val="auto"/>
        </w:rPr>
      </w:pPr>
      <w:r>
        <w:rPr>
          <w:rFonts w:ascii="Arial" w:cs="Arial" w:eastAsia="Arial" w:hAnsi="Arial"/>
          <w:sz w:val="21"/>
          <w:szCs w:val="21"/>
          <w:i w:val="1"/>
          <w:iCs w:val="1"/>
          <w:color w:val="auto"/>
        </w:rPr>
        <w:t xml:space="preserve">Direct Operating Expenses. </w:t>
      </w:r>
      <w:r>
        <w:rPr>
          <w:rFonts w:ascii="Arial" w:cs="Arial" w:eastAsia="Arial" w:hAnsi="Arial"/>
          <w:sz w:val="21"/>
          <w:szCs w:val="21"/>
          <w:color w:val="auto"/>
        </w:rPr>
        <w:t>Direct operating expenses were $1.8 million higher in the Current Six Months compared with</w:t>
      </w:r>
      <w:r>
        <w:rPr>
          <w:rFonts w:ascii="Arial" w:cs="Arial" w:eastAsia="Arial" w:hAnsi="Arial"/>
          <w:sz w:val="21"/>
          <w:szCs w:val="21"/>
          <w:i w:val="1"/>
          <w:iCs w:val="1"/>
          <w:color w:val="auto"/>
        </w:rPr>
        <w:t xml:space="preserve"> </w:t>
      </w:r>
      <w:r>
        <w:rPr>
          <w:rFonts w:ascii="Arial" w:cs="Arial" w:eastAsia="Arial" w:hAnsi="Arial"/>
          <w:sz w:val="21"/>
          <w:szCs w:val="21"/>
          <w:color w:val="auto"/>
        </w:rPr>
        <w:t>the Prior Six Months. On an overall basis, direct operating expenses were $3.1 million higher due to net fleet additions and $0.8 million higher due to the repositioning of vessels between geographic regions. Direct operating expenses were $0.8 million lower due to the effect of cold stacking vessels, $0.5 million lower due to less drydocking and main engine repairs and $0.8 million lower for vessels in active service and other changes in fleet mix.</w:t>
      </w:r>
    </w:p>
    <w:p>
      <w:pPr>
        <w:spacing w:after="0" w:line="17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b w:val="1"/>
          <w:bCs w:val="1"/>
          <w:i w:val="1"/>
          <w:iCs w:val="1"/>
          <w:color w:val="auto"/>
        </w:rPr>
        <w:t xml:space="preserve">Brazil, Mexico, Central and South America. </w:t>
      </w:r>
      <w:r>
        <w:rPr>
          <w:rFonts w:ascii="Arial" w:cs="Arial" w:eastAsia="Arial" w:hAnsi="Arial"/>
          <w:sz w:val="22"/>
          <w:szCs w:val="22"/>
          <w:color w:val="auto"/>
        </w:rPr>
        <w:t>For the three and six months ended June 30, the Company’s direct vessel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profit in Brazil, Mexico, Central and South America was as follows (in thousands, except statistics):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b w:val="1"/>
                <w:bCs w:val="1"/>
                <w:color w:val="auto"/>
                <w:w w:val="91"/>
              </w:rPr>
              <w:t>For the Three Months Ended June 30,</w:t>
            </w:r>
          </w:p>
        </w:tc>
        <w:tc>
          <w:tcPr>
            <w:tcW w:w="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w w:val="96"/>
              </w:rPr>
              <w:t>For the Six Months Ended June 30,</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Rates Per Day Worked: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Fast support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68,000</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640"/>
              <w:spacing w:after="0"/>
              <w:rPr>
                <w:sz w:val="20"/>
                <w:szCs w:val="20"/>
                <w:color w:val="auto"/>
              </w:rPr>
            </w:pPr>
            <w:r>
              <w:rPr>
                <w:rFonts w:ascii="Arial" w:cs="Arial" w:eastAsia="Arial" w:hAnsi="Arial"/>
                <w:sz w:val="18"/>
                <w:szCs w:val="18"/>
                <w:color w:val="auto"/>
              </w:rPr>
              <w:t>Liftboats</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24,113</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21,047</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Overall</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19,127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18,069</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Utilization: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Fast support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20" w:type="dxa"/>
            <w:vAlign w:val="bottom"/>
          </w:tcPr>
          <w:p>
            <w:pPr>
              <w:ind w:left="640"/>
              <w:spacing w:after="0"/>
              <w:rPr>
                <w:sz w:val="20"/>
                <w:szCs w:val="20"/>
                <w:color w:val="auto"/>
              </w:rPr>
            </w:pPr>
            <w:r>
              <w:rPr>
                <w:rFonts w:ascii="Arial" w:cs="Arial" w:eastAsia="Arial" w:hAnsi="Arial"/>
                <w:sz w:val="18"/>
                <w:szCs w:val="18"/>
                <w:color w:val="auto"/>
              </w:rPr>
              <w:t>Liftboats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Overall</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Available Days: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Fast support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640"/>
              <w:spacing w:after="0"/>
              <w:rPr>
                <w:sz w:val="20"/>
                <w:szCs w:val="20"/>
                <w:color w:val="auto"/>
              </w:rPr>
            </w:pPr>
            <w:r>
              <w:rPr>
                <w:rFonts w:ascii="Arial" w:cs="Arial" w:eastAsia="Arial" w:hAnsi="Arial"/>
                <w:sz w:val="18"/>
                <w:szCs w:val="18"/>
                <w:color w:val="auto"/>
              </w:rPr>
              <w:t>Liftboats</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3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Overall</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w:t>
            </w:r>
          </w:p>
        </w:tc>
        <w:tc>
          <w:tcPr>
            <w:tcW w:w="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w:t>
            </w:r>
          </w:p>
        </w:tc>
        <w:tc>
          <w:tcPr>
            <w:tcW w:w="46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37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Operating revenues:</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5,930</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Bareboat charter</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1,156</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2,299</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2,299</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marine services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955</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6,557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100%</w:t>
            </w: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9,184</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2,536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Direct 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Personnel</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1,219</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1,595</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Repairs and maintenance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Drydocking</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 and loss reserves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Fuel, lubes and supplies</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414</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2,268</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3,141</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Direct Vessel Profit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6,043</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ind w:left="62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12" w:lineRule="exact"/>
        <w:rPr>
          <w:sz w:val="20"/>
          <w:szCs w:val="20"/>
          <w:color w:val="auto"/>
        </w:rPr>
      </w:pPr>
    </w:p>
    <w:p>
      <w:pPr>
        <w:jc w:val="both"/>
        <w:ind w:left="140" w:right="140" w:firstLine="486"/>
        <w:spacing w:after="0" w:line="287"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Time charter revenues were $4.6 million higher in the Current Year Quarter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Year Quarter. Time charter revenues were $2.6 million higher due to the repositioning of vessels between geographic regions and $2.0 million higher due to fleet additions. As of June 30, 2018, the Company had one of eight owned and leased-in vessels cold-stacked in this region (one fast support vessel) compared with one of four vessels as of June 30, 2017.</w:t>
      </w:r>
    </w:p>
    <w:p>
      <w:pPr>
        <w:spacing w:after="0" w:line="170" w:lineRule="exact"/>
        <w:rPr>
          <w:sz w:val="20"/>
          <w:szCs w:val="20"/>
          <w:color w:val="auto"/>
        </w:rPr>
      </w:pPr>
    </w:p>
    <w:p>
      <w:pPr>
        <w:jc w:val="both"/>
        <w:ind w:left="140" w:right="140" w:firstLine="486"/>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$2.0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of which $1.1 million was due to the repositioning of vessels and $0.9 million was due to fleet additions.</w:t>
      </w:r>
    </w:p>
    <w:p>
      <w:pPr>
        <w:sectPr>
          <w:pgSz w:w="11900" w:h="16838" w:orient="portrait"/>
          <w:cols w:equalWidth="0" w:num="1">
            <w:col w:w="11420"/>
          </w:cols>
          <w:pgMar w:left="240" w:top="118" w:right="239" w:bottom="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8"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239" w:lineRule="exact"/>
        <w:rPr>
          <w:sz w:val="20"/>
          <w:szCs w:val="20"/>
          <w:color w:val="auto"/>
        </w:rPr>
      </w:pPr>
    </w:p>
    <w:p>
      <w:pPr>
        <w:jc w:val="both"/>
        <w:ind w:left="140" w:right="140" w:firstLine="486"/>
        <w:spacing w:after="0" w:line="287"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Time charter revenues were $5.9 million higher in the Current Six Months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Six Months. Time charter revenues were $3.9 million higher due to the repositioning of vessels between geographic regions and $2.0 million higher due to fleet additions. As of June 30, 2018, the Company had one of 8 owned and leased-in vessels cold-stacked in this region (one fast support vessel) compared with one of four vessels as of June 30, 2017.</w:t>
      </w:r>
    </w:p>
    <w:p>
      <w:pPr>
        <w:spacing w:after="0" w:line="170" w:lineRule="exact"/>
        <w:rPr>
          <w:sz w:val="20"/>
          <w:szCs w:val="20"/>
          <w:color w:val="auto"/>
        </w:rPr>
      </w:pPr>
    </w:p>
    <w:p>
      <w:pPr>
        <w:jc w:val="both"/>
        <w:ind w:left="140" w:right="140" w:firstLine="486"/>
        <w:spacing w:after="0" w:line="328"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$2.8 million higher in the Current Six Months compared with</w:t>
      </w:r>
      <w:r>
        <w:rPr>
          <w:rFonts w:ascii="Arial" w:cs="Arial" w:eastAsia="Arial" w:hAnsi="Arial"/>
          <w:sz w:val="19"/>
          <w:szCs w:val="19"/>
          <w:i w:val="1"/>
          <w:iCs w:val="1"/>
          <w:color w:val="auto"/>
        </w:rPr>
        <w:t xml:space="preserve"> </w:t>
      </w:r>
      <w:r>
        <w:rPr>
          <w:rFonts w:ascii="Arial" w:cs="Arial" w:eastAsia="Arial" w:hAnsi="Arial"/>
          <w:sz w:val="19"/>
          <w:szCs w:val="19"/>
          <w:color w:val="auto"/>
        </w:rPr>
        <w:t>the Prior Six Months, of which $1.6 million was due to the repositioning of vessels and $1.2 million was due to fleet additions.</w:t>
      </w:r>
    </w:p>
    <w:p>
      <w:pPr>
        <w:spacing w:after="0" w:line="10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b w:val="1"/>
          <w:bCs w:val="1"/>
          <w:i w:val="1"/>
          <w:iCs w:val="1"/>
          <w:color w:val="auto"/>
        </w:rPr>
        <w:t xml:space="preserve">Europe, primarily North Sea. </w:t>
      </w:r>
      <w:r>
        <w:rPr>
          <w:rFonts w:ascii="Arial" w:cs="Arial" w:eastAsia="Arial" w:hAnsi="Arial"/>
          <w:sz w:val="22"/>
          <w:szCs w:val="22"/>
          <w:color w:val="auto"/>
        </w:rPr>
        <w:t>For the three and six months ended June 30, the Company’s direct vessel profit in Europe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was as follows (in thousands, except statistics):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b w:val="1"/>
                <w:bCs w:val="1"/>
                <w:color w:val="auto"/>
                <w:w w:val="91"/>
              </w:rPr>
              <w:t>For the Three Months ended June 30,</w:t>
            </w:r>
          </w:p>
        </w:tc>
        <w:tc>
          <w:tcPr>
            <w:tcW w:w="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w w:val="96"/>
              </w:rPr>
              <w:t>For the Six Months Ended June 30,</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40" w:type="dxa"/>
            <w:vAlign w:val="bottom"/>
          </w:tcPr>
          <w:p>
            <w:pPr>
              <w:ind w:left="340"/>
              <w:spacing w:after="0"/>
              <w:rPr>
                <w:sz w:val="20"/>
                <w:szCs w:val="20"/>
                <w:color w:val="auto"/>
              </w:rPr>
            </w:pPr>
            <w:r>
              <w:rPr>
                <w:rFonts w:ascii="Arial" w:cs="Arial" w:eastAsia="Arial" w:hAnsi="Arial"/>
                <w:sz w:val="18"/>
                <w:szCs w:val="18"/>
                <w:color w:val="auto"/>
              </w:rPr>
              <w:t>Rates Per Day Worked: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Standby</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9,107</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40" w:type="dxa"/>
            <w:vAlign w:val="bottom"/>
          </w:tcPr>
          <w:p>
            <w:pPr>
              <w:ind w:left="660"/>
              <w:spacing w:after="0"/>
              <w:rPr>
                <w:sz w:val="20"/>
                <w:szCs w:val="20"/>
                <w:color w:val="auto"/>
              </w:rPr>
            </w:pPr>
            <w:r>
              <w:rPr>
                <w:rFonts w:ascii="Arial" w:cs="Arial" w:eastAsia="Arial" w:hAnsi="Arial"/>
                <w:sz w:val="18"/>
                <w:szCs w:val="18"/>
                <w:color w:val="auto"/>
              </w:rPr>
              <w:t>Wind farm utility</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2,342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2,331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2,074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Overall</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4,823</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4,984</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40" w:type="dxa"/>
            <w:vAlign w:val="bottom"/>
          </w:tcPr>
          <w:p>
            <w:pPr>
              <w:ind w:left="340"/>
              <w:spacing w:after="0"/>
              <w:rPr>
                <w:sz w:val="20"/>
                <w:szCs w:val="20"/>
                <w:color w:val="auto"/>
              </w:rPr>
            </w:pPr>
            <w:r>
              <w:rPr>
                <w:rFonts w:ascii="Arial" w:cs="Arial" w:eastAsia="Arial" w:hAnsi="Arial"/>
                <w:sz w:val="18"/>
                <w:szCs w:val="18"/>
                <w:color w:val="auto"/>
              </w:rPr>
              <w:t>Utilization:</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Standby</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3740" w:type="dxa"/>
            <w:vAlign w:val="bottom"/>
          </w:tcPr>
          <w:p>
            <w:pPr>
              <w:ind w:left="660"/>
              <w:spacing w:after="0"/>
              <w:rPr>
                <w:sz w:val="20"/>
                <w:szCs w:val="20"/>
                <w:color w:val="auto"/>
              </w:rPr>
            </w:pPr>
            <w:r>
              <w:rPr>
                <w:rFonts w:ascii="Arial" w:cs="Arial" w:eastAsia="Arial" w:hAnsi="Arial"/>
                <w:sz w:val="18"/>
                <w:szCs w:val="18"/>
                <w:color w:val="auto"/>
              </w:rPr>
              <w:t>Wind farm utility</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216"/>
        </w:trPr>
        <w:tc>
          <w:tcPr>
            <w:tcW w:w="3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Overall</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r>
      <w:tr>
        <w:trPr>
          <w:trHeight w:val="216"/>
        </w:trPr>
        <w:tc>
          <w:tcPr>
            <w:tcW w:w="3740" w:type="dxa"/>
            <w:vAlign w:val="bottom"/>
          </w:tcPr>
          <w:p>
            <w:pPr>
              <w:ind w:left="340"/>
              <w:spacing w:after="0"/>
              <w:rPr>
                <w:sz w:val="20"/>
                <w:szCs w:val="20"/>
                <w:color w:val="auto"/>
              </w:rPr>
            </w:pPr>
            <w:r>
              <w:rPr>
                <w:rFonts w:ascii="Arial" w:cs="Arial" w:eastAsia="Arial" w:hAnsi="Arial"/>
                <w:sz w:val="18"/>
                <w:szCs w:val="18"/>
                <w:color w:val="auto"/>
              </w:rPr>
              <w:t>Available Days: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Supply</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40" w:type="dxa"/>
            <w:vAlign w:val="bottom"/>
          </w:tcPr>
          <w:p>
            <w:pPr>
              <w:ind w:left="660"/>
              <w:spacing w:after="0"/>
              <w:rPr>
                <w:sz w:val="20"/>
                <w:szCs w:val="20"/>
                <w:color w:val="auto"/>
              </w:rPr>
            </w:pPr>
            <w:r>
              <w:rPr>
                <w:rFonts w:ascii="Arial" w:cs="Arial" w:eastAsia="Arial" w:hAnsi="Arial"/>
                <w:sz w:val="18"/>
                <w:szCs w:val="18"/>
                <w:color w:val="auto"/>
              </w:rPr>
              <w:t>Standby</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1,746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3,595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3,620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Wind farm utility</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3,228</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6,319</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740" w:type="dxa"/>
            <w:vAlign w:val="bottom"/>
          </w:tcPr>
          <w:p>
            <w:pPr>
              <w:ind w:left="660"/>
              <w:spacing w:after="0"/>
              <w:rPr>
                <w:sz w:val="20"/>
                <w:szCs w:val="20"/>
                <w:color w:val="auto"/>
              </w:rPr>
            </w:pPr>
            <w:r>
              <w:rPr>
                <w:rFonts w:ascii="Arial" w:cs="Arial" w:eastAsia="Arial" w:hAnsi="Arial"/>
                <w:sz w:val="18"/>
                <w:szCs w:val="18"/>
                <w:color w:val="auto"/>
              </w:rPr>
              <w:t>Overall</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5,065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10,005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9,955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740" w:type="dxa"/>
            <w:vAlign w:val="bottom"/>
          </w:tcPr>
          <w:p>
            <w:pPr>
              <w:ind w:left="340"/>
              <w:spacing w:after="0"/>
              <w:rPr>
                <w:sz w:val="20"/>
                <w:szCs w:val="20"/>
                <w:color w:val="auto"/>
              </w:rPr>
            </w:pPr>
            <w:r>
              <w:rPr>
                <w:rFonts w:ascii="Arial" w:cs="Arial" w:eastAsia="Arial" w:hAnsi="Arial"/>
                <w:sz w:val="18"/>
                <w:szCs w:val="18"/>
                <w:color w:val="auto"/>
              </w:rPr>
              <w:t>Time charter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18,505</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18,713</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36,123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34,778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r>
      <w:tr>
        <w:trPr>
          <w:trHeight w:val="216"/>
        </w:trPr>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marine services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w:t>
            </w: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1,154</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3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19,145</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19,393</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100%</w:t>
            </w: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37,277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35,919</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Direct 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40" w:type="dxa"/>
            <w:vAlign w:val="bottom"/>
          </w:tcPr>
          <w:p>
            <w:pPr>
              <w:ind w:left="340"/>
              <w:spacing w:after="0"/>
              <w:rPr>
                <w:sz w:val="20"/>
                <w:szCs w:val="20"/>
                <w:color w:val="auto"/>
              </w:rPr>
            </w:pPr>
            <w:r>
              <w:rPr>
                <w:rFonts w:ascii="Arial" w:cs="Arial" w:eastAsia="Arial" w:hAnsi="Arial"/>
                <w:sz w:val="18"/>
                <w:szCs w:val="18"/>
                <w:color w:val="auto"/>
              </w:rPr>
              <w:t>Personnel</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10,495</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19,708</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16,588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Repairs and maintenance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4,560</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Drydocking</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1,209</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2,950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2,179</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Insurance and loss reserves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3740" w:type="dxa"/>
            <w:vAlign w:val="bottom"/>
          </w:tcPr>
          <w:p>
            <w:pPr>
              <w:ind w:left="340"/>
              <w:spacing w:after="0"/>
              <w:rPr>
                <w:sz w:val="20"/>
                <w:szCs w:val="20"/>
                <w:color w:val="auto"/>
              </w:rPr>
            </w:pPr>
            <w:r>
              <w:rPr>
                <w:rFonts w:ascii="Arial" w:cs="Arial" w:eastAsia="Arial" w:hAnsi="Arial"/>
                <w:sz w:val="18"/>
                <w:szCs w:val="18"/>
                <w:color w:val="auto"/>
              </w:rPr>
              <w:t>Fuel, lubes and supplies</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1,051</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2,335</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1,955</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3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15,533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13,212</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30,574</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25,560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0"/>
        </w:trPr>
        <w:tc>
          <w:tcPr>
            <w:tcW w:w="3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Direct Vessel Profit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6,703</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0"/>
        </w:trPr>
        <w:tc>
          <w:tcPr>
            <w:tcW w:w="3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p>
      <w:pPr>
        <w:ind w:left="62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12" w:lineRule="exact"/>
        <w:rPr>
          <w:sz w:val="20"/>
          <w:szCs w:val="20"/>
          <w:color w:val="auto"/>
        </w:rPr>
      </w:pPr>
    </w:p>
    <w:p>
      <w:pPr>
        <w:jc w:val="both"/>
        <w:ind w:left="140" w:right="140" w:firstLine="486"/>
        <w:spacing w:after="0" w:line="238"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For standby safety vessels, time charter revenues were $0.5 million higher in the Current Year</w:t>
      </w:r>
      <w:r>
        <w:rPr>
          <w:rFonts w:ascii="Arial" w:cs="Arial" w:eastAsia="Arial" w:hAnsi="Arial"/>
          <w:sz w:val="22"/>
          <w:szCs w:val="22"/>
          <w:i w:val="1"/>
          <w:iCs w:val="1"/>
          <w:color w:val="auto"/>
        </w:rPr>
        <w:t xml:space="preserve"> </w:t>
      </w:r>
      <w:r>
        <w:rPr>
          <w:rFonts w:ascii="Arial" w:cs="Arial" w:eastAsia="Arial" w:hAnsi="Arial"/>
          <w:sz w:val="22"/>
          <w:szCs w:val="22"/>
          <w:color w:val="auto"/>
        </w:rPr>
        <w:t>Quarter compared with the Prior Year Quarter. Time charter revenues were $ 0.7 million higher due to favorable changes in currency exchange rates, $0.5 million higher due to improved utilization, $0.1 million higher due to increased average day rates, and $0.8 million lower due to fleet dispositions.</w:t>
      </w:r>
    </w:p>
    <w:p>
      <w:pPr>
        <w:spacing w:after="0" w:line="212" w:lineRule="exact"/>
        <w:rPr>
          <w:sz w:val="20"/>
          <w:szCs w:val="20"/>
          <w:color w:val="auto"/>
        </w:rPr>
      </w:pPr>
    </w:p>
    <w:p>
      <w:pPr>
        <w:jc w:val="both"/>
        <w:ind w:left="140" w:right="140" w:firstLine="486"/>
        <w:spacing w:after="0" w:line="238" w:lineRule="auto"/>
        <w:rPr>
          <w:sz w:val="20"/>
          <w:szCs w:val="20"/>
          <w:color w:val="auto"/>
        </w:rPr>
      </w:pPr>
      <w:r>
        <w:rPr>
          <w:rFonts w:ascii="Arial" w:cs="Arial" w:eastAsia="Arial" w:hAnsi="Arial"/>
          <w:sz w:val="22"/>
          <w:szCs w:val="22"/>
          <w:color w:val="auto"/>
        </w:rPr>
        <w:t>For wind farm utility vessels, time charter revenues were $0.7 million lower. Time charter revenues were $0.3 million higher due to favorable changes in currency exchange rates, $0.3 million higher due to fleet additions, $0.1 million higher due to improved average day rates, $0.2 million lower due to repositioning of vessels between geographic regions and $1.2 million lower due to reduced utilization.</w:t>
      </w:r>
    </w:p>
    <w:p>
      <w:pPr>
        <w:spacing w:after="0" w:line="212" w:lineRule="exact"/>
        <w:rPr>
          <w:sz w:val="20"/>
          <w:szCs w:val="20"/>
          <w:color w:val="auto"/>
        </w:rPr>
      </w:pPr>
    </w:p>
    <w:p>
      <w:pPr>
        <w:jc w:val="both"/>
        <w:ind w:left="140" w:right="140" w:firstLine="486"/>
        <w:spacing w:after="0" w:line="235"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$2.3 million higher in the Current Year Quarter compared to</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Year Quarter. On an overall basis vessel operating expenses were $1.4 million higher due to the cost of converting two supply vessels to standby safety classification, $1.2 million higher due to MNRPF pension deficit expense, $0.4 million higher for vessels in active service, primarily due to unfavorable changes in currency exchange rates, and $0.7 million lower due to net fleet dispositions.</w:t>
      </w:r>
    </w:p>
    <w:p>
      <w:pPr>
        <w:sectPr>
          <w:pgSz w:w="11900" w:h="16838" w:orient="portrait"/>
          <w:cols w:equalWidth="0" w:num="1">
            <w:col w:w="11420"/>
          </w:cols>
          <w:pgMar w:left="240" w:top="118" w:right="239" w:bottom="1440" w:gutter="0" w:footer="0" w:header="0"/>
        </w:sect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239" w:lineRule="exact"/>
        <w:rPr>
          <w:sz w:val="20"/>
          <w:szCs w:val="20"/>
          <w:color w:val="auto"/>
        </w:rPr>
      </w:pPr>
    </w:p>
    <w:p>
      <w:pPr>
        <w:jc w:val="both"/>
        <w:ind w:left="140" w:right="140" w:firstLine="486"/>
        <w:spacing w:after="0" w:line="238"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For standby safety vessels, time charter revenues were $1.9 million higher in the Current Six Months</w:t>
      </w:r>
      <w:r>
        <w:rPr>
          <w:rFonts w:ascii="Arial" w:cs="Arial" w:eastAsia="Arial" w:hAnsi="Arial"/>
          <w:sz w:val="22"/>
          <w:szCs w:val="22"/>
          <w:i w:val="1"/>
          <w:iCs w:val="1"/>
          <w:color w:val="auto"/>
        </w:rPr>
        <w:t xml:space="preserve"> </w:t>
      </w:r>
      <w:r>
        <w:rPr>
          <w:rFonts w:ascii="Arial" w:cs="Arial" w:eastAsia="Arial" w:hAnsi="Arial"/>
          <w:sz w:val="22"/>
          <w:szCs w:val="22"/>
          <w:color w:val="auto"/>
        </w:rPr>
        <w:t>compared with the Prior Six Months. Time charter revenues were $2.2 million higher due to favorable changes in currency exchange rates, $0.8 million higher due to improved utilization, $0.9 million lower due to fleet dispositions and $0.2 million lower due to reduced average day rates.</w:t>
      </w:r>
    </w:p>
    <w:p>
      <w:pPr>
        <w:spacing w:after="0" w:line="212" w:lineRule="exact"/>
        <w:rPr>
          <w:sz w:val="20"/>
          <w:szCs w:val="20"/>
          <w:color w:val="auto"/>
        </w:rPr>
      </w:pPr>
    </w:p>
    <w:p>
      <w:pPr>
        <w:jc w:val="both"/>
        <w:ind w:left="140" w:right="140" w:firstLine="486"/>
        <w:spacing w:after="0" w:line="238" w:lineRule="auto"/>
        <w:rPr>
          <w:sz w:val="20"/>
          <w:szCs w:val="20"/>
          <w:color w:val="auto"/>
        </w:rPr>
      </w:pPr>
      <w:r>
        <w:rPr>
          <w:rFonts w:ascii="Arial" w:cs="Arial" w:eastAsia="Arial" w:hAnsi="Arial"/>
          <w:sz w:val="22"/>
          <w:szCs w:val="22"/>
          <w:color w:val="auto"/>
        </w:rPr>
        <w:t>For wind farm utility vessels, time charter revenues were $0.5 million lower. Time charter revenues were $0.8 million higher due to favorable changes in currency exchange rates, $0.3 million higher due to fleet additions, $0.1 million higher due to improved day rates, $1.3 million lower due to reduced utilization and $0.4 million lower due to the repositioning of vessels between geographic regions.</w:t>
      </w:r>
    </w:p>
    <w:p>
      <w:pPr>
        <w:spacing w:after="0" w:line="212" w:lineRule="exact"/>
        <w:rPr>
          <w:sz w:val="20"/>
          <w:szCs w:val="20"/>
          <w:color w:val="auto"/>
        </w:rPr>
      </w:pPr>
    </w:p>
    <w:p>
      <w:pPr>
        <w:jc w:val="both"/>
        <w:ind w:left="140" w:right="140" w:firstLine="486"/>
        <w:spacing w:after="0" w:line="282"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$5.0 million higher in the Current Six Months compared to</w:t>
      </w:r>
      <w:r>
        <w:rPr>
          <w:rFonts w:ascii="Arial" w:cs="Arial" w:eastAsia="Arial" w:hAnsi="Arial"/>
          <w:sz w:val="19"/>
          <w:szCs w:val="19"/>
          <w:i w:val="1"/>
          <w:iCs w:val="1"/>
          <w:color w:val="auto"/>
        </w:rPr>
        <w:t xml:space="preserve"> </w:t>
      </w:r>
      <w:r>
        <w:rPr>
          <w:rFonts w:ascii="Arial" w:cs="Arial" w:eastAsia="Arial" w:hAnsi="Arial"/>
          <w:sz w:val="19"/>
          <w:szCs w:val="19"/>
          <w:color w:val="auto"/>
        </w:rPr>
        <w:t>the Prior Six Months. On an overall basis vessel operating expenses were $2.9 million higher for vessels in active service, primarily due to unfavorable changes in currency exchange rates, $1.2 million higher due to MNRPF pension deficit expense, $2.0 million higher due to the cost of converting two supply vessels to standby safety classification, $1.0 million lower due to net fleet dispositions and $0.1 million lower due to the repositioning of vessels between geographic regions.</w:t>
      </w:r>
    </w:p>
    <w:p>
      <w:pPr>
        <w:spacing w:after="0" w:line="148" w:lineRule="exact"/>
        <w:rPr>
          <w:sz w:val="20"/>
          <w:szCs w:val="20"/>
          <w:color w:val="auto"/>
        </w:rPr>
      </w:pPr>
    </w:p>
    <w:p>
      <w:pPr>
        <w:jc w:val="both"/>
        <w:ind w:firstLine="648"/>
        <w:spacing w:after="0"/>
        <w:rPr>
          <w:sz w:val="20"/>
          <w:szCs w:val="20"/>
          <w:color w:val="auto"/>
        </w:rPr>
      </w:pPr>
      <w:r>
        <w:rPr>
          <w:rFonts w:ascii="Arial" w:cs="Arial" w:eastAsia="Arial" w:hAnsi="Arial"/>
          <w:sz w:val="22"/>
          <w:szCs w:val="22"/>
          <w:b w:val="1"/>
          <w:bCs w:val="1"/>
          <w:i w:val="1"/>
          <w:iCs w:val="1"/>
          <w:color w:val="auto"/>
        </w:rPr>
        <w:t xml:space="preserve">Leased-in Equipment. </w:t>
      </w:r>
      <w:r>
        <w:rPr>
          <w:rFonts w:ascii="Arial" w:cs="Arial" w:eastAsia="Arial" w:hAnsi="Arial"/>
          <w:sz w:val="22"/>
          <w:szCs w:val="22"/>
          <w:color w:val="auto"/>
        </w:rPr>
        <w:t>Leased-in equipment expenses for the Current Year Quarter and Current Six Months were $0.8</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million and $1.6 million lower compared with the Prior Year Quarter and Prior Six Months, respectively, due to the impairment and removal from service of a leased-in vessel during 2017.</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i w:val="1"/>
          <w:iCs w:val="1"/>
          <w:color w:val="auto"/>
        </w:rPr>
        <w:t xml:space="preserve">Administrative and general. </w:t>
      </w:r>
      <w:r>
        <w:rPr>
          <w:rFonts w:ascii="Arial" w:cs="Arial" w:eastAsia="Arial" w:hAnsi="Arial"/>
          <w:sz w:val="22"/>
          <w:szCs w:val="22"/>
          <w:color w:val="auto"/>
        </w:rPr>
        <w:t>Administrative and general expenses for the Current Year Quarter and Current Six Months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were $6.1 million and $5.2 million lower compared with the Prior Year Quarter and Prior Six Months, respectively, primarily due to the acceleration of certain stock awards following the Spin-off in 2017 and the reduction in fees in connection with support services provided by SEACOR Holdings. These reductions were partially offset by increased legal and professional fees and equity incentive awards in 2018.</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b w:val="1"/>
          <w:bCs w:val="1"/>
          <w:i w:val="1"/>
          <w:iCs w:val="1"/>
          <w:color w:val="auto"/>
        </w:rPr>
        <w:t xml:space="preserve">Depreciation and amortization. </w:t>
      </w:r>
      <w:r>
        <w:rPr>
          <w:rFonts w:ascii="Arial" w:cs="Arial" w:eastAsia="Arial" w:hAnsi="Arial"/>
          <w:sz w:val="22"/>
          <w:szCs w:val="22"/>
          <w:color w:val="auto"/>
        </w:rPr>
        <w:t>Depreciation and amortization expense for the Current Year Quarter and Current Six</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Months were $3.8 million and $10.8 million higher compared with the Prior Year Quarter and Prior Six Months, respectively, primarily due to net fleet additions.</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i w:val="1"/>
          <w:iCs w:val="1"/>
          <w:color w:val="auto"/>
        </w:rPr>
        <w:t xml:space="preserve">Gains (Losses) on Asset Dispositions and Impairments, Net. </w:t>
      </w:r>
      <w:r>
        <w:rPr>
          <w:rFonts w:ascii="Arial" w:cs="Arial" w:eastAsia="Arial" w:hAnsi="Arial"/>
          <w:sz w:val="21"/>
          <w:szCs w:val="21"/>
          <w:color w:val="auto"/>
        </w:rPr>
        <w:t>During the Current Year Quarter, the Company sold one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offshore support vessel and two supply vessels previously retired and removed from service, one standby safety vessel, one fast support vessel and other equipment for net proceeds of $2.2 million and a gain of $1.2 million. During the Prior Year Quarter, the Company sold one supply vessel, two offshore support vessels previously retired and removed from service and other equipment for net proceeds of $1.3 million and losses of $0.6 million. In addition, the Company recorded impairment charges of $5.7 million during the Prior Year Quarter primarily related to one leased-in supply vessel removed from service, as it was not expected to be marketed prior to being returned to its owner.</w:t>
      </w:r>
    </w:p>
    <w:p>
      <w:pPr>
        <w:spacing w:after="0" w:line="205" w:lineRule="exact"/>
        <w:rPr>
          <w:sz w:val="20"/>
          <w:szCs w:val="20"/>
          <w:color w:val="auto"/>
        </w:rPr>
      </w:pPr>
    </w:p>
    <w:p>
      <w:pPr>
        <w:jc w:val="both"/>
        <w:ind w:left="140" w:right="140" w:firstLine="486"/>
        <w:spacing w:after="0" w:line="245" w:lineRule="auto"/>
        <w:rPr>
          <w:sz w:val="20"/>
          <w:szCs w:val="20"/>
          <w:color w:val="auto"/>
        </w:rPr>
      </w:pPr>
      <w:r>
        <w:rPr>
          <w:rFonts w:ascii="Arial" w:cs="Arial" w:eastAsia="Arial" w:hAnsi="Arial"/>
          <w:sz w:val="21"/>
          <w:szCs w:val="21"/>
          <w:color w:val="auto"/>
        </w:rPr>
        <w:t>During the Current Six Months, the Company sold one fast support vessel and two supply vessels previously retired and removed from service, one fast support vessel, one anchor handling towing supply vessel, one standby safety vessel and other equipment for net proceeds of $2.6 million and gains of $1.4 million, all of which was recognized currently. In addition, the Company recorded impairment charges of $3.0 million primarily related to the Company’s anchor handling towing supply vessels. During the Prior Six Months, the Company sold two liftboats, one supply vessel, four offshore support vessels previously retired and removed from service and other equipment for net proceeds of $10.0 million and gains of $4.2 million, all of which were recognized currently. In addition, the Company recognized impairment charges of $5.7 million during the Prior Six Months primarily related to one leased-in supply vessel removed from service, as it was not expected to be marketed prior to being returned to its owner.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(Expense), Net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periods ended June 30, the Company’s other income (expense) was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4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4"/>
              </w:rPr>
              <w:t>Three Months Ended June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r>
              <w:rPr>
                <w:rFonts w:ascii="Arial" w:cs="Arial" w:eastAsia="Arial" w:hAnsi="Arial"/>
                <w:sz w:val="18"/>
                <w:szCs w:val="18"/>
                <w:color w:val="auto"/>
                <w:w w:val="91"/>
              </w:rPr>
              <w:t>,</w:t>
            </w:r>
          </w:p>
        </w:tc>
      </w:tr>
      <w:tr>
        <w:trPr>
          <w:trHeight w:val="210"/>
        </w:trPr>
        <w:tc>
          <w:tcPr>
            <w:tcW w:w="4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1,125</w:t>
            </w:r>
          </w:p>
        </w:tc>
      </w:tr>
      <w:tr>
        <w:trPr>
          <w:trHeight w:val="216"/>
        </w:trPr>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(7,728)</w:t>
            </w:r>
          </w:p>
        </w:tc>
      </w:tr>
      <w:tr>
        <w:trPr>
          <w:trHeight w:val="216"/>
        </w:trPr>
        <w:tc>
          <w:tcPr>
            <w:tcW w:w="4580" w:type="dxa"/>
            <w:vAlign w:val="bottom"/>
          </w:tcPr>
          <w:p>
            <w:pPr>
              <w:ind w:left="340"/>
              <w:spacing w:after="0"/>
              <w:rPr>
                <w:sz w:val="20"/>
                <w:szCs w:val="20"/>
                <w:color w:val="auto"/>
              </w:rPr>
            </w:pPr>
            <w:r>
              <w:rPr>
                <w:rFonts w:ascii="Arial" w:cs="Arial" w:eastAsia="Arial" w:hAnsi="Arial"/>
                <w:sz w:val="18"/>
                <w:szCs w:val="18"/>
                <w:color w:val="auto"/>
              </w:rPr>
              <w:t>SEACOR Holdings management fees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(3,208)</w:t>
            </w:r>
          </w:p>
        </w:tc>
      </w:tr>
      <w:tr>
        <w:trPr>
          <w:trHeight w:val="216"/>
        </w:trPr>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SEACOR Holdings guarantee fees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4580" w:type="dxa"/>
            <w:vAlign w:val="bottom"/>
          </w:tcPr>
          <w:p>
            <w:pPr>
              <w:ind w:left="340"/>
              <w:spacing w:after="0"/>
              <w:rPr>
                <w:sz w:val="20"/>
                <w:szCs w:val="20"/>
                <w:color w:val="auto"/>
              </w:rPr>
            </w:pPr>
            <w:r>
              <w:rPr>
                <w:rFonts w:ascii="Arial" w:cs="Arial" w:eastAsia="Arial" w:hAnsi="Arial"/>
                <w:sz w:val="18"/>
                <w:szCs w:val="18"/>
                <w:color w:val="auto"/>
              </w:rPr>
              <w:t>Marketable security (losses) gains, net</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11,629</w:t>
            </w:r>
          </w:p>
        </w:tc>
      </w:tr>
      <w:tr>
        <w:trPr>
          <w:trHeight w:val="216"/>
        </w:trPr>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losses, net</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r>
      <w:tr>
        <w:trPr>
          <w:trHeight w:val="216"/>
        </w:trPr>
        <w:tc>
          <w:tcPr>
            <w:tcW w:w="4580" w:type="dxa"/>
            <w:vAlign w:val="bottom"/>
          </w:tcPr>
          <w:p>
            <w:pPr>
              <w:ind w:left="340"/>
              <w:spacing w:after="0"/>
              <w:rPr>
                <w:sz w:val="20"/>
                <w:szCs w:val="20"/>
                <w:color w:val="auto"/>
              </w:rPr>
            </w:pPr>
            <w:r>
              <w:rPr>
                <w:rFonts w:ascii="Arial" w:cs="Arial" w:eastAsia="Arial" w:hAnsi="Arial"/>
                <w:sz w:val="18"/>
                <w:szCs w:val="18"/>
                <w:color w:val="auto"/>
              </w:rPr>
              <w:t>Foreign currency losses, net</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(818)</w:t>
            </w:r>
          </w:p>
        </w:tc>
        <w:tc>
          <w:tcPr>
            <w:tcW w:w="2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(1,283)</w:t>
            </w:r>
          </w:p>
        </w:tc>
      </w:tr>
      <w:tr>
        <w:trPr>
          <w:trHeight w:val="216"/>
        </w:trPr>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45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(9,630)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(7,045)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(26,936)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0"/>
        </w:trPr>
        <w:tc>
          <w:tcPr>
            <w:tcW w:w="4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36" w:gutter="0" w:footer="0" w:header="0"/>
        </w:sectPr>
      </w:pPr>
    </w:p>
    <w:bookmarkStart w:id="44" w:name="page45"/>
    <w:bookmarkEnd w:id="44"/>
    <w:p>
      <w:pPr>
        <w:ind w:firstLine="648"/>
        <w:spacing w:after="0" w:line="251" w:lineRule="auto"/>
        <w:rPr>
          <w:sz w:val="20"/>
          <w:szCs w:val="20"/>
          <w:color w:val="auto"/>
        </w:rPr>
      </w:pPr>
      <w:r>
        <w:rPr>
          <w:rFonts w:ascii="Arial" w:cs="Arial" w:eastAsia="Arial" w:hAnsi="Arial"/>
          <w:sz w:val="22"/>
          <w:szCs w:val="22"/>
          <w:b w:val="1"/>
          <w:bCs w:val="1"/>
          <w:i w:val="1"/>
          <w:iCs w:val="1"/>
          <w:color w:val="auto"/>
        </w:rPr>
        <w:t xml:space="preserve">Interest income. </w:t>
      </w:r>
      <w:r>
        <w:rPr>
          <w:rFonts w:ascii="Arial" w:cs="Arial" w:eastAsia="Arial" w:hAnsi="Arial"/>
          <w:sz w:val="22"/>
          <w:szCs w:val="22"/>
          <w:color w:val="auto"/>
        </w:rPr>
        <w:t>Interest income in the Current Six Months was lower compared with the Prior Six Months primarily due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lower interest from marketable security positions.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b w:val="1"/>
          <w:bCs w:val="1"/>
          <w:i w:val="1"/>
          <w:iCs w:val="1"/>
          <w:color w:val="auto"/>
        </w:rPr>
        <w:t xml:space="preserve">Interest expense. </w:t>
      </w:r>
      <w:r>
        <w:rPr>
          <w:rFonts w:ascii="Arial" w:cs="Arial" w:eastAsia="Arial" w:hAnsi="Arial"/>
          <w:sz w:val="22"/>
          <w:szCs w:val="22"/>
          <w:color w:val="auto"/>
        </w:rPr>
        <w:t>Interest expense in the Current Year Quarter and Current Six Months compared with the Prior Year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Quarter and Prior Six Months, respectively, was higher primarily due to additional interest incurred on the debt facilities of Falcon Global International, Sea-Cat Crewzer, Sea-Crewzer II and Sea-Cat Crewzer III and FGUSA, along with higher interest as a result of the variable nature of interest rates on debt facilities.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b w:val="1"/>
          <w:bCs w:val="1"/>
          <w:i w:val="1"/>
          <w:iCs w:val="1"/>
          <w:color w:val="auto"/>
        </w:rPr>
        <w:t xml:space="preserve">SEACOR Holdings management fees. </w:t>
      </w:r>
      <w:r>
        <w:rPr>
          <w:rFonts w:ascii="Arial" w:cs="Arial" w:eastAsia="Arial" w:hAnsi="Arial"/>
          <w:sz w:val="22"/>
          <w:szCs w:val="22"/>
          <w:color w:val="auto"/>
        </w:rPr>
        <w:t>Following the Spin-off, SEACOR Holdings no longer charges management fees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However, Transition Service Agreement fees for various support services for a period up to two years following the Spin-off are included in administrative and general expenses.</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i w:val="1"/>
          <w:iCs w:val="1"/>
          <w:color w:val="auto"/>
        </w:rPr>
        <w:t xml:space="preserve">Marketable security gains, net. </w:t>
      </w:r>
      <w:r>
        <w:rPr>
          <w:rFonts w:ascii="Arial" w:cs="Arial" w:eastAsia="Arial" w:hAnsi="Arial"/>
          <w:sz w:val="22"/>
          <w:szCs w:val="22"/>
          <w:color w:val="auto"/>
        </w:rPr>
        <w:t>Marketable security gains of $11.6 million in the Prior Six Months were primarily due to 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long security position exited by the Company during the Prior Six Months.</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i w:val="1"/>
          <w:iCs w:val="1"/>
          <w:color w:val="auto"/>
        </w:rPr>
        <w:t xml:space="preserve">Derivative gains (losses), net. </w:t>
      </w:r>
      <w:r>
        <w:rPr>
          <w:rFonts w:ascii="Arial" w:cs="Arial" w:eastAsia="Arial" w:hAnsi="Arial"/>
          <w:sz w:val="22"/>
          <w:szCs w:val="22"/>
          <w:color w:val="auto"/>
        </w:rPr>
        <w:t>Net derivative losses during the Current Year Quarter and Current Six Months were primarily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due to increases in the fair value of the Company’s conversion option liability on its Convertible Senior Notes. The increases in the conversion option liability were primarily the result of increases in the Company’s share price and estimated credit spread, offset by a reduction in the liability following conversion of $50.0 million of its Convertible Senior Notes to equity as a result of the Exchange.</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i w:val="1"/>
          <w:iCs w:val="1"/>
          <w:color w:val="auto"/>
        </w:rPr>
        <w:t xml:space="preserve">Foreign currency (gains) losses, net. </w:t>
      </w:r>
      <w:r>
        <w:rPr>
          <w:rFonts w:ascii="Arial" w:cs="Arial" w:eastAsia="Arial" w:hAnsi="Arial"/>
          <w:sz w:val="22"/>
          <w:szCs w:val="22"/>
          <w:color w:val="auto"/>
        </w:rPr>
        <w:t>Foreign currency losses for the Current Six Months were primarily due to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weakening of the pound sterling in relation to the euro underlying certain of the Company’s debt balances.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Income Tax Benefit</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During the Current Six Months, the Company's effective income tax rate of 20.1% was primarily due to taxes provided on income attributable to noncontrolling interests, foreign sourced income not subject to U.S. income taxes, foreign taxes not creditable against U.S income taxes, and a reversal of an unrecognized benefit. During the Prior Six Months, the Company's effective income tax rate of 27.2% was primarily due to losses of foreign subsidiaries not benefited.</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Equity in Earnings (Losses) of 50% or Less Owned Companies, Net of Tax</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Equity in earnings of 50% or less owned companies, net of tax, for the Current Year Quarter and Current Six Month compared with the Prior Year Quarter and Prior Six Months were $2.3 million and $2.5 million lower, respectively, due to the following changes in equity earnings (losses)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60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MexMar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OSV Partners</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Sea-Cat Crewzer</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Sea-Cat Crewzer II</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SEACOR Grant DIS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Falcon Global International</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(1,559)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Dynamic Offshore Drilling</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SEACOSCO</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(1,323)</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r>
      <w:tr>
        <w:trPr>
          <w:trHeight w:val="20"/>
        </w:trPr>
        <w:tc>
          <w:tcPr>
            <w:tcW w:w="60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(721)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(513)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r>
      <w:tr>
        <w:trPr>
          <w:trHeight w:val="20"/>
        </w:trPr>
        <w:tc>
          <w:tcPr>
            <w:tcW w:w="6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rPr>
          <w:sz w:val="20"/>
          <w:szCs w:val="20"/>
          <w:color w:val="auto"/>
        </w:rPr>
      </w:pPr>
      <w:r>
        <w:rPr>
          <w:rFonts w:ascii="Arial" w:cs="Arial" w:eastAsia="Arial" w:hAnsi="Arial"/>
          <w:sz w:val="22"/>
          <w:szCs w:val="22"/>
          <w:b w:val="1"/>
          <w:bCs w:val="1"/>
          <w:i w:val="1"/>
          <w:iCs w:val="1"/>
          <w:color w:val="auto"/>
        </w:rPr>
        <w:t xml:space="preserve">OSV Partners. </w:t>
      </w:r>
      <w:r>
        <w:rPr>
          <w:rFonts w:ascii="Arial" w:cs="Arial" w:eastAsia="Arial" w:hAnsi="Arial"/>
          <w:sz w:val="22"/>
          <w:szCs w:val="22"/>
          <w:color w:val="auto"/>
        </w:rPr>
        <w:t>During the Current Year Quarter equity losses from OSV Partners GP LLC and OSV Partners LP LLC</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(collectively “OSV Partners”) were $0.1 million higher compared to the Prior Year Quarter primarily due to the vessels owned by these entities being out-of-service.</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b w:val="1"/>
          <w:bCs w:val="1"/>
          <w:i w:val="1"/>
          <w:iCs w:val="1"/>
          <w:color w:val="auto"/>
        </w:rPr>
        <w:t xml:space="preserve">Seacor Grant DIS. </w:t>
      </w:r>
      <w:r>
        <w:rPr>
          <w:rFonts w:ascii="Arial" w:cs="Arial" w:eastAsia="Arial" w:hAnsi="Arial"/>
          <w:sz w:val="22"/>
          <w:szCs w:val="22"/>
          <w:color w:val="auto"/>
        </w:rPr>
        <w:t>During the Current Six Months equity losses of $1.1 million were primarily due to an impairment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charge of $1.1 million, net of taxes, for an other than temporary decline in the fair value of the Company’s investment in Seacor Grant DIS.</w:t>
      </w:r>
    </w:p>
    <w:p>
      <w:pPr>
        <w:spacing w:after="0" w:line="213" w:lineRule="exact"/>
        <w:rPr>
          <w:sz w:val="20"/>
          <w:szCs w:val="20"/>
          <w:color w:val="auto"/>
        </w:rPr>
      </w:pPr>
    </w:p>
    <w:p>
      <w:pPr>
        <w:jc w:val="both"/>
        <w:ind w:left="140" w:right="140" w:firstLine="567"/>
        <w:spacing w:after="0" w:line="248" w:lineRule="auto"/>
        <w:rPr>
          <w:sz w:val="20"/>
          <w:szCs w:val="20"/>
          <w:color w:val="auto"/>
        </w:rPr>
      </w:pPr>
      <w:r>
        <w:rPr>
          <w:rFonts w:ascii="Arial" w:cs="Arial" w:eastAsia="Arial" w:hAnsi="Arial"/>
          <w:sz w:val="21"/>
          <w:szCs w:val="21"/>
          <w:b w:val="1"/>
          <w:bCs w:val="1"/>
          <w:i w:val="1"/>
          <w:iCs w:val="1"/>
          <w:color w:val="auto"/>
        </w:rPr>
        <w:t xml:space="preserve">Falcon Global International. </w:t>
      </w:r>
      <w:r>
        <w:rPr>
          <w:rFonts w:ascii="Arial" w:cs="Arial" w:eastAsia="Arial" w:hAnsi="Arial"/>
          <w:sz w:val="21"/>
          <w:szCs w:val="21"/>
          <w:color w:val="auto"/>
        </w:rPr>
        <w:t>During the Prior Six Months, the Company’s partner declined to participate in a capital call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from FGI and, as a consequence, the Company obtained 100% voting control of FGI in accordance with the terms of the operating agreement and began consolidating FGI’s net assets effective March 31, 2017. In February 2018, the Company and MOI (an affiliate of our partner in FGI during the Prior Six Months) contributed certain assets, including 100% of the equity interests in each member of FGI, to FGH, a consolidated subsidiary of the Company, in accordance with the terms of a Joint Venture Contribution and Formation Agreement (see Note 10).</w:t>
      </w:r>
    </w:p>
    <w:p>
      <w:pPr>
        <w:spacing w:after="0" w:line="204" w:lineRule="exact"/>
        <w:rPr>
          <w:sz w:val="20"/>
          <w:szCs w:val="20"/>
          <w:color w:val="auto"/>
        </w:rPr>
      </w:pPr>
    </w:p>
    <w:p>
      <w:pPr>
        <w:ind w:left="140" w:right="400" w:firstLine="648"/>
        <w:spacing w:after="0" w:line="328" w:lineRule="auto"/>
        <w:rPr>
          <w:sz w:val="20"/>
          <w:szCs w:val="20"/>
          <w:color w:val="auto"/>
        </w:rPr>
      </w:pPr>
      <w:r>
        <w:rPr>
          <w:rFonts w:ascii="Arial" w:cs="Arial" w:eastAsia="Arial" w:hAnsi="Arial"/>
          <w:sz w:val="19"/>
          <w:szCs w:val="19"/>
          <w:b w:val="1"/>
          <w:bCs w:val="1"/>
          <w:i w:val="1"/>
          <w:iCs w:val="1"/>
          <w:color w:val="auto"/>
        </w:rPr>
        <w:t xml:space="preserve">SEACOSCO. </w:t>
      </w:r>
      <w:r>
        <w:rPr>
          <w:rFonts w:ascii="Arial" w:cs="Arial" w:eastAsia="Arial" w:hAnsi="Arial"/>
          <w:sz w:val="19"/>
          <w:szCs w:val="19"/>
          <w:color w:val="auto"/>
        </w:rPr>
        <w:t>During the Current Year Quarter and Current Six Months equity losses of $1.3 million and $1.5 million,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respectively, were primarily due to the mobilization of two new built vessels following delivery from the shipyard.</w:t>
      </w:r>
    </w:p>
    <w:p>
      <w:pPr>
        <w:sectPr>
          <w:pgSz w:w="11900" w:h="16838" w:orient="portrait"/>
          <w:cols w:equalWidth="0" w:num="1">
            <w:col w:w="11420"/>
          </w:cols>
          <w:pgMar w:left="240" w:top="118" w:right="239" w:bottom="190" w:gutter="0" w:footer="0" w:header="0"/>
        </w:sectPr>
      </w:pP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90" w:gutter="0" w:footer="0" w:header="0"/>
          <w:type w:val="continuous"/>
        </w:sectPr>
      </w:pPr>
    </w:p>
    <w:bookmarkStart w:id="46" w:name="page47"/>
    <w:bookmarkEnd w:id="4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Company’s ongoing liquidity requirements arise primarily from working capital needs, capital commitments and its obligations to service outstanding debt. The Company may use its liquidity to fund capital expenditures, make acquisitions or to make other investments. Sources of liquidity are cash balances, marketable securities, construction reserve funds and cash flows from operations. From time to time, the Company may secure additional liquidity through asset sales or the issuance of debt, shares of SEACOR Marine Common Stock or common stock of its subsidiaries, preferred stock or a combination thereof.</w:t>
      </w:r>
    </w:p>
    <w:p>
      <w:pPr>
        <w:spacing w:after="0" w:line="148"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As of June 30, 2018, the Company had unfunded capital commitments of $43.3 million that included two fast support vessels, three supply vessels and three wind farm utility vessel. The Company’s capital commitments by year of expected payment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12,707</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21,620</w:t>
            </w:r>
          </w:p>
        </w:tc>
        <w:tc>
          <w:tcPr>
            <w:tcW w:w="100" w:type="dxa"/>
            <w:vAlign w:val="bottom"/>
          </w:tcPr>
          <w:p>
            <w:pPr>
              <w:spacing w:after="0"/>
              <w:rPr>
                <w:sz w:val="18"/>
                <w:szCs w:val="18"/>
                <w:color w:val="auto"/>
              </w:rPr>
            </w:pPr>
          </w:p>
        </w:tc>
      </w:tr>
      <w:tr>
        <w:trPr>
          <w:trHeight w:val="216"/>
        </w:trPr>
        <w:tc>
          <w:tcPr>
            <w:tcW w:w="9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840" w:type="dxa"/>
            <w:vAlign w:val="bottom"/>
          </w:tcPr>
          <w:p>
            <w:pPr>
              <w:spacing w:after="0"/>
              <w:rPr>
                <w:sz w:val="18"/>
                <w:szCs w:val="18"/>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43,297</w:t>
            </w:r>
          </w:p>
        </w:tc>
        <w:tc>
          <w:tcPr>
            <w:tcW w:w="100" w:type="dxa"/>
            <w:vAlign w:val="bottom"/>
          </w:tcPr>
          <w:p>
            <w:pPr>
              <w:spacing w:after="0"/>
              <w:rPr>
                <w:sz w:val="18"/>
                <w:szCs w:val="18"/>
                <w:color w:val="auto"/>
              </w:rPr>
            </w:pPr>
          </w:p>
        </w:tc>
      </w:tr>
      <w:tr>
        <w:trPr>
          <w:trHeight w:val="20"/>
        </w:trPr>
        <w:tc>
          <w:tcPr>
            <w:tcW w:w="9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Company has indefinitely deferred an additional $20.8 million of orders with respect to two fast support vessels for which the Company had previously reported unfunded capital commitments.</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As of June 30, 2018, the Company had outstanding debt of $371.8 million, net of debt discount and issue costs. The Company’s contractual long-term debt maturities as of June 30, 2018,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20"/>
                <w:szCs w:val="20"/>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11,429</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53,233</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18,421</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44,914</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43,293</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Years subsequent to 2022</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240,390</w:t>
            </w:r>
          </w:p>
        </w:tc>
      </w:tr>
      <w:tr>
        <w:trPr>
          <w:trHeight w:val="20"/>
        </w:trPr>
        <w:tc>
          <w:tcPr>
            <w:tcW w:w="9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95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411,680</w:t>
            </w:r>
          </w:p>
        </w:tc>
      </w:tr>
      <w:tr>
        <w:trPr>
          <w:trHeight w:val="20"/>
        </w:trPr>
        <w:tc>
          <w:tcPr>
            <w:tcW w:w="95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As of June 30, 2018, the Company held balances of cash, cash equivalents, restricted cash, marketable securities and construction reserve funds totaling $126.3 million. As of June 30, 2018, construction reserve funds of $38.2 million were classified as non-current assets in the accompanying condensed consolidated balance sheets as the Company has the intent and ability to use the funds to acquire equipment. Additionally, the Company had $7.3 million available under subsidiary credit facilities.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Summary of Cash Flows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six months ended June 30, the following is a summary of the Company's cash flows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10"/>
        </w:trPr>
        <w:tc>
          <w:tcPr>
            <w:tcW w:w="7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or (used in):</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(33,686)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53,736</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(13,753)</w:t>
            </w:r>
          </w:p>
        </w:tc>
        <w:tc>
          <w:tcPr>
            <w:tcW w:w="0" w:type="dxa"/>
            <w:vAlign w:val="bottom"/>
          </w:tcPr>
          <w:p>
            <w:pPr>
              <w:spacing w:after="0"/>
              <w:rPr>
                <w:sz w:val="1"/>
                <w:szCs w:val="1"/>
                <w:color w:val="auto"/>
              </w:rPr>
            </w:pPr>
          </w:p>
        </w:tc>
      </w:tr>
      <w:tr>
        <w:trPr>
          <w:trHeight w:val="216"/>
        </w:trPr>
        <w:tc>
          <w:tcPr>
            <w:tcW w:w="720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39,887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0"/>
        </w:trPr>
        <w:tc>
          <w:tcPr>
            <w:tcW w:w="7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9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(24,361)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34,011</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5620"/>
              <w:spacing w:after="0"/>
              <w:rPr>
                <w:sz w:val="20"/>
                <w:szCs w:val="20"/>
                <w:color w:val="auto"/>
              </w:rPr>
            </w:pPr>
            <w:r>
              <w:rPr>
                <w:rFonts w:ascii="Arial" w:cs="Arial" w:eastAsia="Arial" w:hAnsi="Arial"/>
                <w:sz w:val="18"/>
                <w:szCs w:val="18"/>
                <w:color w:val="auto"/>
              </w:rPr>
              <w:t>35</w:t>
            </w:r>
          </w:p>
        </w:tc>
        <w:tc>
          <w:tcPr>
            <w:tcW w:w="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Operating Activities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Cash flows provided by (used in) operating activities decreased by $88.7 million in the Current Six Months compared with the Prior Six Months. The components of cash flows provided by (used in) operating activities during the Current Six Months and Prior Six Months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DVP:</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United States, primarily Gulf of Mexico</w:t>
            </w: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3,296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(2,950)</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Africa, primarily West Africa</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w:t>
            </w: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Middle East and Asia</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5,290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(2,742)</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Brazil, Mexico, Central and South America</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w:t>
            </w: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Europe, primarily North Sea</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6,703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10,359</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leased-in equipment (excluding amortization of deferred gains)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(11,381)</w:t>
            </w: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w w:val="97"/>
              </w:rPr>
              <w:t>Administrative and general (excluding provisions for bad debts and amortization of share awards)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(26,433)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(32,863)</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SEACOR Holdings management and guarantee fees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(3,359)</w:t>
            </w: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Other, net (excluding non-cash losses)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received from 50% or less owned companies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w:t>
            </w:r>
          </w:p>
        </w:tc>
      </w:tr>
      <w:tr>
        <w:trPr>
          <w:trHeight w:val="20"/>
        </w:trPr>
        <w:tc>
          <w:tcPr>
            <w:tcW w:w="2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(6,718)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(39,915)</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before interest and income taxes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11,715</w:t>
            </w: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Director share awards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vesting</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Proceeds from sale of marketable securities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51,877</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settlements on derivative transactions, net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Interest paid, excluding capitalized interest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(8,703)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(3,626)</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w:t>
            </w: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Income taxes refunded, net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31.226</w:t>
            </w: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cash flows (used in) provided by operating activities</w:t>
            </w:r>
          </w:p>
        </w:tc>
        <w:tc>
          <w:tcPr>
            <w:tcW w:w="5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(33,686)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53,736</w:t>
            </w:r>
          </w:p>
        </w:tc>
      </w:tr>
      <w:tr>
        <w:trPr>
          <w:trHeight w:val="198"/>
        </w:trPr>
        <w:tc>
          <w:tcPr>
            <w:tcW w:w="20" w:type="dxa"/>
            <w:vAlign w:val="bottom"/>
          </w:tcPr>
          <w:p>
            <w:pPr>
              <w:spacing w:after="0"/>
              <w:rPr>
                <w:sz w:val="17"/>
                <w:szCs w:val="17"/>
                <w:color w:val="auto"/>
              </w:rPr>
            </w:pPr>
          </w:p>
        </w:tc>
        <w:tc>
          <w:tcPr>
            <w:tcW w:w="758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color w:val="auto"/>
              </w:rPr>
              <w:t>_____________________</w:t>
            </w:r>
          </w:p>
        </w:tc>
        <w:tc>
          <w:tcPr>
            <w:tcW w:w="5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bl>
    <w:p>
      <w:pPr>
        <w:ind w:left="660" w:hanging="652"/>
        <w:spacing w:after="0" w:line="183" w:lineRule="auto"/>
        <w:tabs>
          <w:tab w:leader="none" w:pos="660" w:val="left"/>
        </w:tabs>
        <w:numPr>
          <w:ilvl w:val="0"/>
          <w:numId w:val="13"/>
        </w:numPr>
        <w:rPr>
          <w:rFonts w:ascii="Arial" w:cs="Arial" w:eastAsia="Arial" w:hAnsi="Arial"/>
          <w:sz w:val="32"/>
          <w:szCs w:val="32"/>
          <w:color w:val="auto"/>
          <w:vertAlign w:val="subscript"/>
        </w:rPr>
      </w:pPr>
      <w:r>
        <w:rPr>
          <w:rFonts w:ascii="Arial" w:cs="Arial" w:eastAsia="Arial" w:hAnsi="Arial"/>
          <w:sz w:val="17"/>
          <w:szCs w:val="17"/>
          <w:color w:val="auto"/>
        </w:rPr>
        <w:t>During the Current Six Months and the Prior Six Months, capitalized interest paid and included in purchases of property and equipment was $1.0 million and $2.3 million, respectively.</w:t>
      </w:r>
    </w:p>
    <w:p>
      <w:pPr>
        <w:spacing w:after="0" w:line="19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Investing Activities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During the Current Six Months, net cash used in investing activities was $30.3 million, primarily for the following:</w:t>
      </w:r>
    </w:p>
    <w:p>
      <w:pPr>
        <w:spacing w:after="0" w:line="218" w:lineRule="exact"/>
        <w:rPr>
          <w:sz w:val="20"/>
          <w:szCs w:val="20"/>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22"/>
          <w:szCs w:val="22"/>
          <w:color w:val="auto"/>
        </w:rPr>
        <w:t>capital expenditures were $15.5 million;</w:t>
      </w:r>
    </w:p>
    <w:p>
      <w:pPr>
        <w:spacing w:after="0" w:line="206" w:lineRule="exact"/>
        <w:rPr>
          <w:rFonts w:ascii="Arial" w:cs="Arial" w:eastAsia="Arial" w:hAnsi="Arial"/>
          <w:sz w:val="18"/>
          <w:szCs w:val="18"/>
          <w:color w:val="auto"/>
        </w:rPr>
      </w:pPr>
    </w:p>
    <w:p>
      <w:pPr>
        <w:jc w:val="both"/>
        <w:ind w:left="820" w:hanging="164"/>
        <w:spacing w:after="0" w:line="23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22"/>
          <w:szCs w:val="22"/>
          <w:color w:val="auto"/>
        </w:rPr>
        <w:t>the Company sold one fast support vessel and two supply vessels previously retired and removed from service, one fast support vessel, one standby safety vessel, one supply vessel and other equipment for net proceeds of $2.6 million ($2.5 million in cash and $0.1 million of previously received deposits) and received a $1.0 million deposit for the future sale of one specialty vessel</w:t>
      </w:r>
    </w:p>
    <w:p>
      <w:pPr>
        <w:spacing w:after="0" w:line="185"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construction reserve funds account transactions included withdrawals of $7.2 million; and</w:t>
      </w:r>
    </w:p>
    <w:p>
      <w:pPr>
        <w:spacing w:after="0" w:line="206" w:lineRule="exact"/>
        <w:rPr>
          <w:rFonts w:ascii="Arial" w:cs="Arial" w:eastAsia="Arial" w:hAnsi="Arial"/>
          <w:sz w:val="22"/>
          <w:szCs w:val="22"/>
          <w:color w:val="auto"/>
        </w:rPr>
      </w:pPr>
    </w:p>
    <w:p>
      <w:pPr>
        <w:ind w:left="820" w:hanging="164"/>
        <w:spacing w:after="0" w:line="251"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22"/>
          <w:szCs w:val="22"/>
          <w:color w:val="auto"/>
        </w:rPr>
        <w:t>the Company made investments in, and advances to, its 50% or less owned companies of $25.6 million for the new SEACOSCO joint venture.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During the Prior Six Months, net cash used in investing activities was $13.8 million, primarily as a result of the following:</w:t>
      </w:r>
    </w:p>
    <w:p>
      <w:pPr>
        <w:spacing w:after="0" w:line="241" w:lineRule="exact"/>
        <w:rPr>
          <w:sz w:val="20"/>
          <w:szCs w:val="20"/>
          <w:color w:val="auto"/>
        </w:rPr>
      </w:pPr>
    </w:p>
    <w:p>
      <w:pPr>
        <w:ind w:left="820" w:hanging="164"/>
        <w:spacing w:after="0" w:line="251"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22"/>
          <w:szCs w:val="22"/>
          <w:color w:val="auto"/>
        </w:rPr>
        <w:t>capital expenditures and payments on fair value hedges were $29.1 million. Four fast support vessels were delivered during the period;</w:t>
      </w:r>
    </w:p>
    <w:p>
      <w:pPr>
        <w:spacing w:after="0" w:line="173" w:lineRule="exact"/>
        <w:rPr>
          <w:rFonts w:ascii="Arial" w:cs="Arial" w:eastAsia="Arial" w:hAnsi="Arial"/>
          <w:sz w:val="18"/>
          <w:szCs w:val="18"/>
          <w:color w:val="auto"/>
        </w:rPr>
      </w:pPr>
    </w:p>
    <w:p>
      <w:pPr>
        <w:jc w:val="both"/>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22"/>
          <w:szCs w:val="22"/>
          <w:color w:val="auto"/>
        </w:rPr>
        <w:t>the Company sold two liftboats, one supply vessel, four offshore support vessels previously retired and removed from service and other property and equipment for net proceeds of $10.0 million ($9.5 million in cash and $0.5 million of previously received deposits);</w:t>
      </w:r>
    </w:p>
    <w:p>
      <w:pPr>
        <w:spacing w:after="0" w:line="186"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21"/>
          <w:szCs w:val="21"/>
          <w:color w:val="auto"/>
        </w:rPr>
        <w:t>construction reserve funds account transactions included deposits of $6.3 million and withdrawals of $16.7 million;</w:t>
      </w:r>
    </w:p>
    <w:p>
      <w:pPr>
        <w:spacing w:after="0" w:line="217" w:lineRule="exact"/>
        <w:rPr>
          <w:rFonts w:ascii="Arial" w:cs="Arial" w:eastAsia="Arial" w:hAnsi="Arial"/>
          <w:sz w:val="17"/>
          <w:szCs w:val="17"/>
          <w:color w:val="auto"/>
        </w:rPr>
      </w:pPr>
    </w:p>
    <w:p>
      <w:pPr>
        <w:ind w:left="820" w:right="120" w:hanging="164"/>
        <w:spacing w:after="0" w:line="251"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22"/>
          <w:szCs w:val="22"/>
          <w:color w:val="auto"/>
        </w:rPr>
        <w:t>the Company made investments in, and advances to, its 50% or less owned companies of $4.2 million, comprised of $2.4 million to Falcon Global and $1.8 million to OSV Partners.</w:t>
      </w:r>
    </w:p>
    <w:p>
      <w:pPr>
        <w:spacing w:after="0" w:line="173"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22"/>
          <w:szCs w:val="22"/>
          <w:color w:val="auto"/>
        </w:rPr>
        <w:t>the Company received capital distributions of $7.4 million from its 50% or less owned company MexMar;</w:t>
      </w:r>
    </w:p>
    <w:p>
      <w:pPr>
        <w:spacing w:after="0" w:line="233"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effective March 31, 2017, the Company consolidated Falcon Global International and assumed cash of $1.9 million.</w:t>
      </w:r>
    </w:p>
    <w:p>
      <w:pPr>
        <w:sectPr>
          <w:pgSz w:w="11900" w:h="16838" w:orient="portrait"/>
          <w:cols w:equalWidth="0" w:num="1">
            <w:col w:w="11420"/>
          </w:cols>
          <w:pgMar w:left="240" w:top="118" w:right="239" w:bottom="0" w:gutter="0" w:footer="0" w:header="0"/>
        </w:sectPr>
      </w:pPr>
    </w:p>
    <w:bookmarkStart w:id="48" w:name="page49"/>
    <w:bookmarkEnd w:id="48"/>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820" w:right="620" w:hanging="164"/>
        <w:spacing w:after="0" w:line="274" w:lineRule="auto"/>
        <w:tabs>
          <w:tab w:leader="none" w:pos="820" w:val="left"/>
        </w:tabs>
        <w:numPr>
          <w:ilvl w:val="0"/>
          <w:numId w:val="16"/>
        </w:numPr>
        <w:rPr>
          <w:rFonts w:ascii="Arial" w:cs="Arial" w:eastAsia="Arial" w:hAnsi="Arial"/>
          <w:sz w:val="21"/>
          <w:szCs w:val="21"/>
          <w:color w:val="auto"/>
        </w:rPr>
      </w:pPr>
      <w:r>
        <w:rPr>
          <w:rFonts w:ascii="Arial" w:cs="Arial" w:eastAsia="Arial" w:hAnsi="Arial"/>
          <w:sz w:val="21"/>
          <w:szCs w:val="21"/>
          <w:color w:val="auto"/>
        </w:rPr>
        <w:t>effective April 28, 2017, the Company acquired a 100% controlling interest in Sea-Cat Crewzer II LLC through the acquisition of its partners' 50% ownership interest for $9.6 million, net of cash acquired; and</w:t>
      </w:r>
    </w:p>
    <w:p>
      <w:pPr>
        <w:spacing w:after="0" w:line="177" w:lineRule="exact"/>
        <w:rPr>
          <w:rFonts w:ascii="Arial" w:cs="Arial" w:eastAsia="Arial" w:hAnsi="Arial"/>
          <w:sz w:val="21"/>
          <w:szCs w:val="21"/>
          <w:color w:val="auto"/>
        </w:rPr>
      </w:pPr>
    </w:p>
    <w:p>
      <w:pPr>
        <w:ind w:left="820" w:right="820" w:hanging="164"/>
        <w:spacing w:after="0" w:line="251" w:lineRule="auto"/>
        <w:tabs>
          <w:tab w:leader="none" w:pos="8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effective April 28, 2017, the Company acquired a 100% controlling interest in Sea-Cat Crewzer LLC through the acquisition of its partners' 50% ownership interest for $0.1 million, net of cash acquired.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Financing Activities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During the Current Six Months, net cash provided by financing activities was $39.9 million. The Company:</w:t>
      </w:r>
    </w:p>
    <w:p>
      <w:pPr>
        <w:spacing w:after="0" w:line="206" w:lineRule="exact"/>
        <w:rPr>
          <w:sz w:val="20"/>
          <w:szCs w:val="20"/>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22"/>
          <w:szCs w:val="22"/>
          <w:color w:val="auto"/>
        </w:rPr>
        <w:t>borrowed $10.0 million under the FGUSA Revolving Loan Facility;</w:t>
      </w:r>
    </w:p>
    <w:p>
      <w:pPr>
        <w:spacing w:after="0" w:line="206"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paid $15.0 million in debtor-in-possession obligations assumed from MOI;</w:t>
      </w:r>
    </w:p>
    <w:p>
      <w:pPr>
        <w:spacing w:after="0" w:line="206" w:lineRule="exact"/>
        <w:rPr>
          <w:rFonts w:ascii="Arial" w:cs="Arial" w:eastAsia="Arial" w:hAnsi="Arial"/>
          <w:sz w:val="22"/>
          <w:szCs w:val="22"/>
          <w:color w:val="auto"/>
        </w:rPr>
      </w:pPr>
    </w:p>
    <w:p>
      <w:pPr>
        <w:ind w:left="820" w:right="40" w:hanging="164"/>
        <w:spacing w:after="0" w:line="251" w:lineRule="auto"/>
        <w:tabs>
          <w:tab w:leader="none" w:pos="8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converted €6.0 million of denominated debt into pound sterling debt, paying $7.5 million in euro debt and borrowing $8.5 million in pound sterling debt, resulting in a net increase in USD borrowings of $1.0 million;</w:t>
      </w:r>
    </w:p>
    <w:p>
      <w:pPr>
        <w:spacing w:after="0" w:line="173" w:lineRule="exact"/>
        <w:rPr>
          <w:rFonts w:ascii="Arial" w:cs="Arial" w:eastAsia="Arial" w:hAnsi="Arial"/>
          <w:sz w:val="22"/>
          <w:szCs w:val="22"/>
          <w:color w:val="auto"/>
        </w:rPr>
      </w:pPr>
    </w:p>
    <w:p>
      <w:pPr>
        <w:ind w:left="820" w:hanging="164"/>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made scheduled payments on long-term debt and obligations of $12.7 million;</w:t>
      </w:r>
    </w:p>
    <w:p>
      <w:pPr>
        <w:spacing w:after="0" w:line="206" w:lineRule="exact"/>
        <w:rPr>
          <w:rFonts w:ascii="Arial" w:cs="Arial" w:eastAsia="Arial" w:hAnsi="Arial"/>
          <w:sz w:val="22"/>
          <w:szCs w:val="22"/>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22"/>
          <w:szCs w:val="22"/>
          <w:color w:val="auto"/>
        </w:rPr>
        <w:t>issued Common Stock for proceeds of $43.0 million in a private placement; and</w:t>
      </w:r>
    </w:p>
    <w:p>
      <w:pPr>
        <w:spacing w:after="0" w:line="206"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issued Warrants to purchase Common Stock for proceeds of $12.8 million in a private placement.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During the Prior Six Months, net cash used in financing activities was $7.1 million. The Company:</w:t>
      </w:r>
    </w:p>
    <w:p>
      <w:pPr>
        <w:spacing w:after="0" w:line="206" w:lineRule="exact"/>
        <w:rPr>
          <w:sz w:val="20"/>
          <w:szCs w:val="20"/>
          <w:color w:val="auto"/>
        </w:rPr>
      </w:pPr>
    </w:p>
    <w:p>
      <w:pPr>
        <w:ind w:left="820" w:hanging="164"/>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22"/>
          <w:szCs w:val="22"/>
          <w:color w:val="auto"/>
        </w:rPr>
        <w:t>borrowed $3.4 million under the Sea-Cat Crewzer III Term Loan Facility;</w:t>
      </w:r>
    </w:p>
    <w:p>
      <w:pPr>
        <w:spacing w:after="0" w:line="206" w:lineRule="exact"/>
        <w:rPr>
          <w:rFonts w:ascii="Arial" w:cs="Arial" w:eastAsia="Arial" w:hAnsi="Arial"/>
          <w:sz w:val="18"/>
          <w:szCs w:val="18"/>
          <w:color w:val="auto"/>
        </w:rPr>
      </w:pPr>
    </w:p>
    <w:p>
      <w:pPr>
        <w:ind w:left="820" w:hanging="164"/>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22"/>
          <w:szCs w:val="22"/>
          <w:color w:val="auto"/>
        </w:rPr>
        <w:t>made other scheduled payments on long-term debt and capital lease obligations of $4.0 million;</w:t>
      </w:r>
    </w:p>
    <w:p>
      <w:pPr>
        <w:spacing w:after="0" w:line="206" w:lineRule="exact"/>
        <w:rPr>
          <w:rFonts w:ascii="Arial" w:cs="Arial" w:eastAsia="Arial" w:hAnsi="Arial"/>
          <w:sz w:val="18"/>
          <w:szCs w:val="18"/>
          <w:color w:val="auto"/>
        </w:rPr>
      </w:pPr>
    </w:p>
    <w:p>
      <w:pPr>
        <w:ind w:left="820" w:hanging="164"/>
        <w:spacing w:after="0"/>
        <w:tabs>
          <w:tab w:leader="none" w:pos="8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incurred issuance costs of $0.2 million related to a number of new debt facilities;</w:t>
      </w:r>
    </w:p>
    <w:p>
      <w:pPr>
        <w:spacing w:after="0" w:line="206" w:lineRule="exact"/>
        <w:rPr>
          <w:rFonts w:ascii="Arial" w:cs="Arial" w:eastAsia="Arial" w:hAnsi="Arial"/>
          <w:sz w:val="22"/>
          <w:szCs w:val="22"/>
          <w:color w:val="auto"/>
        </w:rPr>
      </w:pPr>
    </w:p>
    <w:p>
      <w:pPr>
        <w:ind w:left="820" w:hanging="164"/>
        <w:spacing w:after="0"/>
        <w:tabs>
          <w:tab w:leader="none" w:pos="8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purchased subsidiary shares from holders of noncontrolling interests for $3.7 million; and</w:t>
      </w:r>
    </w:p>
    <w:p>
      <w:pPr>
        <w:spacing w:after="0" w:line="233" w:lineRule="exact"/>
        <w:rPr>
          <w:rFonts w:ascii="Arial" w:cs="Arial" w:eastAsia="Arial" w:hAnsi="Arial"/>
          <w:sz w:val="22"/>
          <w:szCs w:val="22"/>
          <w:color w:val="auto"/>
        </w:rPr>
      </w:pPr>
    </w:p>
    <w:p>
      <w:pPr>
        <w:ind w:left="820" w:right="280" w:hanging="164"/>
        <w:spacing w:after="0" w:line="251" w:lineRule="auto"/>
        <w:tabs>
          <w:tab w:leader="none" w:pos="8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paid SEACOR Holdings $2.7 million for the distribution of SEACOR Marine restricted stock to Company personnel in connection with the Spin-off.</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Short and Long-Term Liquidity Requirements</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and debt service requirements.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Management will continue to closely monitor the Company’s performance and liquidity, as well as the credit and capital markets.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Off-Balance Sheet Arrangements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For a discussion of the Company’s off-balance sheet arrangements, refer to Liquidity and Capital Resources included in the Company's Annual Report on Form 10-K for the year ended December 31, 2017. There has been no material change in the Company’s off-balance sheet arrangements during the six months ended June 30, 2018.</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auto"/>
        </w:rPr>
        <w:t>Debt Securities and Credit Agreements</w:t>
      </w:r>
    </w:p>
    <w:p>
      <w:pPr>
        <w:spacing w:after="0" w:line="21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For a discussion of the Company’s debt securities and credit agreements, see “Note 4. Long-Term Debt” in the unaudited consolidated financial statements included elsewhere in this Quarterly Report on Form 10-Q and in “Note 7. Long-Term Debt” in the Company's audited consolidated financial statements included in its Annual Report on Form 10-K.</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Contractual Obligations and Commercial Commitments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For a discussion of the Company’s contractual obligations and commercial commitments, refer to Liquidity and Capital Resources included in the Company's Annual Report on Form 10-K for the year ended December 31, 2017. There has been no material change in the Company’s contractual obligations and commercial commitments during the six months ended June 30, 2018.</w:t>
      </w:r>
    </w:p>
    <w:p>
      <w:pPr>
        <w:sectPr>
          <w:pgSz w:w="11900" w:h="16838" w:orient="portrait"/>
          <w:cols w:equalWidth="0" w:num="1">
            <w:col w:w="11420"/>
          </w:cols>
          <w:pgMar w:left="240" w:top="118" w:right="239" w:bottom="217"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217" w:gutter="0" w:footer="0" w:header="0"/>
          <w:type w:val="continuous"/>
        </w:sectPr>
      </w:pPr>
    </w:p>
    <w:bookmarkStart w:id="50" w:name="page51"/>
    <w:bookmarkEnd w:id="5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auto"/>
        </w:rPr>
        <w:t>Contingencies</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As of June 30, 2018, SEACOR Holdings has guaranteed $51.6 million on behalf of the Company for various obligations including: letter of credit obligations, performance obligations under sale-leaseback arrangements and invoiced amounts for funding deficits under the MNOPF. Pursuant to a Transition Services Agreement with SEACOR Holdings, SEACOR Holdings charges the Company a fee of 0.5% per annum on outstanding guaranteed amounts, which declines as the obligations are settled by the Company.</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1"/>
          <w:szCs w:val="21"/>
          <w:b w:val="1"/>
          <w:bCs w:val="1"/>
          <w:color w:val="auto"/>
        </w:rPr>
        <w:t>QUANTITATIVE AND QUALITATIVE DISCLOSURES ABOUT MARKET RISK</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For a discussion of the Company’s exposure to market risk, refer to “Quantitative and Qualitative Disclosures About Market Risk” included in the Company's Annual Report on Form 10-K for the year ended December 31, 2017. There has been no material change in the Company’s exposure to market risk during the Current Six Months.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1"/>
          <w:szCs w:val="21"/>
          <w:b w:val="1"/>
          <w:bCs w:val="1"/>
          <w:color w:val="auto"/>
        </w:rPr>
        <w:t>CONTROLS AND PROCEDURES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With the participation of the Company’s principal executive officer and principal financial officer, management evaluated the effectiveness of the Company’s disclosure controls and procedures (as defined in Rules 13a-15(e) and 15d-15(e) under the Securities Exchange Act of 1934, as amended (the “Exchange Act”)), as of June 30, 2018. Based on their evaluation, the Company’s principal executive officer and principal financial officer concluded that the Company’s disclosure controls and procedures were effective as of June 30, 2018.</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1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There have been no changes in the Company’s internal control over financial reporting (as defined in Rules 13a-15(f) and 15d-15(f) under the Exchange Act) that occurred during the three months ended June 30, 2018 that have materially affected, or are reasonably likely to materially affect, the Company’s internal control over financial reporting.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II—OTHER INFORMATION</w:t>
      </w:r>
    </w:p>
    <w:p>
      <w:pPr>
        <w:spacing w:after="0" w:line="20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LEGAL PROCEEDINGS</w:t>
      </w:r>
    </w:p>
    <w:p>
      <w:pPr>
        <w:spacing w:after="0" w:line="212"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For a description of developments with respect to pending legal proceedings described in the Company's Annual Report on Form 10-K for the year ended December 31, 2017, see Note 10. “Commitments and Contingencies” included in Part I. Item 1. “ Financial Statements” elsewhere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For a discussion of the Company’s risk factors, refer to “Risk Factors” included in the Company's Annual Report on Form 10-K for the year ended December 31, 2017. There have been no material changes in the Company’s risk factors during the Current Six Months.</w:t>
      </w:r>
    </w:p>
    <w:p>
      <w:pPr>
        <w:spacing w:after="0" w:line="18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UNREGISTERED SALES OF EQUITY SECURITIES AND USE OF PROCEEDS</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On March 26, 2018, the Company issued 103,213 shares of Common Stock to an accredited investor for a total of $1.8 million in gross proceeds. The shares of Common Stock were issued in a private placement exempt from the registration requirements of the Securities Act, in reliance on the exemption set forth in Section 4(a)(2) of the Securities Act.</w:t>
      </w:r>
    </w:p>
    <w:p>
      <w:pPr>
        <w:spacing w:after="0" w:line="1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On April 26, 2018, the Company closed the PIPE Private Placement for aggregate gross proceeds of $56,855,000 with certain qualified institutional buyers and other accredited investors and entered into a registration rights agreement with those qualified institutional buyers and other accredited investors. The PIPE Private Placement included the issuance of the PIPE Shares and the PIPE Warrants. The PIPE Shares and PIPE Warrants in the PIPE Private Placement were issued in reliance upon the exemption from registration provided by Section 4(a)(2) of the Securities Act.</w:t>
      </w:r>
    </w:p>
    <w:p>
      <w:pPr>
        <w:spacing w:after="0" w:line="20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On May 2, 2018, the Company and Carlyle entered into the Exchange pursuant to which Carlyle exchanged $50.0 million in principal amount of the Convertible Senior Notes for the Carlyle Warrants. The Carlyle Warrants in the Exchange were issued in reliance upon the exemption from registration provided by Section 4(a)(2) of the Securities Act.</w:t>
      </w:r>
    </w:p>
    <w:p>
      <w:pPr>
        <w:spacing w:after="0" w:line="194" w:lineRule="exact"/>
        <w:rPr>
          <w:sz w:val="20"/>
          <w:szCs w:val="20"/>
          <w:color w:val="auto"/>
        </w:rPr>
      </w:pPr>
    </w:p>
    <w:p>
      <w:pPr>
        <w:jc w:val="both"/>
        <w:ind w:left="140" w:right="140" w:firstLine="486"/>
        <w:spacing w:after="0" w:line="249" w:lineRule="auto"/>
        <w:rPr>
          <w:sz w:val="20"/>
          <w:szCs w:val="20"/>
          <w:color w:val="auto"/>
        </w:rPr>
      </w:pPr>
      <w:r>
        <w:rPr>
          <w:rFonts w:ascii="Arial" w:cs="Arial" w:eastAsia="Arial" w:hAnsi="Arial"/>
          <w:sz w:val="21"/>
          <w:szCs w:val="21"/>
          <w:color w:val="auto"/>
        </w:rPr>
        <w:t>On May 31, 2018, Carlyle exercised Carlyle Warrants to purchase a total of 250,585 shares of Common Stock (after giving effect to the withholding of 108 shares of Common Stock as payment for the exercise price of the Warrants) (the “Carlyle Warrant Exercise”). Following the Carlyle Warrant Exercise, Carlyle holds Warrants to purchase 1,636,099 shares of Common Stock at an exercise price of $0.01 per share. The Common Stock issued in the Carlyle Warrant Exercise was issued in reliance upon the exemption from registration provided by Section 4(a)(2) of the Securities Act.</w:t>
      </w:r>
    </w:p>
    <w:p>
      <w:pPr>
        <w:spacing w:after="0" w:line="206" w:lineRule="exact"/>
        <w:rPr>
          <w:sz w:val="20"/>
          <w:szCs w:val="20"/>
          <w:color w:val="auto"/>
        </w:rPr>
      </w:pPr>
    </w:p>
    <w:p>
      <w:pPr>
        <w:jc w:val="both"/>
        <w:ind w:left="140" w:right="140" w:firstLine="486"/>
        <w:spacing w:after="0" w:line="236" w:lineRule="auto"/>
        <w:rPr>
          <w:sz w:val="20"/>
          <w:szCs w:val="20"/>
          <w:color w:val="auto"/>
        </w:rPr>
      </w:pPr>
      <w:r>
        <w:rPr>
          <w:rFonts w:ascii="Arial" w:cs="Arial" w:eastAsia="Arial" w:hAnsi="Arial"/>
          <w:sz w:val="22"/>
          <w:szCs w:val="22"/>
          <w:color w:val="auto"/>
        </w:rPr>
        <w:t>On June 8, 2018, CME exercised PIPE Warrants and paid an aggregate cash exercise price of $0.01 per share to purchase a total of 38,857 shares of Common Stock (the “CME Warrant Exercise”). Following the CME Warrant Exercise, CME holds Warrants to purchase 635,307 shares of Common Stock at an exercise price of $0.01 per share. The Common Stock issued in the CME Warrant Exercise was issued in reliance upon the exemption from registration provided by Section 4(a)(2) of the Securities Act.</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21"/>
          <w:szCs w:val="21"/>
          <w:b w:val="1"/>
          <w:bCs w:val="1"/>
          <w:color w:val="auto"/>
        </w:rPr>
        <w:t>DEFAULT UPON SENIOR SECURITIES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21"/>
          <w:szCs w:val="21"/>
          <w:b w:val="1"/>
          <w:bCs w:val="1"/>
          <w:color w:val="auto"/>
        </w:rPr>
        <w:t>MINE SAFETY DISCLOSURES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22"/>
          <w:szCs w:val="22"/>
          <w:b w:val="1"/>
          <w:bCs w:val="1"/>
          <w:color w:val="auto"/>
        </w:rPr>
        <w:t>OTHER INFORMATION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1420"/>
          </w:cols>
          <w:pgMar w:left="240" w:top="118"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2" w:name="page53"/>
    <w:bookmarkEnd w:id="5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60" w:type="dxa"/>
            <w:vAlign w:val="bottom"/>
          </w:tcPr>
          <w:p>
            <w:pPr>
              <w:jc w:val="right"/>
              <w:ind w:right="29"/>
              <w:spacing w:after="0"/>
              <w:rPr>
                <w:sz w:val="20"/>
                <w:szCs w:val="20"/>
                <w:color w:val="auto"/>
              </w:rPr>
            </w:pPr>
            <w:r>
              <w:rPr>
                <w:rFonts w:ascii="Arial" w:cs="Arial" w:eastAsia="Arial" w:hAnsi="Arial"/>
                <w:sz w:val="20"/>
                <w:szCs w:val="20"/>
                <w:b w:val="1"/>
                <w:bCs w:val="1"/>
                <w:color w:val="auto"/>
              </w:rPr>
              <w:t>ITEM 6.</w:t>
            </w:r>
          </w:p>
        </w:tc>
        <w:tc>
          <w:tcPr>
            <w:tcW w:w="10560" w:type="dxa"/>
            <w:vAlign w:val="bottom"/>
            <w:gridSpan w:val="6"/>
          </w:tcPr>
          <w:p>
            <w:pPr>
              <w:ind w:left="120"/>
              <w:spacing w:after="0"/>
              <w:rPr>
                <w:sz w:val="20"/>
                <w:szCs w:val="20"/>
                <w:color w:val="auto"/>
              </w:rPr>
            </w:pPr>
            <w:r>
              <w:rPr>
                <w:rFonts w:ascii="Arial" w:cs="Arial" w:eastAsia="Arial" w:hAnsi="Arial"/>
                <w:sz w:val="22"/>
                <w:szCs w:val="22"/>
                <w:b w:val="1"/>
                <w:bCs w:val="1"/>
                <w:color w:val="auto"/>
              </w:rPr>
              <w:t>EXHIBITS</w:t>
            </w:r>
          </w:p>
        </w:tc>
      </w:tr>
      <w:tr>
        <w:trPr>
          <w:trHeight w:val="408"/>
        </w:trPr>
        <w:tc>
          <w:tcPr>
            <w:tcW w:w="860" w:type="dxa"/>
            <w:vAlign w:val="bottom"/>
          </w:tcPr>
          <w:p>
            <w:pPr>
              <w:jc w:val="right"/>
              <w:ind w:right="129"/>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w w:val="92"/>
              </w:rPr>
              <w:t>Subscription Agreement, dated as of April 20, 2018, by and among SEACOR Marine Holdings Inc. and the purchasers named therein</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w w:val="97"/>
              </w:rPr>
              <w:t>(incorporated by reference to Exhibit 10.5 to the Quarterly Report on Form 10-Q of SEACOR Marine Holdings Inc. filed with the</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rPr>
              <w:t>Securities and Exchange Commission on May 10, 2018).</w:t>
            </w:r>
          </w:p>
        </w:tc>
      </w:tr>
      <w:tr>
        <w:trPr>
          <w:trHeight w:val="216"/>
        </w:trPr>
        <w:tc>
          <w:tcPr>
            <w:tcW w:w="860" w:type="dxa"/>
            <w:vAlign w:val="bottom"/>
          </w:tcPr>
          <w:p>
            <w:pPr>
              <w:jc w:val="right"/>
              <w:ind w:right="129"/>
              <w:spacing w:after="0"/>
              <w:rPr>
                <w:sz w:val="20"/>
                <w:szCs w:val="20"/>
                <w:color w:val="auto"/>
              </w:rPr>
            </w:pPr>
            <w:r>
              <w:rPr>
                <w:rFonts w:ascii="Arial" w:cs="Arial" w:eastAsia="Arial" w:hAnsi="Arial"/>
                <w:sz w:val="18"/>
                <w:szCs w:val="18"/>
                <w:color w:val="auto"/>
              </w:rPr>
              <w:t>10.2</w:t>
            </w:r>
          </w:p>
        </w:tc>
        <w:tc>
          <w:tcPr>
            <w:tcW w:w="720" w:type="dxa"/>
            <w:vAlign w:val="bottom"/>
          </w:tcPr>
          <w:p>
            <w:pPr>
              <w:spacing w:after="0"/>
              <w:rPr>
                <w:sz w:val="18"/>
                <w:szCs w:val="18"/>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w w:val="93"/>
              </w:rPr>
              <w:t>Registration Rights Agreement, dated as of April 26, 2018, by and among SEACOR Marine Holdings Inc. and the purchasers named</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rPr>
              <w:t>therein (incorporated by reference to Exhibit</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w w:val="93"/>
              </w:rPr>
              <w:t>10.6 to the Quarterly Report on Form 10-Q of SEACOR Marine Holdings Inc. filed with the Securities and Exchange Commission on</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rPr>
              <w:t>May 10, 2018).</w:t>
            </w:r>
          </w:p>
        </w:tc>
      </w:tr>
      <w:tr>
        <w:trPr>
          <w:trHeight w:val="216"/>
        </w:trPr>
        <w:tc>
          <w:tcPr>
            <w:tcW w:w="860" w:type="dxa"/>
            <w:vAlign w:val="bottom"/>
          </w:tcPr>
          <w:p>
            <w:pPr>
              <w:jc w:val="right"/>
              <w:ind w:right="129"/>
              <w:spacing w:after="0"/>
              <w:rPr>
                <w:sz w:val="20"/>
                <w:szCs w:val="20"/>
                <w:color w:val="auto"/>
              </w:rPr>
            </w:pPr>
            <w:r>
              <w:rPr>
                <w:rFonts w:ascii="Arial" w:cs="Arial" w:eastAsia="Arial" w:hAnsi="Arial"/>
                <w:sz w:val="18"/>
                <w:szCs w:val="18"/>
                <w:color w:val="auto"/>
              </w:rPr>
              <w:t>10.3</w:t>
            </w:r>
          </w:p>
        </w:tc>
        <w:tc>
          <w:tcPr>
            <w:tcW w:w="720" w:type="dxa"/>
            <w:vAlign w:val="bottom"/>
          </w:tcPr>
          <w:p>
            <w:pPr>
              <w:spacing w:after="0"/>
              <w:rPr>
                <w:sz w:val="18"/>
                <w:szCs w:val="18"/>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w w:val="93"/>
              </w:rPr>
              <w:t>Amendment and Exchange Agreement, dated as of May 2, 2018, by and among SEACOR Marine Holdings Inc. and the purchasers</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w w:val="94"/>
              </w:rPr>
              <w:t>named therein (incorporated by reference to Exhibit 10.1 to the Current Report on Form 8-K of SEACOR Marine Holdings Inc. filed</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rPr>
              <w:t>with the Securities and Exchange Commission on May 2, 2018).</w:t>
            </w:r>
          </w:p>
        </w:tc>
      </w:tr>
      <w:tr>
        <w:trPr>
          <w:trHeight w:val="190"/>
        </w:trPr>
        <w:tc>
          <w:tcPr>
            <w:tcW w:w="860" w:type="dxa"/>
            <w:vAlign w:val="bottom"/>
          </w:tcPr>
          <w:p>
            <w:pPr>
              <w:jc w:val="right"/>
              <w:ind w:right="129"/>
              <w:spacing w:after="0" w:line="190" w:lineRule="exact"/>
              <w:rPr>
                <w:sz w:val="20"/>
                <w:szCs w:val="20"/>
                <w:color w:val="auto"/>
              </w:rPr>
            </w:pPr>
            <w:r>
              <w:rPr>
                <w:rFonts w:ascii="Arial" w:cs="Arial" w:eastAsia="Arial" w:hAnsi="Arial"/>
                <w:sz w:val="18"/>
                <w:szCs w:val="18"/>
                <w:color w:val="auto"/>
              </w:rPr>
              <w:t>10.4</w:t>
            </w:r>
          </w:p>
        </w:tc>
        <w:tc>
          <w:tcPr>
            <w:tcW w:w="720" w:type="dxa"/>
            <w:vAlign w:val="bottom"/>
          </w:tcPr>
          <w:p>
            <w:pPr>
              <w:spacing w:after="0"/>
              <w:rPr>
                <w:sz w:val="16"/>
                <w:szCs w:val="16"/>
                <w:color w:val="auto"/>
              </w:rPr>
            </w:pPr>
          </w:p>
        </w:tc>
        <w:tc>
          <w:tcPr>
            <w:tcW w:w="8200" w:type="dxa"/>
            <w:vAlign w:val="bottom"/>
            <w:tcBorders>
              <w:bottom w:val="single" w:sz="8" w:color="0000EE"/>
            </w:tcBorders>
            <w:gridSpan w:val="2"/>
          </w:tcPr>
          <w:p>
            <w:pPr>
              <w:spacing w:after="0" w:line="190"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Form of Director Stock Option Agreement under the SEACOR Marine Holdings Inc. 2017 Equity Incentive Plan.</w:t>
              </w:r>
            </w:hyperlink>
          </w:p>
        </w:tc>
        <w:tc>
          <w:tcPr>
            <w:tcW w:w="1640" w:type="dxa"/>
            <w:vAlign w:val="bottom"/>
            <w:gridSpan w:val="3"/>
          </w:tcPr>
          <w:p>
            <w:pPr>
              <w:spacing w:after="0"/>
              <w:rPr>
                <w:sz w:val="16"/>
                <w:szCs w:val="16"/>
                <w:color w:val="auto"/>
              </w:rPr>
            </w:pPr>
          </w:p>
        </w:tc>
      </w:tr>
      <w:tr>
        <w:trPr>
          <w:trHeight w:val="196"/>
        </w:trPr>
        <w:tc>
          <w:tcPr>
            <w:tcW w:w="860" w:type="dxa"/>
            <w:vAlign w:val="bottom"/>
          </w:tcPr>
          <w:p>
            <w:pPr>
              <w:jc w:val="right"/>
              <w:ind w:right="129"/>
              <w:spacing w:after="0" w:line="196" w:lineRule="exact"/>
              <w:rPr>
                <w:sz w:val="20"/>
                <w:szCs w:val="20"/>
                <w:color w:val="auto"/>
              </w:rPr>
            </w:pPr>
            <w:r>
              <w:rPr>
                <w:rFonts w:ascii="Arial" w:cs="Arial" w:eastAsia="Arial" w:hAnsi="Arial"/>
                <w:sz w:val="18"/>
                <w:szCs w:val="18"/>
                <w:color w:val="auto"/>
              </w:rPr>
              <w:t>31.1</w:t>
            </w:r>
          </w:p>
        </w:tc>
        <w:tc>
          <w:tcPr>
            <w:tcW w:w="720" w:type="dxa"/>
            <w:vAlign w:val="bottom"/>
          </w:tcPr>
          <w:p>
            <w:pPr>
              <w:spacing w:after="0"/>
              <w:rPr>
                <w:sz w:val="17"/>
                <w:szCs w:val="17"/>
                <w:color w:val="auto"/>
              </w:rPr>
            </w:pPr>
          </w:p>
        </w:tc>
        <w:tc>
          <w:tcPr>
            <w:tcW w:w="9840" w:type="dxa"/>
            <w:vAlign w:val="bottom"/>
            <w:gridSpan w:val="5"/>
          </w:tcPr>
          <w:p>
            <w:pPr>
              <w:spacing w:after="0" w:line="196"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Certification by the Principal Executive Officer pursuant to Rule 13a-14(a) and Rule 15d-14(a) of the Securities Exchange Act, as</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8">
              <w:r>
                <w:rPr>
                  <w:rFonts w:ascii="Arial" w:cs="Arial" w:eastAsia="Arial" w:hAnsi="Arial"/>
                  <w:sz w:val="18"/>
                  <w:szCs w:val="18"/>
                  <w:color w:val="0000EE"/>
                  <w:w w:val="84"/>
                </w:rPr>
                <w:t>amended.</w:t>
              </w:r>
            </w:hyperlink>
          </w:p>
        </w:tc>
        <w:tc>
          <w:tcPr>
            <w:tcW w:w="8660" w:type="dxa"/>
            <w:vAlign w:val="bottom"/>
            <w:tcBorders>
              <w:top w:val="single" w:sz="8" w:color="0000EE"/>
            </w:tcBorders>
            <w:gridSpan w:val="3"/>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860" w:type="dxa"/>
            <w:vAlign w:val="bottom"/>
          </w:tcPr>
          <w:p>
            <w:pPr>
              <w:jc w:val="right"/>
              <w:ind w:right="129"/>
              <w:spacing w:after="0" w:line="196" w:lineRule="exact"/>
              <w:rPr>
                <w:sz w:val="20"/>
                <w:szCs w:val="20"/>
                <w:color w:val="auto"/>
              </w:rPr>
            </w:pPr>
            <w:r>
              <w:rPr>
                <w:rFonts w:ascii="Arial" w:cs="Arial" w:eastAsia="Arial" w:hAnsi="Arial"/>
                <w:sz w:val="18"/>
                <w:szCs w:val="18"/>
                <w:color w:val="auto"/>
              </w:rPr>
              <w:t>31.2</w:t>
            </w:r>
          </w:p>
        </w:tc>
        <w:tc>
          <w:tcPr>
            <w:tcW w:w="720" w:type="dxa"/>
            <w:vAlign w:val="bottom"/>
          </w:tcPr>
          <w:p>
            <w:pPr>
              <w:spacing w:after="0"/>
              <w:rPr>
                <w:sz w:val="17"/>
                <w:szCs w:val="17"/>
                <w:color w:val="auto"/>
              </w:rPr>
            </w:pPr>
          </w:p>
        </w:tc>
        <w:tc>
          <w:tcPr>
            <w:tcW w:w="93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Certification by the Principal Financial Officer pursuant to Rule 13a-14(a) and Rule 15d-14(a) of the Securities Exchange Act, as</w:t>
              </w:r>
            </w:hyperlink>
          </w:p>
        </w:tc>
        <w:tc>
          <w:tcPr>
            <w:tcW w:w="52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59">
              <w:r>
                <w:rPr>
                  <w:rFonts w:ascii="Arial" w:cs="Arial" w:eastAsia="Arial" w:hAnsi="Arial"/>
                  <w:sz w:val="18"/>
                  <w:szCs w:val="18"/>
                  <w:color w:val="0000EE"/>
                  <w:w w:val="84"/>
                </w:rPr>
                <w:t>amended.</w:t>
              </w:r>
            </w:hyperlink>
          </w:p>
        </w:tc>
        <w:tc>
          <w:tcPr>
            <w:tcW w:w="9140" w:type="dxa"/>
            <w:vAlign w:val="bottom"/>
            <w:gridSpan w:val="4"/>
          </w:tcPr>
          <w:p>
            <w:pPr>
              <w:spacing w:after="0"/>
              <w:rPr>
                <w:sz w:val="17"/>
                <w:szCs w:val="17"/>
                <w:color w:val="auto"/>
              </w:rPr>
            </w:pPr>
          </w:p>
        </w:tc>
      </w:tr>
    </w:tbl>
    <w:p>
      <w:pPr>
        <w:spacing w:after="0" w:line="13" w:lineRule="exact"/>
        <w:rPr>
          <w:sz w:val="20"/>
          <w:szCs w:val="20"/>
          <w:color w:val="auto"/>
        </w:rPr>
      </w:pPr>
    </w:p>
    <w:p>
      <w:pPr>
        <w:ind w:left="1580" w:hanging="1252"/>
        <w:spacing w:after="0" w:line="258" w:lineRule="auto"/>
        <w:tabs>
          <w:tab w:leader="none" w:pos="1580" w:val="left"/>
        </w:tabs>
        <w:numPr>
          <w:ilvl w:val="0"/>
          <w:numId w:val="19"/>
        </w:numPr>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Certification by the Principal Executive Officer and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60">
        <w:r>
          <w:rPr>
            <w:rFonts w:ascii="Arial" w:cs="Arial" w:eastAsia="Arial" w:hAnsi="Arial"/>
            <w:sz w:val="18"/>
            <w:szCs w:val="18"/>
            <w:u w:val="single" w:color="auto"/>
            <w:color w:val="0000EE"/>
          </w:rPr>
          <w:t>Section 906 of the Sarbanes-Oxley Act of 2002</w:t>
        </w:r>
      </w:hyperlink>
    </w:p>
    <w:p>
      <w:pPr>
        <w:sectPr>
          <w:pgSz w:w="11900" w:h="16838" w:orient="portrait"/>
          <w:cols w:equalWidth="0" w:num="1">
            <w:col w:w="11420"/>
          </w:cols>
          <w:pgMar w:left="240" w:top="118" w:right="239" w:bottom="1440" w:gutter="0" w:footer="0" w:header="0"/>
        </w:sectPr>
      </w:pPr>
    </w:p>
    <w:p>
      <w:pPr>
        <w:spacing w:after="0" w:line="1"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8"/>
          <w:szCs w:val="18"/>
          <w:color w:val="auto"/>
        </w:rPr>
        <w:t>101.INS**</w:t>
      </w:r>
    </w:p>
    <w:p>
      <w:pPr>
        <w:spacing w:after="0" w:line="9"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7"/>
          <w:szCs w:val="17"/>
          <w:color w:val="auto"/>
        </w:rPr>
        <w:t>101.SCH**</w:t>
      </w:r>
    </w:p>
    <w:p>
      <w:pPr>
        <w:spacing w:after="0" w:line="21"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8"/>
          <w:szCs w:val="18"/>
          <w:color w:val="auto"/>
        </w:rPr>
        <w:t>101.CAL**</w:t>
      </w:r>
    </w:p>
    <w:p>
      <w:pPr>
        <w:spacing w:after="0" w:line="9"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8"/>
          <w:szCs w:val="18"/>
          <w:color w:val="auto"/>
        </w:rPr>
        <w:t>101.DEF**</w:t>
      </w:r>
    </w:p>
    <w:p>
      <w:pPr>
        <w:spacing w:after="0" w:line="9"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8"/>
          <w:szCs w:val="18"/>
          <w:color w:val="auto"/>
        </w:rPr>
        <w:t>101.LAB**</w:t>
      </w:r>
    </w:p>
    <w:p>
      <w:pPr>
        <w:spacing w:after="0" w:line="9"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7"/>
          <w:szCs w:val="17"/>
          <w:color w:val="auto"/>
        </w:rPr>
        <w:t>101.PRE**</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8"/>
          <w:szCs w:val="18"/>
          <w:color w:val="auto"/>
        </w:rPr>
        <w:t>XBRL Instance Document</w:t>
      </w:r>
    </w:p>
    <w:p>
      <w:pPr>
        <w:spacing w:after="0" w:line="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XBRL Taxonomy Extension Schema</w:t>
      </w:r>
    </w:p>
    <w:p>
      <w:pPr>
        <w:spacing w:after="0" w:line="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XBRL Taxonomy Extension Calculation Linkbase</w:t>
      </w:r>
    </w:p>
    <w:p>
      <w:pPr>
        <w:spacing w:after="0" w:line="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XBRL Taxonomy Extension Definition Linkbase</w:t>
      </w:r>
    </w:p>
    <w:p>
      <w:pPr>
        <w:spacing w:after="0" w:line="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XBRL Taxonomy Extension Label Linkbase</w:t>
      </w:r>
    </w:p>
    <w:p>
      <w:pPr>
        <w:spacing w:after="0" w:line="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11" w:lineRule="exact"/>
        <w:rPr>
          <w:rFonts w:ascii="Arial" w:cs="Arial" w:eastAsia="Arial" w:hAnsi="Arial"/>
          <w:sz w:val="18"/>
          <w:szCs w:val="18"/>
          <w:color w:val="auto"/>
        </w:rPr>
      </w:pPr>
    </w:p>
    <w:p>
      <w:pPr>
        <w:sectPr>
          <w:pgSz w:w="11900" w:h="16838" w:orient="portrait"/>
          <w:cols w:equalWidth="0" w:num="2">
            <w:col w:w="1180" w:space="400"/>
            <w:col w:w="9840"/>
          </w:cols>
          <w:pgMar w:left="240" w:top="118" w:right="239" w:bottom="1440" w:gutter="0" w:footer="0" w:header="0"/>
          <w:type w:val="continuous"/>
        </w:sectPr>
      </w:pPr>
    </w:p>
    <w:p>
      <w:pPr>
        <w:spacing w:after="0" w:line="2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rFonts w:ascii="Arial" w:cs="Arial" w:eastAsia="Arial" w:hAnsi="Arial"/>
          <w:sz w:val="18"/>
          <w:szCs w:val="18"/>
          <w:color w:val="auto"/>
        </w:rPr>
      </w:pPr>
    </w:p>
    <w:p>
      <w:pPr>
        <w:ind w:left="640" w:right="320" w:hanging="564"/>
        <w:spacing w:after="0" w:line="255"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21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3" w:name="page54"/>
    <w:bookmarkEnd w:id="5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SEACOR Marine Holdings Inc. (Registrant)</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DATE:August 9, 2018</w:t>
            </w:r>
          </w:p>
        </w:tc>
        <w:tc>
          <w:tcPr>
            <w:tcW w:w="1960" w:type="dxa"/>
            <w:vAlign w:val="bottom"/>
          </w:tcPr>
          <w:p>
            <w:pPr>
              <w:ind w:left="1700"/>
              <w:spacing w:after="0"/>
              <w:rPr>
                <w:sz w:val="20"/>
                <w:szCs w:val="20"/>
                <w:color w:val="auto"/>
              </w:rPr>
            </w:pPr>
            <w:r>
              <w:rPr>
                <w:rFonts w:ascii="Arial" w:cs="Arial" w:eastAsia="Arial" w:hAnsi="Arial"/>
                <w:sz w:val="18"/>
                <w:szCs w:val="18"/>
                <w:color w:val="auto"/>
                <w:w w:val="92"/>
              </w:rPr>
              <w:t>By:</w:t>
            </w:r>
          </w:p>
        </w:tc>
        <w:tc>
          <w:tcPr>
            <w:tcW w:w="360" w:type="dxa"/>
            <w:vAlign w:val="bottom"/>
          </w:tcPr>
          <w:p>
            <w:pPr>
              <w:spacing w:after="0"/>
              <w:rPr>
                <w:sz w:val="24"/>
                <w:szCs w:val="2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33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40" w:type="dxa"/>
            <w:vAlign w:val="bottom"/>
          </w:tcPr>
          <w:p>
            <w:pPr>
              <w:spacing w:after="0" w:line="195" w:lineRule="exact"/>
              <w:rPr>
                <w:sz w:val="20"/>
                <w:szCs w:val="20"/>
                <w:color w:val="auto"/>
              </w:rPr>
            </w:pPr>
            <w:r>
              <w:rPr>
                <w:rFonts w:ascii="Arial" w:cs="Arial" w:eastAsia="Arial" w:hAnsi="Arial"/>
                <w:sz w:val="18"/>
                <w:szCs w:val="18"/>
                <w:color w:val="auto"/>
              </w:rPr>
              <w:t xml:space="preserve">John Gellert, </w:t>
            </w:r>
            <w:r>
              <w:rPr>
                <w:rFonts w:ascii="Arial" w:cs="Arial" w:eastAsia="Arial" w:hAnsi="Arial"/>
                <w:sz w:val="18"/>
                <w:szCs w:val="18"/>
                <w:i w:val="1"/>
                <w:iCs w:val="1"/>
                <w:color w:val="auto"/>
              </w:rPr>
              <w:t>President and Chief Executive Officer</w:t>
            </w:r>
          </w:p>
        </w:tc>
      </w:tr>
      <w:tr>
        <w:trPr>
          <w:trHeight w:val="230"/>
        </w:trPr>
        <w:tc>
          <w:tcPr>
            <w:tcW w:w="3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DATE:August 9, 2018</w:t>
            </w:r>
          </w:p>
        </w:tc>
        <w:tc>
          <w:tcPr>
            <w:tcW w:w="1960" w:type="dxa"/>
            <w:vAlign w:val="bottom"/>
          </w:tcPr>
          <w:p>
            <w:pPr>
              <w:ind w:left="1700"/>
              <w:spacing w:after="0"/>
              <w:rPr>
                <w:sz w:val="20"/>
                <w:szCs w:val="20"/>
                <w:color w:val="auto"/>
              </w:rPr>
            </w:pPr>
            <w:r>
              <w:rPr>
                <w:rFonts w:ascii="Arial" w:cs="Arial" w:eastAsia="Arial" w:hAnsi="Arial"/>
                <w:sz w:val="18"/>
                <w:szCs w:val="18"/>
                <w:color w:val="auto"/>
                <w:w w:val="92"/>
              </w:rPr>
              <w:t>By:</w:t>
            </w:r>
          </w:p>
        </w:tc>
        <w:tc>
          <w:tcPr>
            <w:tcW w:w="360" w:type="dxa"/>
            <w:vAlign w:val="bottom"/>
          </w:tcPr>
          <w:p>
            <w:pPr>
              <w:spacing w:after="0"/>
              <w:rPr>
                <w:sz w:val="24"/>
                <w:szCs w:val="2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Jesus Llorca</w:t>
            </w:r>
          </w:p>
        </w:tc>
      </w:tr>
      <w:tr>
        <w:trPr>
          <w:trHeight w:val="195"/>
        </w:trPr>
        <w:tc>
          <w:tcPr>
            <w:tcW w:w="33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40" w:type="dxa"/>
            <w:vAlign w:val="bottom"/>
          </w:tcPr>
          <w:p>
            <w:pPr>
              <w:spacing w:after="0" w:line="195" w:lineRule="exact"/>
              <w:rPr>
                <w:sz w:val="20"/>
                <w:szCs w:val="20"/>
                <w:color w:val="auto"/>
              </w:rPr>
            </w:pPr>
            <w:r>
              <w:rPr>
                <w:rFonts w:ascii="Arial" w:cs="Arial" w:eastAsia="Arial" w:hAnsi="Arial"/>
                <w:sz w:val="18"/>
                <w:szCs w:val="18"/>
                <w:color w:val="auto"/>
              </w:rPr>
              <w:t xml:space="preserve">Jesus Llorca, </w:t>
            </w:r>
            <w:r>
              <w:rPr>
                <w:rFonts w:ascii="Arial" w:cs="Arial" w:eastAsia="Arial" w:hAnsi="Arial"/>
                <w:sz w:val="18"/>
                <w:szCs w:val="18"/>
                <w:i w:val="1"/>
                <w:iCs w:val="1"/>
                <w:color w:val="auto"/>
              </w:rPr>
              <w:t>Executive Vice President</w:t>
            </w:r>
          </w:p>
        </w:tc>
      </w:tr>
      <w:tr>
        <w:trPr>
          <w:trHeight w:val="216"/>
        </w:trPr>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i w:val="1"/>
                <w:iCs w:val="1"/>
                <w:color w:val="auto"/>
              </w:rPr>
              <w:t>and Chief Financial Officer</w:t>
            </w:r>
          </w:p>
        </w:tc>
      </w:tr>
      <w:tr>
        <w:trPr>
          <w:trHeight w:val="230"/>
        </w:trPr>
        <w:tc>
          <w:tcPr>
            <w:tcW w:w="3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648"/>
        </w:trPr>
        <w:tc>
          <w:tcPr>
            <w:tcW w:w="3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41</w:t>
            </w:r>
          </w:p>
        </w:tc>
        <w:tc>
          <w:tcPr>
            <w:tcW w:w="544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STOCK OPTION GRANT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SEACOR MARINE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DIRECTOR STOCK OPTION GRANT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w:t>
      </w:r>
      <w:r>
        <w:rPr>
          <w:rFonts w:ascii="Arial" w:cs="Arial" w:eastAsia="Arial" w:hAnsi="Arial"/>
          <w:sz w:val="18"/>
          <w:szCs w:val="18"/>
          <w:b w:val="1"/>
          <w:bCs w:val="1"/>
          <w:color w:val="auto"/>
        </w:rPr>
        <w:t xml:space="preserve"> [________]</w:t>
      </w:r>
      <w:r>
        <w:rPr>
          <w:rFonts w:ascii="Arial" w:cs="Arial" w:eastAsia="Arial" w:hAnsi="Arial"/>
          <w:sz w:val="18"/>
          <w:szCs w:val="18"/>
          <w:color w:val="auto"/>
        </w:rPr>
        <w:t>, 20</w:t>
      </w:r>
      <w:r>
        <w:rPr>
          <w:rFonts w:ascii="Arial" w:cs="Arial" w:eastAsia="Arial" w:hAnsi="Arial"/>
          <w:sz w:val="18"/>
          <w:szCs w:val="18"/>
          <w:b w:val="1"/>
          <w:bCs w:val="1"/>
          <w:color w:val="auto"/>
        </w:rPr>
        <w:t xml:space="preserve">[__] </w:t>
      </w:r>
      <w:r>
        <w:rPr>
          <w:rFonts w:ascii="Arial" w:cs="Arial" w:eastAsia="Arial" w:hAnsi="Arial"/>
          <w:sz w:val="18"/>
          <w:szCs w:val="18"/>
          <w:color w:val="auto"/>
        </w:rPr>
        <w:t>(the “</w:t>
      </w:r>
      <w:r>
        <w:rPr>
          <w:rFonts w:ascii="Arial" w:cs="Arial" w:eastAsia="Arial" w:hAnsi="Arial"/>
          <w:sz w:val="18"/>
          <w:szCs w:val="18"/>
          <w:u w:val="single" w:color="auto"/>
          <w:color w:val="auto"/>
        </w:rPr>
        <w:t>Grant Date</w:t>
      </w:r>
      <w:r>
        <w:rPr>
          <w:rFonts w:ascii="Arial" w:cs="Arial" w:eastAsia="Arial" w:hAnsi="Arial"/>
          <w:sz w:val="18"/>
          <w:szCs w:val="18"/>
          <w:color w:val="auto"/>
        </w:rPr>
        <w:t>”), sets forth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agreement of SEACOR Marine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to grant options to </w:t>
      </w:r>
      <w:r>
        <w:rPr>
          <w:rFonts w:ascii="Arial" w:cs="Arial" w:eastAsia="Arial" w:hAnsi="Arial"/>
          <w:sz w:val="16"/>
          <w:szCs w:val="16"/>
          <w:b w:val="1"/>
          <w:bCs w:val="1"/>
          <w:color w:val="auto"/>
        </w:rPr>
        <w:t>[______________]</w:t>
      </w:r>
      <w:r>
        <w:rPr>
          <w:rFonts w:ascii="Arial" w:cs="Arial" w:eastAsia="Arial" w:hAnsi="Arial"/>
          <w:sz w:val="16"/>
          <w:szCs w:val="16"/>
          <w:color w:val="auto"/>
        </w:rPr>
        <w:t>, a non-employee director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or its Affiliates (the “</w:t>
      </w:r>
      <w:r>
        <w:rPr>
          <w:rFonts w:ascii="Arial" w:cs="Arial" w:eastAsia="Arial" w:hAnsi="Arial"/>
          <w:sz w:val="18"/>
          <w:szCs w:val="18"/>
          <w:u w:val="single" w:color="auto"/>
          <w:color w:val="auto"/>
        </w:rPr>
        <w:t>Grantee</w:t>
      </w:r>
      <w:r>
        <w:rPr>
          <w:rFonts w:ascii="Arial" w:cs="Arial" w:eastAsia="Arial" w:hAnsi="Arial"/>
          <w:sz w:val="18"/>
          <w:szCs w:val="18"/>
          <w:color w:val="auto"/>
        </w:rPr>
        <w:t>”), to purchase Shares on the terms and subject to the conditions hereinafter provided.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stock options to be granted pursuant hereto shall not be Incentive Stock Options.</w:t>
      </w:r>
    </w:p>
    <w:p>
      <w:pPr>
        <w:spacing w:after="0" w:line="221" w:lineRule="exact"/>
        <w:rPr>
          <w:sz w:val="20"/>
          <w:szCs w:val="20"/>
          <w:color w:val="auto"/>
        </w:rPr>
      </w:pPr>
    </w:p>
    <w:p>
      <w:pPr>
        <w:jc w:val="both"/>
        <w:ind w:firstLine="8"/>
        <w:spacing w:after="0" w:line="266" w:lineRule="auto"/>
        <w:tabs>
          <w:tab w:leader="none" w:pos="517"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to Grant; Grant Date and Number of Shares. </w:t>
      </w:r>
      <w:r>
        <w:rPr>
          <w:rFonts w:ascii="Arial" w:cs="Arial" w:eastAsia="Arial" w:hAnsi="Arial"/>
          <w:sz w:val="18"/>
          <w:szCs w:val="18"/>
          <w:color w:val="auto"/>
        </w:rPr>
        <w:t>The Company hereby agrees, subject to Paragraph 5, to grant to the Grantee options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 a total of </w:t>
      </w:r>
      <w:r>
        <w:rPr>
          <w:rFonts w:ascii="Arial" w:cs="Arial" w:eastAsia="Arial" w:hAnsi="Arial"/>
          <w:sz w:val="18"/>
          <w:szCs w:val="18"/>
          <w:b w:val="1"/>
          <w:bCs w:val="1"/>
          <w:color w:val="auto"/>
        </w:rPr>
        <w:t>[________]</w:t>
      </w:r>
      <w:r>
        <w:rPr>
          <w:rFonts w:ascii="Arial" w:cs="Arial" w:eastAsia="Arial" w:hAnsi="Arial"/>
          <w:sz w:val="18"/>
          <w:szCs w:val="18"/>
          <w:color w:val="auto"/>
        </w:rPr>
        <w:t xml:space="preserve"> Shares (the “</w:t>
      </w:r>
      <w:r>
        <w:rPr>
          <w:rFonts w:ascii="Arial" w:cs="Arial" w:eastAsia="Arial" w:hAnsi="Arial"/>
          <w:sz w:val="18"/>
          <w:szCs w:val="18"/>
          <w:u w:val="single" w:color="auto"/>
          <w:color w:val="auto"/>
        </w:rPr>
        <w:t>Stock Options</w:t>
      </w:r>
      <w:r>
        <w:rPr>
          <w:rFonts w:ascii="Arial" w:cs="Arial" w:eastAsia="Arial" w:hAnsi="Arial"/>
          <w:sz w:val="18"/>
          <w:szCs w:val="18"/>
          <w:color w:val="auto"/>
        </w:rPr>
        <w:t>”) on the Grant Date. The Stock Options shall vest and become exercisable to purchase Shares as provided in Paragraph 4.</w:t>
      </w:r>
    </w:p>
    <w:p>
      <w:pPr>
        <w:spacing w:after="0" w:line="176" w:lineRule="exact"/>
        <w:rPr>
          <w:rFonts w:ascii="Arial" w:cs="Arial" w:eastAsia="Arial" w:hAnsi="Arial"/>
          <w:sz w:val="18"/>
          <w:szCs w:val="18"/>
          <w:b w:val="1"/>
          <w:bCs w:val="1"/>
          <w:color w:val="auto"/>
        </w:rPr>
      </w:pPr>
    </w:p>
    <w:p>
      <w:pPr>
        <w:ind w:firstLine="8"/>
        <w:spacing w:after="0" w:line="282" w:lineRule="auto"/>
        <w:tabs>
          <w:tab w:leader="none" w:pos="558"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per-Share exercise price of the Stock Options shall be equal to the Fair Market Value on the Grant Date.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notice to the Grantee of the per-Share exercise price promptly after the Grant Date.</w:t>
      </w:r>
    </w:p>
    <w:p>
      <w:pPr>
        <w:spacing w:after="0" w:line="161" w:lineRule="exact"/>
        <w:rPr>
          <w:rFonts w:ascii="Arial" w:cs="Arial" w:eastAsia="Arial" w:hAnsi="Arial"/>
          <w:sz w:val="18"/>
          <w:szCs w:val="18"/>
          <w:b w:val="1"/>
          <w:bCs w:val="1"/>
          <w:color w:val="auto"/>
        </w:rPr>
      </w:pPr>
    </w:p>
    <w:p>
      <w:pPr>
        <w:jc w:val="both"/>
        <w:ind w:firstLine="8"/>
        <w:spacing w:after="0" w:line="292" w:lineRule="auto"/>
        <w:tabs>
          <w:tab w:leader="none" w:pos="517"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 of Exercise Price. </w:t>
      </w:r>
      <w:r>
        <w:rPr>
          <w:rFonts w:ascii="Arial" w:cs="Arial" w:eastAsia="Arial" w:hAnsi="Arial"/>
          <w:sz w:val="16"/>
          <w:szCs w:val="16"/>
          <w:color w:val="auto"/>
        </w:rPr>
        <w:t>The option exercise price may be paid in cash, by the delivery of Shares then owned by the Grantee (which are not the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of any pledge or other security interest and which have been owned by the Grantee for at least six months), by the withholding of Shares for which a Stock Option is exercisable or by a combination of these methods. Payment may also be made by delivering a properly executed exercise notice to the Company together with a copy of irrevocable instructions to a broker to deliver promptly to the Company the aggregate amount of sale or loan proceeds to pay the exercise price. To facilitate the foregoing, the Company may enter into agreements for coordinated procedures with one or more brokerage firms. The Company may prescribe any other method of paying the exercise price that it determines to be consistent with applicable law. In determining which methods the Grantee may utilize to pay the exercise price, the Company may consider such factors as it determines are appropriate.</w:t>
      </w:r>
    </w:p>
    <w:p>
      <w:pPr>
        <w:spacing w:after="0" w:line="161" w:lineRule="exact"/>
        <w:rPr>
          <w:rFonts w:ascii="Arial" w:cs="Arial" w:eastAsia="Arial" w:hAnsi="Arial"/>
          <w:sz w:val="16"/>
          <w:szCs w:val="16"/>
          <w:b w:val="1"/>
          <w:bCs w:val="1"/>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Exercise Period.</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A.   GENERAL. </w:t>
      </w:r>
      <w:r>
        <w:rPr>
          <w:rFonts w:ascii="Arial" w:cs="Arial" w:eastAsia="Arial" w:hAnsi="Arial"/>
          <w:sz w:val="17"/>
          <w:szCs w:val="17"/>
          <w:color w:val="auto"/>
        </w:rPr>
        <w:t>Subject to the terms and conditions set forth herein, the Stock Options shall be fully vested and exercisable on the Grant Date.</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Stock Option awarded hereunder shall be exercisable later than ten years after the Grant Date. The Stock Options awarded hereunder shall not be transferable otherwise than by will or the laws of descent and distribution, and shall be exercisable during the Grantee's lifetime only by the Grantee. Notwithstanding the foregoing, Stock Options may be transferred by the Grantee solely to the Grantee’s spouse, siblings, parents, children and grandchildren or trusts for the benefit of such persons or partnerships, corporations, limited liability companies or other entities owned solely by such persons, including trusts for such persons.</w:t>
      </w:r>
    </w:p>
    <w:p>
      <w:pPr>
        <w:spacing w:after="0" w:line="184" w:lineRule="exact"/>
        <w:rPr>
          <w:sz w:val="20"/>
          <w:szCs w:val="20"/>
          <w:color w:val="auto"/>
        </w:rPr>
      </w:pPr>
    </w:p>
    <w:p>
      <w:pPr>
        <w:ind w:right="20" w:firstLine="494"/>
        <w:spacing w:after="0" w:line="282" w:lineRule="auto"/>
        <w:tabs>
          <w:tab w:leader="none" w:pos="917"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In the event of the Grantee's death, each Stock Option that was unexercised as of the date of death may be exercised until the first to</w:t>
      </w:r>
      <w:r>
        <w:rPr>
          <w:rFonts w:ascii="Arial" w:cs="Arial" w:eastAsia="Arial" w:hAnsi="Arial"/>
          <w:sz w:val="18"/>
          <w:szCs w:val="18"/>
          <w:b w:val="1"/>
          <w:bCs w:val="1"/>
          <w:color w:val="auto"/>
        </w:rPr>
        <w:t xml:space="preserve"> </w:t>
      </w:r>
      <w:r>
        <w:rPr>
          <w:rFonts w:ascii="Arial" w:cs="Arial" w:eastAsia="Arial" w:hAnsi="Arial"/>
          <w:sz w:val="18"/>
          <w:szCs w:val="18"/>
          <w:color w:val="auto"/>
        </w:rPr>
        <w:t>occur of (i) the one-year anniversary of the date of death and (ii) the tenth anniversary of the Grant Date.</w:t>
      </w:r>
    </w:p>
    <w:p>
      <w:pPr>
        <w:spacing w:after="0" w:line="161" w:lineRule="exact"/>
        <w:rPr>
          <w:rFonts w:ascii="Arial" w:cs="Arial" w:eastAsia="Arial" w:hAnsi="Arial"/>
          <w:sz w:val="18"/>
          <w:szCs w:val="18"/>
          <w:b w:val="1"/>
          <w:bCs w:val="1"/>
          <w:color w:val="auto"/>
        </w:rPr>
      </w:pPr>
    </w:p>
    <w:p>
      <w:pPr>
        <w:jc w:val="both"/>
        <w:ind w:firstLine="494"/>
        <w:spacing w:after="0" w:line="266" w:lineRule="auto"/>
        <w:tabs>
          <w:tab w:leader="none" w:pos="913"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In the event of the Grantee’s formal retirement from service with the Company under acceptable circumstances as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in its sole discretion, each Stock Option that was unexercised as of the date of retirement may be exercised until the first to occur of (i) the one-year anniversary of the Grantee’s retirement date and (ii) the tenth anniversary of the Grant Date.</w:t>
      </w:r>
    </w:p>
    <w:p>
      <w:pPr>
        <w:spacing w:after="0" w:line="176" w:lineRule="exact"/>
        <w:rPr>
          <w:rFonts w:ascii="Arial" w:cs="Arial" w:eastAsia="Arial" w:hAnsi="Arial"/>
          <w:sz w:val="18"/>
          <w:szCs w:val="18"/>
          <w:b w:val="1"/>
          <w:bCs w:val="1"/>
          <w:color w:val="auto"/>
        </w:rPr>
      </w:pPr>
    </w:p>
    <w:p>
      <w:pPr>
        <w:jc w:val="both"/>
        <w:ind w:firstLine="494"/>
        <w:spacing w:after="0" w:line="266" w:lineRule="auto"/>
        <w:tabs>
          <w:tab w:leader="none" w:pos="894"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RESIGNATION. </w:t>
      </w:r>
      <w:r>
        <w:rPr>
          <w:rFonts w:ascii="Arial" w:cs="Arial" w:eastAsia="Arial" w:hAnsi="Arial"/>
          <w:sz w:val="18"/>
          <w:szCs w:val="18"/>
          <w:color w:val="auto"/>
        </w:rPr>
        <w:t>Subject to Paragraph 6, in the event of the Grantee’s voluntary termination of service with the Company, each</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that was unexercised as of the date of termination may be exercised until the first to occur of (i) the date which is 90 days after the effective date of such termination and (ii) the tenth anniversary of the Grant Date.</w:t>
      </w:r>
    </w:p>
    <w:p>
      <w:pPr>
        <w:spacing w:after="0" w:line="176" w:lineRule="exact"/>
        <w:rPr>
          <w:rFonts w:ascii="Arial" w:cs="Arial" w:eastAsia="Arial" w:hAnsi="Arial"/>
          <w:sz w:val="18"/>
          <w:szCs w:val="18"/>
          <w:b w:val="1"/>
          <w:bCs w:val="1"/>
          <w:color w:val="auto"/>
        </w:rPr>
      </w:pPr>
    </w:p>
    <w:p>
      <w:pPr>
        <w:ind w:left="420" w:hanging="412"/>
        <w:spacing w:after="0"/>
        <w:tabs>
          <w:tab w:leader="none" w:pos="42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Stock Options; Post-Service Exercises. </w:t>
      </w:r>
      <w:r>
        <w:rPr>
          <w:rFonts w:ascii="Arial" w:cs="Arial" w:eastAsia="Arial" w:hAnsi="Arial"/>
          <w:sz w:val="16"/>
          <w:szCs w:val="16"/>
          <w:color w:val="auto"/>
        </w:rPr>
        <w:t>Except as provided for in Paragraph 4 or 6 hereof, or as otherwise provided by the Committee,</w:t>
      </w:r>
    </w:p>
    <w:p>
      <w:pPr>
        <w:spacing w:after="0" w:line="50" w:lineRule="exact"/>
        <w:rPr>
          <w:rFonts w:ascii="Arial" w:cs="Arial" w:eastAsia="Arial" w:hAnsi="Arial"/>
          <w:sz w:val="16"/>
          <w:szCs w:val="16"/>
          <w:b w:val="1"/>
          <w:bCs w:val="1"/>
          <w:color w:val="auto"/>
        </w:rPr>
      </w:pPr>
    </w:p>
    <w:p>
      <w:pPr>
        <w:ind w:right="2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(i) no Stock Option represented by this Agreement may be exercised after termination of the Grantee’s service with the Company, and (ii) all Stock Options shall terminate and be of no further force or effect from and after the date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Provisions; Change of Control.</w:t>
      </w:r>
    </w:p>
    <w:p>
      <w:pPr>
        <w:spacing w:after="0" w:line="229" w:lineRule="exact"/>
        <w:rPr>
          <w:rFonts w:ascii="Arial" w:cs="Arial" w:eastAsia="Arial" w:hAnsi="Arial"/>
          <w:sz w:val="18"/>
          <w:szCs w:val="18"/>
          <w:b w:val="1"/>
          <w:bCs w:val="1"/>
          <w:color w:val="auto"/>
        </w:rPr>
      </w:pPr>
    </w:p>
    <w:p>
      <w:pPr>
        <w:ind w:left="900" w:hanging="40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Stock Options shall be subject to adjustment as provided in Section 4(b) of the Plan.</w:t>
      </w:r>
    </w:p>
    <w:p>
      <w:pPr>
        <w:spacing w:after="0" w:line="225" w:lineRule="exact"/>
        <w:rPr>
          <w:rFonts w:ascii="Arial" w:cs="Arial" w:eastAsia="Arial" w:hAnsi="Arial"/>
          <w:sz w:val="18"/>
          <w:szCs w:val="18"/>
          <w:color w:val="auto"/>
        </w:rPr>
      </w:pPr>
    </w:p>
    <w:p>
      <w:pPr>
        <w:ind w:left="880" w:hanging="386"/>
        <w:spacing w:after="0"/>
        <w:tabs>
          <w:tab w:leader="none" w:pos="8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Stock Options shall be subject to Section 13 of the Plan upon and following a Change of Control.</w:t>
      </w:r>
    </w:p>
    <w:p>
      <w:pPr>
        <w:spacing w:after="0" w:line="221" w:lineRule="exact"/>
        <w:rPr>
          <w:rFonts w:ascii="Arial" w:cs="Arial" w:eastAsia="Arial" w:hAnsi="Arial"/>
          <w:sz w:val="18"/>
          <w:szCs w:val="18"/>
          <w:color w:val="auto"/>
        </w:rPr>
      </w:pPr>
    </w:p>
    <w:p>
      <w:pPr>
        <w:ind w:firstLine="8"/>
        <w:spacing w:after="0" w:line="282" w:lineRule="auto"/>
        <w:tabs>
          <w:tab w:leader="none" w:pos="418"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Tenure. </w:t>
      </w:r>
      <w:r>
        <w:rPr>
          <w:rFonts w:ascii="Arial" w:cs="Arial" w:eastAsia="Arial" w:hAnsi="Arial"/>
          <w:sz w:val="18"/>
          <w:szCs w:val="18"/>
          <w:color w:val="auto"/>
        </w:rPr>
        <w:t>The Grantee’s right to continue to serve the Company or any of its Affiliates as a non-employee director, or otherwise, shall not be enlarged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affected by the award hereunder.</w:t>
      </w:r>
    </w:p>
    <w:p>
      <w:pPr>
        <w:spacing w:after="0" w:line="161" w:lineRule="exact"/>
        <w:rPr>
          <w:rFonts w:ascii="Arial" w:cs="Arial" w:eastAsia="Arial" w:hAnsi="Arial"/>
          <w:sz w:val="18"/>
          <w:szCs w:val="18"/>
          <w:b w:val="1"/>
          <w:bCs w:val="1"/>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of Grantee. </w:t>
      </w:r>
      <w:r>
        <w:rPr>
          <w:rFonts w:ascii="Arial" w:cs="Arial" w:eastAsia="Arial" w:hAnsi="Arial"/>
          <w:sz w:val="18"/>
          <w:szCs w:val="18"/>
          <w:color w:val="auto"/>
        </w:rPr>
        <w:t>The Grantee hereby represents and warrants to the Company as follows:</w:t>
      </w:r>
    </w:p>
    <w:p>
      <w:pPr>
        <w:spacing w:after="0" w:line="229" w:lineRule="exact"/>
        <w:rPr>
          <w:rFonts w:ascii="Arial" w:cs="Arial" w:eastAsia="Arial" w:hAnsi="Arial"/>
          <w:sz w:val="18"/>
          <w:szCs w:val="18"/>
          <w:b w:val="1"/>
          <w:bCs w:val="1"/>
          <w:color w:val="auto"/>
        </w:rPr>
      </w:pPr>
    </w:p>
    <w:p>
      <w:pPr>
        <w:ind w:left="900" w:hanging="406"/>
        <w:spacing w:after="0"/>
        <w:tabs>
          <w:tab w:leader="none" w:pos="9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Grantee has the legal right and capacity to enter into this Agreement and fully understands the terms and conditions of this Agreement.</w:t>
      </w:r>
    </w:p>
    <w:p>
      <w:pPr>
        <w:spacing w:after="0" w:line="236" w:lineRule="exact"/>
        <w:rPr>
          <w:rFonts w:ascii="Arial" w:cs="Arial" w:eastAsia="Arial" w:hAnsi="Arial"/>
          <w:sz w:val="17"/>
          <w:szCs w:val="17"/>
          <w:color w:val="auto"/>
        </w:rPr>
      </w:pPr>
    </w:p>
    <w:p>
      <w:pPr>
        <w:ind w:firstLine="494"/>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Grantee is acquiring the Shares subject to the Stock Options for investment purposes only and not with a view to, or in connection with, the public distribution thereof in violation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494"/>
        <w:spacing w:after="0" w:line="286" w:lineRule="auto"/>
        <w:tabs>
          <w:tab w:leader="none" w:pos="898" w:val="left"/>
        </w:tabs>
        <w:numPr>
          <w:ilvl w:val="1"/>
          <w:numId w:val="24"/>
        </w:numPr>
        <w:rPr>
          <w:rFonts w:ascii="Arial" w:cs="Arial" w:eastAsia="Arial" w:hAnsi="Arial"/>
          <w:sz w:val="17"/>
          <w:szCs w:val="17"/>
          <w:color w:val="auto"/>
        </w:rPr>
      </w:pPr>
      <w:r>
        <w:rPr>
          <w:rFonts w:ascii="Arial" w:cs="Arial" w:eastAsia="Arial" w:hAnsi="Arial"/>
          <w:sz w:val="17"/>
          <w:szCs w:val="17"/>
          <w:color w:val="auto"/>
        </w:rPr>
        <w:t>If any Shares subject to the Stock Options shall be registered under the Securities Act, no public offering (otherwise than on a national securities exchange, as defined in the Securities Exchange Act of 1934, as amended) of any Shares acquired hereunder shall be made by the Grantee (or any other person) under such circumstances that he or she (or such person) may be deemed an underwriter, as defined in the Securities Act.</w:t>
      </w:r>
    </w:p>
    <w:p>
      <w:pPr>
        <w:spacing w:after="0" w:line="165" w:lineRule="exact"/>
        <w:rPr>
          <w:rFonts w:ascii="Arial" w:cs="Arial" w:eastAsia="Arial" w:hAnsi="Arial"/>
          <w:sz w:val="17"/>
          <w:szCs w:val="17"/>
          <w:color w:val="auto"/>
        </w:rPr>
      </w:pPr>
    </w:p>
    <w:p>
      <w:pPr>
        <w:jc w:val="both"/>
        <w:ind w:firstLine="494"/>
        <w:spacing w:after="0" w:line="253" w:lineRule="auto"/>
        <w:tabs>
          <w:tab w:leader="none" w:pos="9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Grantee understands and agrees that none of the Shares subject to the Stock Options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and then only in accordance with the SEACOR Marine Holdings Inc. Insider Trading and Tipping Procedures and Guidelines (the “</w:t>
      </w:r>
      <w:r>
        <w:rPr>
          <w:rFonts w:ascii="Arial" w:cs="Arial" w:eastAsia="Arial" w:hAnsi="Arial"/>
          <w:sz w:val="18"/>
          <w:szCs w:val="18"/>
          <w:u w:val="single" w:color="auto"/>
          <w:color w:val="auto"/>
        </w:rPr>
        <w:t>Insider Trading Policy</w:t>
      </w:r>
      <w:r>
        <w:rPr>
          <w:rFonts w:ascii="Arial" w:cs="Arial" w:eastAsia="Arial" w:hAnsi="Arial"/>
          <w:sz w:val="18"/>
          <w:szCs w:val="18"/>
          <w:color w:val="auto"/>
        </w:rPr>
        <w:t>”). The Grantee further understands that the Company has no obligation to cause or to refrain from causing the resale of any of the Shares subject to the Stock Options or any other Shares or shares of its capital stock to be registered under the Securities Act or to comply with any exemption under the Securities Act which would permit the Shares subject to the Stock Options to be sold or otherwise transferred by the Grantee. The Grantee further understands that, without approval in writing pursuant to the Insider Trading Policy, no trade may be executed in any interest or position relating to the future price of Company securities, such as a put option, call option, or short sale (which prohibition includes, among other things, establishing any “collar” or other mechanism for the purpose of establishing a price).</w:t>
      </w:r>
    </w:p>
    <w:p>
      <w:pPr>
        <w:spacing w:after="0" w:line="194" w:lineRule="exact"/>
        <w:rPr>
          <w:rFonts w:ascii="Arial" w:cs="Arial" w:eastAsia="Arial" w:hAnsi="Arial"/>
          <w:sz w:val="18"/>
          <w:szCs w:val="18"/>
          <w:color w:val="auto"/>
        </w:rPr>
      </w:pPr>
    </w:p>
    <w:p>
      <w:pPr>
        <w:jc w:val="both"/>
        <w:ind w:firstLine="494"/>
        <w:spacing w:after="0" w:line="264" w:lineRule="auto"/>
        <w:tabs>
          <w:tab w:leader="none" w:pos="1036"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have no obligation to deliver any Shares hereunder or make any other distribution of benefits under hereunder unless such delivery or distribution would comply with all applicable laws (including, without limitation, the Securities Act), and the applicable requirements of any securities exchange or similar entity.</w:t>
      </w:r>
    </w:p>
    <w:p>
      <w:pPr>
        <w:spacing w:after="0" w:line="177" w:lineRule="exact"/>
        <w:rPr>
          <w:rFonts w:ascii="Arial" w:cs="Arial" w:eastAsia="Arial" w:hAnsi="Arial"/>
          <w:sz w:val="18"/>
          <w:szCs w:val="18"/>
          <w:color w:val="auto"/>
        </w:rPr>
      </w:pPr>
    </w:p>
    <w:p>
      <w:pPr>
        <w:jc w:val="both"/>
        <w:ind w:firstLine="8"/>
        <w:spacing w:after="0" w:line="286" w:lineRule="auto"/>
        <w:tabs>
          <w:tab w:leader="none" w:pos="477"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required or permitted hereunder shall be deemed given, if to the Grantee, when delivered (a) by a nationally recognized overnight</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service (receipt requested), (b) by e-mail or other electronic means, or (c) by certified or registered mail, return receipt requested, postage prepaid, at such address as the Company shall maintain for the Grantee in its personnel records or such other address as he or she may designate in writing to the Company. Grantee will promptly notify the Company in writing upon any change in Grantee’s mailing address or e-mail address. Any notice required or permitted hereunder shall be deemed given, if to the Company, when delivered by certified or registered mail, return receipt requested, postage prepaid, to the</w:t>
      </w:r>
    </w:p>
    <w:p>
      <w:pPr>
        <w:spacing w:after="0" w:line="2"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Company, at 7910 Main Street,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Houma, LA, Attention: Corporate Secretary or such other address as the Company may designate in writing to the Grantee.</w:t>
      </w:r>
    </w:p>
    <w:p>
      <w:pPr>
        <w:spacing w:after="0" w:line="199" w:lineRule="exact"/>
        <w:rPr>
          <w:sz w:val="20"/>
          <w:szCs w:val="20"/>
          <w:color w:val="auto"/>
        </w:rPr>
      </w:pPr>
    </w:p>
    <w:p>
      <w:pPr>
        <w:ind w:firstLine="8"/>
        <w:spacing w:after="0" w:line="282" w:lineRule="auto"/>
        <w:tabs>
          <w:tab w:leader="none" w:pos="49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Failure to Enforce Not a Waiver. </w:t>
      </w:r>
      <w:r>
        <w:rPr>
          <w:rFonts w:ascii="Arial" w:cs="Arial" w:eastAsia="Arial" w:hAnsi="Arial"/>
          <w:sz w:val="18"/>
          <w:szCs w:val="18"/>
          <w:color w:val="auto"/>
        </w:rPr>
        <w:t>The failure of the Company to enforce at any time any provision of this Agreement shall in no manner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a waiver of such provision or of any other provision hereof.</w:t>
      </w:r>
    </w:p>
    <w:p>
      <w:pPr>
        <w:spacing w:after="0" w:line="161" w:lineRule="exact"/>
        <w:rPr>
          <w:rFonts w:ascii="Arial" w:cs="Arial" w:eastAsia="Arial" w:hAnsi="Arial"/>
          <w:sz w:val="18"/>
          <w:szCs w:val="18"/>
          <w:b w:val="1"/>
          <w:bCs w:val="1"/>
          <w:color w:val="auto"/>
        </w:rPr>
      </w:pPr>
    </w:p>
    <w:p>
      <w:pPr>
        <w:ind w:firstLine="8"/>
        <w:spacing w:after="0" w:line="282" w:lineRule="auto"/>
        <w:tabs>
          <w:tab w:leader="none" w:pos="617"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r>
        <w:rPr>
          <w:rFonts w:ascii="Arial" w:cs="Arial" w:eastAsia="Arial" w:hAnsi="Arial"/>
          <w:sz w:val="18"/>
          <w:szCs w:val="18"/>
          <w:color w:val="auto"/>
        </w:rPr>
        <w:t>. Subject to the terms of the Plan, this Agreement may not be amended or terminated unless such amendment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is in writing and duly executed by each of the parties hereto.</w:t>
      </w:r>
    </w:p>
    <w:p>
      <w:pPr>
        <w:spacing w:after="0" w:line="161" w:lineRule="exact"/>
        <w:rPr>
          <w:rFonts w:ascii="Arial" w:cs="Arial" w:eastAsia="Arial" w:hAnsi="Arial"/>
          <w:sz w:val="18"/>
          <w:szCs w:val="18"/>
          <w:b w:val="1"/>
          <w:bCs w:val="1"/>
          <w:color w:val="auto"/>
        </w:rPr>
      </w:pPr>
    </w:p>
    <w:p>
      <w:pPr>
        <w:ind w:firstLine="8"/>
        <w:spacing w:after="0" w:line="282" w:lineRule="auto"/>
        <w:tabs>
          <w:tab w:leader="none" w:pos="59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each of which shall be deemed to be an original, but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but one and the same instrument.</w:t>
      </w:r>
    </w:p>
    <w:p>
      <w:pPr>
        <w:spacing w:after="0" w:line="161" w:lineRule="exact"/>
        <w:rPr>
          <w:rFonts w:ascii="Arial" w:cs="Arial" w:eastAsia="Arial" w:hAnsi="Arial"/>
          <w:sz w:val="18"/>
          <w:szCs w:val="18"/>
          <w:b w:val="1"/>
          <w:bCs w:val="1"/>
          <w:color w:val="auto"/>
        </w:rPr>
      </w:pPr>
    </w:p>
    <w:p>
      <w:pPr>
        <w:jc w:val="both"/>
        <w:ind w:firstLine="8"/>
        <w:spacing w:after="0" w:line="314" w:lineRule="auto"/>
        <w:tabs>
          <w:tab w:leader="none" w:pos="522"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Benefit and Binding Effect</w:t>
      </w:r>
      <w:r>
        <w:rPr>
          <w:rFonts w:ascii="Arial" w:cs="Arial" w:eastAsia="Arial" w:hAnsi="Arial"/>
          <w:sz w:val="16"/>
          <w:szCs w:val="16"/>
          <w:color w:val="auto"/>
        </w:rPr>
        <w:t>. This Agreement shall be binding upon and shall inure to the benefit of the Company, its successors and assigns,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his or her executors, administrators, personal representatives and heirs. In the event that any part of this Agreement shall be held to be invalid or unenforceable, the remaining parts hereof shall nevertheless continue to be valid and enforceable as though the invalid portions were not a part hereof.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6" w:name="page57"/>
    <w:bookmarkEnd w:id="56"/>
    <w:p>
      <w:pPr>
        <w:ind w:firstLine="8"/>
        <w:spacing w:after="0" w:line="282" w:lineRule="auto"/>
        <w:tabs>
          <w:tab w:leader="none" w:pos="48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Agreement contains the entire understanding of the parties hereto with respect to the Stock Options and supersedes all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discussions and understandings with respect to such subject matter.</w:t>
      </w:r>
    </w:p>
    <w:p>
      <w:pPr>
        <w:spacing w:after="0" w:line="161" w:lineRule="exact"/>
        <w:rPr>
          <w:rFonts w:ascii="Arial" w:cs="Arial" w:eastAsia="Arial" w:hAnsi="Arial"/>
          <w:sz w:val="18"/>
          <w:szCs w:val="18"/>
          <w:b w:val="1"/>
          <w:bCs w:val="1"/>
          <w:color w:val="auto"/>
        </w:rPr>
      </w:pPr>
    </w:p>
    <w:p>
      <w:pPr>
        <w:ind w:firstLine="8"/>
        <w:spacing w:after="0" w:line="282" w:lineRule="auto"/>
        <w:tabs>
          <w:tab w:leader="none" w:pos="517"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construed and enforced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principles and provisions thereof relating to conflict or choice of laws.</w:t>
      </w:r>
    </w:p>
    <w:p>
      <w:pPr>
        <w:spacing w:after="0" w:line="161" w:lineRule="exact"/>
        <w:rPr>
          <w:rFonts w:ascii="Arial" w:cs="Arial" w:eastAsia="Arial" w:hAnsi="Arial"/>
          <w:sz w:val="18"/>
          <w:szCs w:val="18"/>
          <w:b w:val="1"/>
          <w:bCs w:val="1"/>
          <w:color w:val="auto"/>
        </w:rPr>
      </w:pPr>
    </w:p>
    <w:p>
      <w:pPr>
        <w:ind w:firstLine="8"/>
        <w:spacing w:after="0" w:line="313" w:lineRule="auto"/>
        <w:tabs>
          <w:tab w:leader="none" w:pos="45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Clawback. </w:t>
      </w:r>
      <w:r>
        <w:rPr>
          <w:rFonts w:ascii="Arial" w:cs="Arial" w:eastAsia="Arial" w:hAnsi="Arial"/>
          <w:sz w:val="17"/>
          <w:szCs w:val="17"/>
          <w:color w:val="auto"/>
        </w:rPr>
        <w:t>The Stock Options and the Shares issued upon exercise of the Stock Options will be subject to such clawback provisions as may be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to be made pursuant to any applicable law, government regulation or stock exchange listing requirement, or other applicable Company policy.</w:t>
      </w:r>
    </w:p>
    <w:p>
      <w:pPr>
        <w:spacing w:after="0" w:line="138" w:lineRule="exact"/>
        <w:rPr>
          <w:rFonts w:ascii="Arial" w:cs="Arial" w:eastAsia="Arial" w:hAnsi="Arial"/>
          <w:sz w:val="17"/>
          <w:szCs w:val="17"/>
          <w:b w:val="1"/>
          <w:bCs w:val="1"/>
          <w:color w:val="auto"/>
        </w:rPr>
      </w:pPr>
    </w:p>
    <w:p>
      <w:pPr>
        <w:jc w:val="both"/>
        <w:ind w:firstLine="8"/>
        <w:spacing w:after="0" w:line="281" w:lineRule="auto"/>
        <w:tabs>
          <w:tab w:leader="none" w:pos="589"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2017 Equity Incentive Plan Controls. </w:t>
      </w:r>
      <w:r>
        <w:rPr>
          <w:rFonts w:ascii="Arial" w:cs="Arial" w:eastAsia="Arial" w:hAnsi="Arial"/>
          <w:sz w:val="17"/>
          <w:szCs w:val="17"/>
          <w:color w:val="auto"/>
        </w:rPr>
        <w:t>This Agreement is subject to all terms and provisions of the SEACOR Marine Holdings Inc. 2017 Equity</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Plan (and as amended, modified or supplemented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which are incorporated herein by reference. In the event of any conflict, the terms and provisions of the Plan shall control over the terms and provisions of this Agreement. All capitalized terms herein shall have the meanings given to such terms by the Plan unless otherwise defined herein or unless the context clearly indicates otherwise.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executed this Agreement on the date and year first above written.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SEACOR MARINE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accepts, and agrees to, all terms and provisions of the foregoing Stock Option Grant Agreement.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w:t>
      </w:r>
    </w:p>
    <w:p>
      <w:pPr>
        <w:spacing w:after="0" w:line="200" w:lineRule="exact"/>
        <w:rPr>
          <w:sz w:val="20"/>
          <w:szCs w:val="20"/>
          <w:color w:val="auto"/>
        </w:rPr>
      </w:pPr>
    </w:p>
    <w:p>
      <w:pPr>
        <w:sectPr>
          <w:pgSz w:w="11900" w:h="16838" w:orient="portrait"/>
          <w:cols w:equalWidth="0" w:num="2">
            <w:col w:w="740" w:space="400"/>
            <w:col w:w="10280"/>
          </w:cols>
          <w:pgMar w:left="240" w:top="58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w:t>
      </w:r>
    </w:p>
    <w:p>
      <w:pPr>
        <w:spacing w:after="0" w:line="200" w:lineRule="exact"/>
        <w:rPr>
          <w:sz w:val="20"/>
          <w:szCs w:val="20"/>
          <w:color w:val="auto"/>
        </w:rPr>
      </w:pPr>
    </w:p>
    <w:p>
      <w:pPr>
        <w:sectPr>
          <w:pgSz w:w="11900" w:h="16838" w:orient="portrait"/>
          <w:cols w:equalWidth="0" w:num="2">
            <w:col w:w="480" w:space="660"/>
            <w:col w:w="10280"/>
          </w:cols>
          <w:pgMar w:left="240" w:top="58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w:t>
      </w:r>
    </w:p>
    <w:p>
      <w:pPr>
        <w:spacing w:after="0" w:line="200" w:lineRule="exact"/>
        <w:rPr>
          <w:sz w:val="20"/>
          <w:szCs w:val="20"/>
          <w:color w:val="auto"/>
        </w:rPr>
      </w:pPr>
    </w:p>
    <w:p>
      <w:pPr>
        <w:sectPr>
          <w:pgSz w:w="11900" w:h="16838" w:orient="portrait"/>
          <w:cols w:equalWidth="0" w:num="2">
            <w:col w:w="420" w:space="720"/>
            <w:col w:w="10280"/>
          </w:cols>
          <w:pgMar w:left="240" w:top="580" w:right="239" w:bottom="1440" w:gutter="0" w:footer="0" w:header="0"/>
          <w:type w:val="continuous"/>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211" w:lineRule="exact"/>
        <w:rPr>
          <w:sz w:val="20"/>
          <w:szCs w:val="20"/>
          <w:color w:val="auto"/>
        </w:rPr>
      </w:pPr>
    </w:p>
    <w:p>
      <w:pPr>
        <w:ind w:left="1340" w:hanging="1332"/>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1340" w:right="80" w:hanging="1332"/>
        <w:spacing w:after="0" w:line="264"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40" w:right="380" w:hanging="1332"/>
        <w:spacing w:after="0" w:line="342" w:lineRule="auto"/>
        <w:tabs>
          <w:tab w:leader="none" w:pos="1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40" w:right="20" w:hanging="1332"/>
        <w:spacing w:after="0" w:line="277"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b)</w:t>
      </w:r>
    </w:p>
    <w:p>
      <w:pPr>
        <w:spacing w:after="0" w:line="20" w:lineRule="exact"/>
        <w:rPr>
          <w:sz w:val="20"/>
          <w:szCs w:val="20"/>
          <w:color w:val="auto"/>
        </w:rPr>
      </w:pPr>
      <w:r>
        <w:rPr>
          <w:sz w:val="20"/>
          <w:szCs w:val="20"/>
          <w:color w:val="auto"/>
        </w:rPr>
        <w:br w:type="column"/>
      </w:r>
    </w:p>
    <w:p>
      <w:pPr>
        <w:ind w:right="140"/>
        <w:spacing w:after="0" w:line="286" w:lineRule="auto"/>
        <w:rPr>
          <w:sz w:val="20"/>
          <w:szCs w:val="20"/>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c)</w:t>
      </w:r>
    </w:p>
    <w:p>
      <w:pPr>
        <w:spacing w:after="0" w:line="20" w:lineRule="exact"/>
        <w:rPr>
          <w:sz w:val="20"/>
          <w:szCs w:val="20"/>
          <w:color w:val="auto"/>
        </w:rPr>
      </w:pPr>
      <w:r>
        <w:rPr>
          <w:sz w:val="20"/>
          <w:szCs w:val="20"/>
          <w:color w:val="auto"/>
        </w:rPr>
        <w:br w:type="column"/>
      </w:r>
    </w:p>
    <w:p>
      <w:pPr>
        <w:ind w:right="180"/>
        <w:spacing w:after="0" w:line="264" w:lineRule="auto"/>
        <w:rPr>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d)</w:t>
      </w:r>
    </w:p>
    <w:p>
      <w:pPr>
        <w:spacing w:after="0" w:line="20" w:lineRule="exact"/>
        <w:rPr>
          <w:sz w:val="20"/>
          <w:szCs w:val="20"/>
          <w:color w:val="auto"/>
        </w:rPr>
      </w:pPr>
      <w:r>
        <w:rPr>
          <w:sz w:val="20"/>
          <w:szCs w:val="20"/>
          <w:color w:val="auto"/>
        </w:rPr>
        <w:br w:type="column"/>
      </w:r>
    </w:p>
    <w:p>
      <w:pPr>
        <w:ind w:right="220"/>
        <w:spacing w:after="0" w:line="264" w:lineRule="auto"/>
        <w:rPr>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ind w:left="1340" w:right="200" w:hanging="1332"/>
        <w:spacing w:after="0" w:line="264"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420"/>
          </w:cols>
          <w:pgMar w:left="240" w:top="121"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b)</w:t>
      </w:r>
    </w:p>
    <w:p>
      <w:pPr>
        <w:spacing w:after="0" w:line="20" w:lineRule="exact"/>
        <w:rPr>
          <w:sz w:val="20"/>
          <w:szCs w:val="20"/>
          <w:color w:val="auto"/>
        </w:rPr>
      </w:pPr>
      <w:r>
        <w:rPr>
          <w:sz w:val="20"/>
          <w:szCs w:val="20"/>
          <w:color w:val="auto"/>
        </w:rPr>
        <w:br w:type="column"/>
      </w:r>
    </w:p>
    <w:p>
      <w:pPr>
        <w:ind w:right="86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140"/>
              <w:spacing w:after="0"/>
              <w:rPr>
                <w:sz w:val="20"/>
                <w:szCs w:val="20"/>
                <w:color w:val="auto"/>
              </w:rPr>
            </w:pPr>
            <w:r>
              <w:rPr>
                <w:rFonts w:ascii="Arial" w:cs="Arial" w:eastAsia="Arial" w:hAnsi="Arial"/>
                <w:sz w:val="18"/>
                <w:szCs w:val="18"/>
                <w:color w:val="auto"/>
              </w:rPr>
              <w:t>August 9, 2018</w:t>
            </w:r>
          </w:p>
        </w:tc>
      </w:tr>
      <w:tr>
        <w:trPr>
          <w:trHeight w:val="432"/>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20" w:type="dxa"/>
            <w:vAlign w:val="bottom"/>
          </w:tcPr>
          <w:p>
            <w:pPr>
              <w:ind w:left="14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2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Jesus Llorca, certify that:</w:t>
      </w:r>
    </w:p>
    <w:p>
      <w:pPr>
        <w:spacing w:after="0" w:line="211" w:lineRule="exact"/>
        <w:rPr>
          <w:sz w:val="20"/>
          <w:szCs w:val="20"/>
          <w:color w:val="auto"/>
        </w:rPr>
      </w:pPr>
    </w:p>
    <w:p>
      <w:pPr>
        <w:ind w:left="1340" w:hanging="1332"/>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1340" w:right="80" w:hanging="1332"/>
        <w:spacing w:after="0" w:line="264" w:lineRule="auto"/>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40" w:right="380" w:hanging="1332"/>
        <w:spacing w:after="0" w:line="342" w:lineRule="auto"/>
        <w:tabs>
          <w:tab w:leader="none" w:pos="1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40" w:right="20" w:hanging="1332"/>
        <w:spacing w:after="0" w:line="277" w:lineRule="auto"/>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b)</w:t>
      </w:r>
    </w:p>
    <w:p>
      <w:pPr>
        <w:spacing w:after="0" w:line="20" w:lineRule="exact"/>
        <w:rPr>
          <w:sz w:val="20"/>
          <w:szCs w:val="20"/>
          <w:color w:val="auto"/>
        </w:rPr>
      </w:pPr>
      <w:r>
        <w:rPr>
          <w:sz w:val="20"/>
          <w:szCs w:val="20"/>
          <w:color w:val="auto"/>
        </w:rPr>
        <w:br w:type="column"/>
      </w:r>
    </w:p>
    <w:p>
      <w:pPr>
        <w:ind w:right="140"/>
        <w:spacing w:after="0" w:line="286" w:lineRule="auto"/>
        <w:rPr>
          <w:sz w:val="20"/>
          <w:szCs w:val="20"/>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c)</w:t>
      </w:r>
    </w:p>
    <w:p>
      <w:pPr>
        <w:spacing w:after="0" w:line="20" w:lineRule="exact"/>
        <w:rPr>
          <w:sz w:val="20"/>
          <w:szCs w:val="20"/>
          <w:color w:val="auto"/>
        </w:rPr>
      </w:pPr>
      <w:r>
        <w:rPr>
          <w:sz w:val="20"/>
          <w:szCs w:val="20"/>
          <w:color w:val="auto"/>
        </w:rPr>
        <w:br w:type="column"/>
      </w:r>
    </w:p>
    <w:p>
      <w:pPr>
        <w:ind w:right="180"/>
        <w:spacing w:after="0" w:line="264" w:lineRule="auto"/>
        <w:rPr>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d)</w:t>
      </w:r>
    </w:p>
    <w:p>
      <w:pPr>
        <w:spacing w:after="0" w:line="20" w:lineRule="exact"/>
        <w:rPr>
          <w:sz w:val="20"/>
          <w:szCs w:val="20"/>
          <w:color w:val="auto"/>
        </w:rPr>
      </w:pPr>
      <w:r>
        <w:rPr>
          <w:sz w:val="20"/>
          <w:szCs w:val="20"/>
          <w:color w:val="auto"/>
        </w:rPr>
        <w:br w:type="column"/>
      </w:r>
    </w:p>
    <w:p>
      <w:pPr>
        <w:ind w:right="220"/>
        <w:spacing w:after="0" w:line="264" w:lineRule="auto"/>
        <w:rPr>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0"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line="197" w:lineRule="exact"/>
        <w:rPr>
          <w:sz w:val="20"/>
          <w:szCs w:val="20"/>
          <w:color w:val="auto"/>
        </w:rPr>
      </w:pPr>
    </w:p>
    <w:p>
      <w:pPr>
        <w:ind w:left="1360" w:right="180" w:hanging="1352"/>
        <w:spacing w:after="0" w:line="264" w:lineRule="auto"/>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420"/>
          </w:cols>
          <w:pgMar w:left="240" w:top="121"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b)</w:t>
      </w:r>
    </w:p>
    <w:p>
      <w:pPr>
        <w:spacing w:after="0" w:line="20" w:lineRule="exact"/>
        <w:rPr>
          <w:sz w:val="20"/>
          <w:szCs w:val="20"/>
          <w:color w:val="auto"/>
        </w:rPr>
      </w:pPr>
      <w:r>
        <w:rPr>
          <w:sz w:val="20"/>
          <w:szCs w:val="20"/>
          <w:color w:val="auto"/>
        </w:rPr>
        <w:br w:type="column"/>
      </w:r>
    </w:p>
    <w:p>
      <w:pPr>
        <w:ind w:right="86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2018</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Jesus Llorca</w:t>
      </w:r>
    </w:p>
    <w:p>
      <w:pPr>
        <w:spacing w:after="0" w:line="23"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Jesus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-130810</wp:posOffset>
            </wp:positionV>
            <wp:extent cx="36449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Executive Vice President and</w:t>
      </w:r>
    </w:p>
    <w:p>
      <w:pPr>
        <w:spacing w:after="0" w:line="32"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420"/>
          </w:cols>
          <w:pgMar w:left="240" w:top="121" w:right="23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ind w:left="260" w:right="2540"/>
        <w:spacing w:after="0" w:line="250"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BY SECTION 906 OF THE SARBANES-OXLEY ACT OF 2002</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her/his knowledge and belief, that the Form 10-Q of the Company for the quarterly period ended June 30, 2018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200" w:lineRule="exact"/>
        <w:rPr>
          <w:sz w:val="20"/>
          <w:szCs w:val="20"/>
          <w:color w:val="auto"/>
        </w:rPr>
      </w:pPr>
    </w:p>
    <w:p>
      <w:pPr>
        <w:spacing w:after="0" w:line="210"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140"/>
              <w:spacing w:after="0"/>
              <w:rPr>
                <w:sz w:val="20"/>
                <w:szCs w:val="20"/>
                <w:color w:val="auto"/>
              </w:rPr>
            </w:pPr>
            <w:r>
              <w:rPr>
                <w:rFonts w:ascii="Arial" w:cs="Arial" w:eastAsia="Arial" w:hAnsi="Arial"/>
                <w:sz w:val="18"/>
                <w:szCs w:val="18"/>
                <w:color w:val="auto"/>
              </w:rPr>
              <w:t>August 9, 2018</w:t>
            </w:r>
          </w:p>
        </w:tc>
      </w:tr>
      <w:tr>
        <w:trPr>
          <w:trHeight w:val="432"/>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20" w:type="dxa"/>
            <w:vAlign w:val="bottom"/>
          </w:tcPr>
          <w:p>
            <w:pPr>
              <w:ind w:left="14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2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r>
      <w:tr>
        <w:trPr>
          <w:trHeight w:val="648"/>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140"/>
              <w:spacing w:after="0"/>
              <w:rPr>
                <w:sz w:val="20"/>
                <w:szCs w:val="20"/>
                <w:color w:val="auto"/>
              </w:rPr>
            </w:pPr>
            <w:r>
              <w:rPr>
                <w:rFonts w:ascii="Arial" w:cs="Arial" w:eastAsia="Arial" w:hAnsi="Arial"/>
                <w:sz w:val="18"/>
                <w:szCs w:val="18"/>
                <w:color w:val="auto"/>
              </w:rPr>
              <w:t>August 9, 2018</w:t>
            </w:r>
          </w:p>
        </w:tc>
      </w:tr>
    </w:tbl>
    <w:p>
      <w:pPr>
        <w:spacing w:after="0" w:line="20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Jesus Llorca</w:t>
      </w:r>
    </w:p>
    <w:p>
      <w:pPr>
        <w:spacing w:after="0" w:line="23"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Jesus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-130810</wp:posOffset>
            </wp:positionV>
            <wp:extent cx="36449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decimal"/>
      <w:start w:val="6"/>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6"/>
    </w:lvl>
    <w:lvl w:ilvl="1">
      <w:lvlJc w:val="left"/>
      <w:lvlText w:val="•"/>
      <w:numFmt w:val="bullet"/>
      <w:start w:val="1"/>
    </w:lvl>
  </w:abstractNum>
  <w:abstractNum w:abstractNumId="10">
    <w:nsid w:val="436C6125"/>
    <w:multiLevelType w:val="hybridMultilevel"/>
    <w:lvl w:ilvl="0">
      <w:lvlJc w:val="left"/>
      <w:lvlText w:val="%1."/>
      <w:numFmt w:val="decimal"/>
      <w:start w:val="13"/>
    </w:lvl>
  </w:abstractNum>
  <w:abstractNum w:abstractNumId="11">
    <w:nsid w:val="628C895D"/>
    <w:multiLevelType w:val="hybridMultilevel"/>
    <w:lvl w:ilvl="0">
      <w:lvlJc w:val="left"/>
      <w:lvlText w:val="%1."/>
      <w:numFmt w:val="decimal"/>
      <w:start w:val="14"/>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32"/>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lvl w:ilvl="1">
      <w:lvlJc w:val="left"/>
      <w:lvlText w:val="%2."/>
      <w:numFmt w:val="upperLetter"/>
      <w:start w:val="2"/>
    </w:lvl>
  </w:abstractNum>
  <w:abstractNum w:abstractNumId="22">
    <w:nsid w:val="189A769B"/>
    <w:multiLevelType w:val="hybridMultilevel"/>
    <w:lvl w:ilvl="0">
      <w:lvlJc w:val="left"/>
      <w:lvlText w:val="%1."/>
      <w:numFmt w:val="decimal"/>
      <w:start w:val="5"/>
    </w:lvl>
    <w:lvl w:ilvl="1">
      <w:lvlJc w:val="left"/>
      <w:lvlText w:val="%2"/>
      <w:numFmt w:val="upperLetter"/>
      <w:start w:val="1"/>
    </w:lvl>
  </w:abstractNum>
  <w:abstractNum w:abstractNumId="23">
    <w:nsid w:val="54E49EB4"/>
    <w:multiLevelType w:val="hybridMultilevel"/>
    <w:lvl w:ilvl="0">
      <w:lvlJc w:val="left"/>
      <w:lvlText w:val="%1."/>
      <w:numFmt w:val="decimal"/>
      <w:start w:val="6"/>
    </w:lvl>
    <w:lvl w:ilvl="1">
      <w:lvlJc w:val="left"/>
      <w:lvlText w:val="%2."/>
      <w:numFmt w:val="upperLetter"/>
      <w:start w:val="1"/>
    </w:lvl>
  </w:abstractNum>
  <w:abstractNum w:abstractNumId="24">
    <w:nsid w:val="71F32454"/>
    <w:multiLevelType w:val="hybridMultilevel"/>
    <w:lvl w:ilvl="0">
      <w:lvlJc w:val="left"/>
      <w:lvlText w:val="%1."/>
      <w:numFmt w:val="decimal"/>
      <w:start w:val="10"/>
    </w:lvl>
  </w:abstractNum>
  <w:abstractNum w:abstractNumId="25">
    <w:nsid w:val="2CA88611"/>
    <w:multiLevelType w:val="hybridMultilevel"/>
    <w:lvl w:ilvl="0">
      <w:lvlJc w:val="left"/>
      <w:lvlText w:val="%1."/>
      <w:numFmt w:val="decimal"/>
      <w:start w:val="14"/>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5"/>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2019-12-28T20:18:30Z</dcterms:created>
  <dcterms:modified xsi:type="dcterms:W3CDTF">2019-12-28T20:18:30Z</dcterms:modified>
</cp:coreProperties>
</file>